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D5F" w:rsidRDefault="00703D5F" w:rsidP="00117CBC">
      <w:pPr>
        <w:spacing w:after="0" w:line="259" w:lineRule="auto"/>
        <w:ind w:right="3319"/>
        <w:jc w:val="right"/>
        <w:rPr>
          <w:b/>
          <w:bCs/>
          <w:lang w:val="cs-CZ"/>
        </w:rPr>
      </w:pPr>
    </w:p>
    <w:p w:rsidR="00703D5F" w:rsidRDefault="00703D5F" w:rsidP="00117CBC">
      <w:pPr>
        <w:spacing w:after="0" w:line="259" w:lineRule="auto"/>
        <w:ind w:right="3319"/>
        <w:jc w:val="right"/>
        <w:rPr>
          <w:b/>
          <w:bCs/>
          <w:lang w:val="cs-CZ"/>
        </w:rPr>
      </w:pPr>
    </w:p>
    <w:p w:rsidR="00703D5F" w:rsidRDefault="00703D5F" w:rsidP="00117CBC">
      <w:pPr>
        <w:spacing w:after="0" w:line="259" w:lineRule="auto"/>
        <w:ind w:right="3319"/>
        <w:jc w:val="right"/>
        <w:rPr>
          <w:b/>
          <w:bCs/>
          <w:lang w:val="cs-CZ"/>
        </w:rPr>
      </w:pPr>
    </w:p>
    <w:p w:rsidR="00703D5F" w:rsidRDefault="00703D5F" w:rsidP="00117CBC">
      <w:pPr>
        <w:spacing w:after="0" w:line="259" w:lineRule="auto"/>
        <w:ind w:right="3319"/>
        <w:jc w:val="right"/>
        <w:rPr>
          <w:b/>
          <w:bCs/>
          <w:lang w:val="cs-CZ"/>
        </w:rPr>
      </w:pPr>
    </w:p>
    <w:p w:rsidR="00703D5F" w:rsidRDefault="00703D5F" w:rsidP="00117CBC">
      <w:pPr>
        <w:spacing w:after="0" w:line="259" w:lineRule="auto"/>
        <w:ind w:right="3319"/>
        <w:jc w:val="right"/>
        <w:rPr>
          <w:b/>
          <w:bCs/>
          <w:lang w:val="cs-CZ"/>
        </w:rPr>
      </w:pPr>
    </w:p>
    <w:p w:rsidR="00703D5F" w:rsidRDefault="00703D5F" w:rsidP="00117CBC">
      <w:pPr>
        <w:spacing w:after="0" w:line="259" w:lineRule="auto"/>
        <w:ind w:right="3319"/>
        <w:jc w:val="right"/>
        <w:rPr>
          <w:b/>
          <w:bCs/>
          <w:lang w:val="cs-CZ"/>
        </w:rPr>
      </w:pPr>
    </w:p>
    <w:p w:rsidR="00703D5F" w:rsidRDefault="00703D5F" w:rsidP="00117CBC">
      <w:pPr>
        <w:spacing w:after="0" w:line="259" w:lineRule="auto"/>
        <w:ind w:right="3319"/>
        <w:jc w:val="right"/>
        <w:rPr>
          <w:b/>
          <w:bCs/>
          <w:lang w:val="cs-CZ"/>
        </w:rPr>
      </w:pPr>
    </w:p>
    <w:p w:rsidR="00703D5F" w:rsidRDefault="00703D5F" w:rsidP="00117CBC">
      <w:pPr>
        <w:spacing w:after="0" w:line="259" w:lineRule="auto"/>
        <w:ind w:right="3319"/>
        <w:jc w:val="right"/>
        <w:rPr>
          <w:b/>
          <w:bCs/>
          <w:lang w:val="cs-CZ"/>
        </w:rPr>
      </w:pPr>
    </w:p>
    <w:p w:rsidR="00703D5F" w:rsidRDefault="00703D5F" w:rsidP="00117CBC">
      <w:pPr>
        <w:spacing w:after="0" w:line="259" w:lineRule="auto"/>
        <w:ind w:right="3319"/>
        <w:jc w:val="right"/>
        <w:rPr>
          <w:b/>
          <w:bCs/>
          <w:lang w:val="cs-CZ"/>
        </w:rPr>
      </w:pPr>
    </w:p>
    <w:p w:rsidR="00703D5F" w:rsidRDefault="00703D5F" w:rsidP="00117CBC">
      <w:pPr>
        <w:spacing w:after="0" w:line="259" w:lineRule="auto"/>
        <w:ind w:right="3319"/>
        <w:jc w:val="right"/>
        <w:rPr>
          <w:b/>
          <w:bCs/>
          <w:lang w:val="cs-CZ"/>
        </w:rPr>
      </w:pPr>
    </w:p>
    <w:p w:rsidR="00703D5F" w:rsidRDefault="00703D5F" w:rsidP="00117CBC">
      <w:pPr>
        <w:spacing w:after="0" w:line="259" w:lineRule="auto"/>
        <w:ind w:right="3319"/>
        <w:jc w:val="right"/>
        <w:rPr>
          <w:b/>
          <w:bCs/>
          <w:lang w:val="cs-CZ"/>
        </w:rPr>
      </w:pPr>
    </w:p>
    <w:p w:rsidR="00703D5F" w:rsidRDefault="00703D5F" w:rsidP="00117CBC">
      <w:pPr>
        <w:spacing w:after="0" w:line="259" w:lineRule="auto"/>
        <w:ind w:right="3319"/>
        <w:jc w:val="right"/>
        <w:rPr>
          <w:b/>
          <w:bCs/>
          <w:lang w:val="cs-CZ"/>
        </w:rPr>
      </w:pPr>
    </w:p>
    <w:p w:rsidR="00703D5F" w:rsidRDefault="00703D5F" w:rsidP="00117CBC">
      <w:pPr>
        <w:spacing w:after="0" w:line="259" w:lineRule="auto"/>
        <w:ind w:right="3319"/>
        <w:jc w:val="right"/>
        <w:rPr>
          <w:b/>
          <w:bCs/>
          <w:lang w:val="cs-CZ"/>
        </w:rPr>
      </w:pPr>
    </w:p>
    <w:p w:rsidR="00703D5F" w:rsidRDefault="00703D5F" w:rsidP="00117CBC">
      <w:pPr>
        <w:spacing w:after="0" w:line="259" w:lineRule="auto"/>
        <w:ind w:right="3319"/>
        <w:jc w:val="right"/>
        <w:rPr>
          <w:b/>
          <w:bCs/>
          <w:lang w:val="cs-CZ"/>
        </w:rPr>
      </w:pPr>
    </w:p>
    <w:p w:rsidR="00703D5F" w:rsidRDefault="00703D5F" w:rsidP="00117CBC">
      <w:pPr>
        <w:spacing w:after="0" w:line="259" w:lineRule="auto"/>
        <w:ind w:right="3319"/>
        <w:jc w:val="right"/>
        <w:rPr>
          <w:b/>
          <w:bCs/>
          <w:lang w:val="cs-CZ"/>
        </w:rPr>
      </w:pPr>
    </w:p>
    <w:p w:rsidR="00703D5F" w:rsidRDefault="00703D5F" w:rsidP="00117CBC">
      <w:pPr>
        <w:spacing w:after="0" w:line="259" w:lineRule="auto"/>
        <w:ind w:right="3319"/>
        <w:jc w:val="right"/>
        <w:rPr>
          <w:b/>
          <w:bCs/>
          <w:lang w:val="cs-CZ"/>
        </w:rPr>
      </w:pPr>
    </w:p>
    <w:p w:rsidR="00703D5F" w:rsidRDefault="00703D5F" w:rsidP="00117CBC">
      <w:pPr>
        <w:spacing w:after="0" w:line="259" w:lineRule="auto"/>
        <w:ind w:right="3319"/>
        <w:jc w:val="right"/>
        <w:rPr>
          <w:b/>
          <w:bCs/>
          <w:lang w:val="cs-CZ"/>
        </w:rPr>
      </w:pPr>
    </w:p>
    <w:p w:rsidR="00703D5F" w:rsidRDefault="00703D5F" w:rsidP="00117CBC">
      <w:pPr>
        <w:spacing w:after="0" w:line="259" w:lineRule="auto"/>
        <w:ind w:right="3319"/>
        <w:jc w:val="right"/>
        <w:rPr>
          <w:b/>
          <w:bCs/>
          <w:lang w:val="cs-CZ"/>
        </w:rPr>
      </w:pPr>
    </w:p>
    <w:p w:rsidR="00703D5F" w:rsidRDefault="00703D5F" w:rsidP="00117CBC">
      <w:pPr>
        <w:spacing w:after="0" w:line="259" w:lineRule="auto"/>
        <w:ind w:right="3319"/>
        <w:jc w:val="right"/>
        <w:rPr>
          <w:b/>
          <w:bCs/>
          <w:lang w:val="cs-CZ"/>
        </w:rPr>
      </w:pPr>
    </w:p>
    <w:p w:rsidR="00703D5F" w:rsidRDefault="00703D5F" w:rsidP="00117CBC">
      <w:pPr>
        <w:spacing w:after="0" w:line="259" w:lineRule="auto"/>
        <w:ind w:right="3319"/>
        <w:jc w:val="right"/>
        <w:rPr>
          <w:b/>
          <w:bCs/>
          <w:lang w:val="cs-CZ"/>
        </w:rPr>
      </w:pPr>
    </w:p>
    <w:p w:rsidR="00117CBC" w:rsidRPr="00CF2582" w:rsidRDefault="00117CBC" w:rsidP="00117CBC">
      <w:pPr>
        <w:spacing w:after="0" w:line="259" w:lineRule="auto"/>
        <w:ind w:right="3319"/>
        <w:jc w:val="right"/>
        <w:rPr>
          <w:lang w:val="cs-CZ"/>
        </w:rPr>
      </w:pPr>
      <w:r w:rsidRPr="00CF2582">
        <w:rPr>
          <w:b/>
          <w:bCs/>
          <w:lang w:val="cs-CZ"/>
        </w:rPr>
        <w:t>B.</w:t>
      </w:r>
      <w:r w:rsidRPr="00CF2582">
        <w:rPr>
          <w:lang w:val="cs-CZ"/>
        </w:rPr>
        <w:t xml:space="preserve"> </w:t>
      </w:r>
      <w:r w:rsidRPr="00CF2582">
        <w:rPr>
          <w:b/>
          <w:bCs/>
          <w:lang w:val="cs-CZ"/>
        </w:rPr>
        <w:t>PŘÍBALOVÁ INFORMACE</w:t>
      </w:r>
      <w:r w:rsidRPr="00CF2582">
        <w:rPr>
          <w:lang w:val="cs-CZ"/>
        </w:rPr>
        <w:t xml:space="preserve"> </w:t>
      </w:r>
      <w:r w:rsidRPr="00CF2582">
        <w:rPr>
          <w:lang w:val="cs-CZ"/>
        </w:rPr>
        <w:br w:type="page"/>
      </w:r>
    </w:p>
    <w:p w:rsidR="00117CBC" w:rsidRPr="00CF2582" w:rsidRDefault="00117CBC" w:rsidP="00117CBC">
      <w:pPr>
        <w:spacing w:after="0" w:line="259" w:lineRule="auto"/>
        <w:jc w:val="center"/>
        <w:rPr>
          <w:lang w:val="cs-CZ"/>
        </w:rPr>
      </w:pPr>
      <w:r w:rsidRPr="00CF2582">
        <w:rPr>
          <w:b/>
          <w:bCs/>
          <w:lang w:val="cs-CZ"/>
        </w:rPr>
        <w:lastRenderedPageBreak/>
        <w:t>PŘÍBALOVÁ INFORMACE:</w:t>
      </w:r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right="1"/>
        <w:jc w:val="center"/>
        <w:rPr>
          <w:lang w:val="cs-CZ"/>
        </w:rPr>
      </w:pPr>
      <w:proofErr w:type="spellStart"/>
      <w:r w:rsidRPr="00CF2582">
        <w:rPr>
          <w:b/>
          <w:bCs/>
          <w:lang w:val="cs-CZ"/>
        </w:rPr>
        <w:t>Finilac</w:t>
      </w:r>
      <w:proofErr w:type="spellEnd"/>
      <w:r w:rsidRPr="00CF2582">
        <w:rPr>
          <w:b/>
          <w:bCs/>
          <w:lang w:val="cs-CZ"/>
        </w:rPr>
        <w:t xml:space="preserve"> 50 </w:t>
      </w:r>
      <w:proofErr w:type="spellStart"/>
      <w:r w:rsidR="00A733A1" w:rsidRPr="00A733A1">
        <w:rPr>
          <w:b/>
          <w:bCs/>
          <w:lang w:val="cs-CZ"/>
        </w:rPr>
        <w:t>μg</w:t>
      </w:r>
      <w:proofErr w:type="spellEnd"/>
      <w:r w:rsidRPr="00CF2582">
        <w:rPr>
          <w:b/>
          <w:bCs/>
          <w:lang w:val="cs-CZ"/>
        </w:rPr>
        <w:t>/ml perorální roztok pro psy a kočky</w:t>
      </w:r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spacing w:after="15" w:line="259" w:lineRule="auto"/>
        <w:ind w:left="0" w:firstLine="0"/>
        <w:rPr>
          <w:lang w:val="cs-CZ"/>
        </w:rPr>
      </w:pPr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pStyle w:val="Nadpis1"/>
        <w:tabs>
          <w:tab w:val="left" w:pos="567"/>
        </w:tabs>
        <w:ind w:left="567" w:right="0" w:hanging="582"/>
        <w:rPr>
          <w:lang w:val="cs-CZ"/>
        </w:rPr>
      </w:pPr>
      <w:r w:rsidRPr="003F53EB">
        <w:rPr>
          <w:bCs/>
          <w:highlight w:val="lightGray"/>
          <w:lang w:val="cs-CZ"/>
        </w:rPr>
        <w:t>1.</w:t>
      </w:r>
      <w:r w:rsidRPr="00CF2582">
        <w:rPr>
          <w:b w:val="0"/>
          <w:lang w:val="cs-CZ"/>
        </w:rPr>
        <w:tab/>
      </w:r>
      <w:r w:rsidRPr="00CF2582">
        <w:rPr>
          <w:bCs/>
          <w:lang w:val="cs-CZ"/>
        </w:rPr>
        <w:t>JMÉNO A ADRESA DRŽITELE ROZHODNUTÍ O REGISTRACI A DRŽITELE POVOLENÍ K VÝROBĚ ODPOVĚDNÉHO ZA UVOLNĚNÍ ŠARŽE, POKUD SE NESHODUJE</w:t>
      </w:r>
      <w:r w:rsidRPr="00CF2582">
        <w:rPr>
          <w:b w:val="0"/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left="0" w:firstLine="0"/>
        <w:rPr>
          <w:lang w:val="cs-CZ"/>
        </w:rPr>
      </w:pPr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ind w:left="-5"/>
        <w:rPr>
          <w:lang w:val="cs-CZ"/>
        </w:rPr>
      </w:pPr>
      <w:r w:rsidRPr="00CF2582">
        <w:rPr>
          <w:u w:val="single"/>
          <w:lang w:val="cs-CZ"/>
        </w:rPr>
        <w:t>Držitel rozhodnutí o registraci</w:t>
      </w:r>
      <w:r w:rsidRPr="00CF2582">
        <w:rPr>
          <w:lang w:val="cs-CZ"/>
        </w:rPr>
        <w:t xml:space="preserve">: </w:t>
      </w:r>
    </w:p>
    <w:p w:rsidR="00117CBC" w:rsidRPr="00CF2582" w:rsidRDefault="00117CBC" w:rsidP="00117CBC">
      <w:pPr>
        <w:spacing w:after="0" w:line="259" w:lineRule="auto"/>
        <w:ind w:left="0" w:firstLine="0"/>
        <w:rPr>
          <w:lang w:val="cs-CZ"/>
        </w:rPr>
      </w:pPr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ind w:left="-5"/>
        <w:rPr>
          <w:lang w:val="cs-CZ"/>
        </w:rPr>
      </w:pPr>
      <w:proofErr w:type="spellStart"/>
      <w:r w:rsidRPr="00CF2582">
        <w:rPr>
          <w:lang w:val="cs-CZ"/>
        </w:rPr>
        <w:t>Le</w:t>
      </w:r>
      <w:proofErr w:type="spellEnd"/>
      <w:r w:rsidRPr="00CF2582">
        <w:rPr>
          <w:lang w:val="cs-CZ"/>
        </w:rPr>
        <w:t xml:space="preserve"> Vet. </w:t>
      </w:r>
      <w:proofErr w:type="spellStart"/>
      <w:r w:rsidRPr="00CF2582">
        <w:rPr>
          <w:lang w:val="cs-CZ"/>
        </w:rPr>
        <w:t>Beheer</w:t>
      </w:r>
      <w:proofErr w:type="spellEnd"/>
      <w:r w:rsidRPr="00CF2582">
        <w:rPr>
          <w:lang w:val="cs-CZ"/>
        </w:rPr>
        <w:t xml:space="preserve"> B.V. </w:t>
      </w:r>
    </w:p>
    <w:p w:rsidR="00117CBC" w:rsidRPr="00CF2582" w:rsidRDefault="00117CBC" w:rsidP="00117CBC">
      <w:pPr>
        <w:ind w:left="-5"/>
        <w:rPr>
          <w:lang w:val="cs-CZ"/>
        </w:rPr>
      </w:pPr>
      <w:proofErr w:type="spellStart"/>
      <w:r w:rsidRPr="00CF2582">
        <w:rPr>
          <w:lang w:val="cs-CZ"/>
        </w:rPr>
        <w:t>Wilgenweg</w:t>
      </w:r>
      <w:proofErr w:type="spellEnd"/>
      <w:r w:rsidRPr="00CF2582">
        <w:rPr>
          <w:lang w:val="cs-CZ"/>
        </w:rPr>
        <w:t xml:space="preserve"> 7 </w:t>
      </w:r>
    </w:p>
    <w:p w:rsidR="00117CBC" w:rsidRPr="00CF2582" w:rsidRDefault="00117CBC" w:rsidP="00117CBC">
      <w:pPr>
        <w:ind w:left="-5"/>
        <w:rPr>
          <w:lang w:val="cs-CZ"/>
        </w:rPr>
      </w:pPr>
      <w:r w:rsidRPr="00CF2582">
        <w:rPr>
          <w:lang w:val="cs-CZ"/>
        </w:rPr>
        <w:t xml:space="preserve">3421 TV </w:t>
      </w:r>
      <w:proofErr w:type="spellStart"/>
      <w:r w:rsidRPr="00CF2582">
        <w:rPr>
          <w:lang w:val="cs-CZ"/>
        </w:rPr>
        <w:t>Oudewater</w:t>
      </w:r>
      <w:proofErr w:type="spellEnd"/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ind w:left="-5"/>
        <w:rPr>
          <w:lang w:val="cs-CZ"/>
        </w:rPr>
      </w:pPr>
      <w:r w:rsidRPr="00CF2582">
        <w:rPr>
          <w:lang w:val="cs-CZ"/>
        </w:rPr>
        <w:t xml:space="preserve">Nizozemsko </w:t>
      </w:r>
    </w:p>
    <w:p w:rsidR="00117CBC" w:rsidRPr="00CF2582" w:rsidRDefault="00117CBC" w:rsidP="00117CBC">
      <w:pPr>
        <w:spacing w:after="0" w:line="259" w:lineRule="auto"/>
        <w:ind w:left="0" w:firstLine="0"/>
        <w:rPr>
          <w:lang w:val="cs-CZ"/>
        </w:rPr>
      </w:pPr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ind w:left="-5"/>
        <w:rPr>
          <w:lang w:val="cs-CZ"/>
        </w:rPr>
      </w:pPr>
      <w:r w:rsidRPr="00CF2582">
        <w:rPr>
          <w:u w:val="single"/>
          <w:lang w:val="cs-CZ"/>
        </w:rPr>
        <w:t>Výrobce odpovědný za uvolnění šarže</w:t>
      </w:r>
      <w:r w:rsidRPr="00CF2582">
        <w:rPr>
          <w:lang w:val="cs-CZ"/>
        </w:rPr>
        <w:t xml:space="preserve">: </w:t>
      </w:r>
    </w:p>
    <w:p w:rsidR="00117CBC" w:rsidRPr="00CF2582" w:rsidRDefault="00117CBC" w:rsidP="00117CBC">
      <w:pPr>
        <w:spacing w:after="0" w:line="259" w:lineRule="auto"/>
        <w:ind w:left="0" w:firstLine="0"/>
        <w:rPr>
          <w:lang w:val="cs-CZ"/>
        </w:rPr>
      </w:pPr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ind w:left="-5"/>
        <w:rPr>
          <w:lang w:val="cs-CZ"/>
        </w:rPr>
      </w:pPr>
      <w:proofErr w:type="spellStart"/>
      <w:r w:rsidRPr="00CF2582">
        <w:rPr>
          <w:lang w:val="cs-CZ"/>
        </w:rPr>
        <w:t>Dreluso</w:t>
      </w:r>
      <w:proofErr w:type="spellEnd"/>
      <w:r w:rsidRPr="00CF2582">
        <w:rPr>
          <w:lang w:val="cs-CZ"/>
        </w:rPr>
        <w:t xml:space="preserve"> </w:t>
      </w:r>
      <w:proofErr w:type="spellStart"/>
      <w:r w:rsidRPr="00CF2582">
        <w:rPr>
          <w:lang w:val="cs-CZ"/>
        </w:rPr>
        <w:t>Pharmazeutika</w:t>
      </w:r>
      <w:proofErr w:type="spellEnd"/>
      <w:r w:rsidRPr="00CF2582">
        <w:rPr>
          <w:lang w:val="cs-CZ"/>
        </w:rPr>
        <w:t xml:space="preserve"> Dr. </w:t>
      </w:r>
      <w:proofErr w:type="spellStart"/>
      <w:r w:rsidRPr="00CF2582">
        <w:rPr>
          <w:lang w:val="cs-CZ"/>
        </w:rPr>
        <w:t>Elten</w:t>
      </w:r>
      <w:proofErr w:type="spellEnd"/>
      <w:r w:rsidRPr="00CF2582">
        <w:rPr>
          <w:lang w:val="cs-CZ"/>
        </w:rPr>
        <w:t xml:space="preserve"> &amp; </w:t>
      </w:r>
      <w:proofErr w:type="spellStart"/>
      <w:r w:rsidRPr="00CF2582">
        <w:rPr>
          <w:lang w:val="cs-CZ"/>
        </w:rPr>
        <w:t>Sohn</w:t>
      </w:r>
      <w:proofErr w:type="spellEnd"/>
      <w:r w:rsidRPr="00CF2582">
        <w:rPr>
          <w:lang w:val="cs-CZ"/>
        </w:rPr>
        <w:t xml:space="preserve"> </w:t>
      </w:r>
      <w:proofErr w:type="spellStart"/>
      <w:r w:rsidRPr="00CF2582">
        <w:rPr>
          <w:lang w:val="cs-CZ"/>
        </w:rPr>
        <w:t>GmbH</w:t>
      </w:r>
      <w:proofErr w:type="spellEnd"/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ind w:left="-5"/>
        <w:rPr>
          <w:lang w:val="cs-CZ"/>
        </w:rPr>
      </w:pPr>
      <w:proofErr w:type="spellStart"/>
      <w:r w:rsidRPr="00CF2582">
        <w:rPr>
          <w:lang w:val="cs-CZ"/>
        </w:rPr>
        <w:t>Südstr</w:t>
      </w:r>
      <w:proofErr w:type="spellEnd"/>
      <w:r w:rsidRPr="00CF2582">
        <w:rPr>
          <w:lang w:val="cs-CZ"/>
        </w:rPr>
        <w:t>. 10 u. 15</w:t>
      </w:r>
    </w:p>
    <w:p w:rsidR="00117CBC" w:rsidRPr="00CF2582" w:rsidRDefault="00117CBC" w:rsidP="00117CBC">
      <w:pPr>
        <w:ind w:left="-5"/>
        <w:rPr>
          <w:lang w:val="cs-CZ"/>
        </w:rPr>
      </w:pPr>
      <w:r w:rsidRPr="00CF2582">
        <w:rPr>
          <w:lang w:val="cs-CZ"/>
        </w:rPr>
        <w:t xml:space="preserve">31840 </w:t>
      </w:r>
      <w:proofErr w:type="spellStart"/>
      <w:r w:rsidRPr="00CF2582">
        <w:rPr>
          <w:lang w:val="cs-CZ"/>
        </w:rPr>
        <w:t>Hessisch</w:t>
      </w:r>
      <w:proofErr w:type="spellEnd"/>
      <w:r w:rsidRPr="00CF2582">
        <w:rPr>
          <w:lang w:val="cs-CZ"/>
        </w:rPr>
        <w:t xml:space="preserve"> </w:t>
      </w:r>
      <w:proofErr w:type="spellStart"/>
      <w:r w:rsidRPr="00CF2582">
        <w:rPr>
          <w:lang w:val="cs-CZ"/>
        </w:rPr>
        <w:t>Oldendorf</w:t>
      </w:r>
      <w:proofErr w:type="spellEnd"/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ind w:left="-5"/>
        <w:rPr>
          <w:lang w:val="cs-CZ"/>
        </w:rPr>
      </w:pPr>
      <w:r w:rsidRPr="00CF2582">
        <w:rPr>
          <w:lang w:val="cs-CZ"/>
        </w:rPr>
        <w:t xml:space="preserve">Německo </w:t>
      </w:r>
    </w:p>
    <w:p w:rsidR="00117CBC" w:rsidRPr="00CF2582" w:rsidRDefault="00117CBC" w:rsidP="00117CBC">
      <w:pPr>
        <w:spacing w:after="0" w:line="259" w:lineRule="auto"/>
        <w:ind w:left="0" w:firstLine="0"/>
        <w:rPr>
          <w:lang w:val="cs-CZ"/>
        </w:rPr>
      </w:pPr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spacing w:after="15" w:line="259" w:lineRule="auto"/>
        <w:ind w:left="0" w:firstLine="0"/>
        <w:rPr>
          <w:lang w:val="cs-CZ"/>
        </w:rPr>
      </w:pPr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pStyle w:val="Nadpis1"/>
        <w:tabs>
          <w:tab w:val="left" w:pos="567"/>
          <w:tab w:val="center" w:pos="3357"/>
        </w:tabs>
        <w:ind w:left="-15" w:right="0" w:firstLine="0"/>
        <w:rPr>
          <w:lang w:val="cs-CZ"/>
        </w:rPr>
      </w:pPr>
      <w:r w:rsidRPr="003F53EB">
        <w:rPr>
          <w:bCs/>
          <w:highlight w:val="lightGray"/>
          <w:lang w:val="cs-CZ"/>
        </w:rPr>
        <w:t>2.</w:t>
      </w:r>
      <w:r w:rsidRPr="00CF2582">
        <w:rPr>
          <w:b w:val="0"/>
          <w:lang w:val="cs-CZ"/>
        </w:rPr>
        <w:tab/>
      </w:r>
      <w:r w:rsidRPr="00CF2582">
        <w:rPr>
          <w:bCs/>
          <w:lang w:val="cs-CZ"/>
        </w:rPr>
        <w:t>NÁZEV VETERINÁRNÍHO LÉČIVÉHO PŘÍPRAVKU</w:t>
      </w:r>
      <w:r w:rsidRPr="00CF2582">
        <w:rPr>
          <w:b w:val="0"/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left="0" w:firstLine="0"/>
        <w:rPr>
          <w:lang w:val="cs-CZ"/>
        </w:rPr>
      </w:pPr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ind w:left="-5"/>
        <w:rPr>
          <w:lang w:val="cs-CZ"/>
        </w:rPr>
      </w:pPr>
      <w:proofErr w:type="spellStart"/>
      <w:r w:rsidRPr="00CF2582">
        <w:rPr>
          <w:lang w:val="cs-CZ"/>
        </w:rPr>
        <w:t>Finilac</w:t>
      </w:r>
      <w:proofErr w:type="spellEnd"/>
      <w:r w:rsidRPr="00CF2582">
        <w:rPr>
          <w:lang w:val="cs-CZ"/>
        </w:rPr>
        <w:t xml:space="preserve"> 50 </w:t>
      </w:r>
      <w:proofErr w:type="spellStart"/>
      <w:r w:rsidR="00A733A1" w:rsidRPr="00A733A1">
        <w:rPr>
          <w:lang w:val="cs-CZ"/>
        </w:rPr>
        <w:t>μg</w:t>
      </w:r>
      <w:proofErr w:type="spellEnd"/>
      <w:r w:rsidRPr="00CF2582">
        <w:rPr>
          <w:lang w:val="cs-CZ"/>
        </w:rPr>
        <w:t>/ml perorální roztok pro psy a kočky</w:t>
      </w:r>
    </w:p>
    <w:p w:rsidR="00117CBC" w:rsidRPr="00CF2582" w:rsidRDefault="00117CBC" w:rsidP="00117CBC">
      <w:pPr>
        <w:ind w:left="-5"/>
        <w:rPr>
          <w:lang w:val="cs-CZ"/>
        </w:rPr>
      </w:pPr>
      <w:proofErr w:type="spellStart"/>
      <w:r w:rsidRPr="00CF2582">
        <w:rPr>
          <w:lang w:val="cs-CZ"/>
        </w:rPr>
        <w:t>Cabergolinum</w:t>
      </w:r>
      <w:proofErr w:type="spellEnd"/>
    </w:p>
    <w:p w:rsidR="00117CBC" w:rsidRPr="00CF2582" w:rsidRDefault="00117CBC" w:rsidP="00117CBC">
      <w:pPr>
        <w:spacing w:after="0" w:line="259" w:lineRule="auto"/>
        <w:ind w:left="0" w:firstLine="0"/>
        <w:rPr>
          <w:lang w:val="cs-CZ"/>
        </w:rPr>
      </w:pPr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spacing w:after="15" w:line="259" w:lineRule="auto"/>
        <w:ind w:left="0" w:firstLine="0"/>
        <w:rPr>
          <w:lang w:val="cs-CZ"/>
        </w:rPr>
      </w:pPr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pStyle w:val="Nadpis1"/>
        <w:tabs>
          <w:tab w:val="left" w:pos="567"/>
          <w:tab w:val="center" w:pos="4528"/>
        </w:tabs>
        <w:ind w:left="-15" w:right="0" w:firstLine="0"/>
        <w:rPr>
          <w:lang w:val="cs-CZ"/>
        </w:rPr>
      </w:pPr>
      <w:r w:rsidRPr="003F53EB">
        <w:rPr>
          <w:bCs/>
          <w:highlight w:val="lightGray"/>
          <w:lang w:val="cs-CZ"/>
        </w:rPr>
        <w:t>3.</w:t>
      </w:r>
      <w:r w:rsidRPr="00CF2582">
        <w:rPr>
          <w:b w:val="0"/>
          <w:lang w:val="cs-CZ"/>
        </w:rPr>
        <w:tab/>
      </w:r>
      <w:r w:rsidRPr="00CF2582">
        <w:rPr>
          <w:bCs/>
          <w:lang w:val="cs-CZ"/>
        </w:rPr>
        <w:t>OBSAH LÉČIVÝCH A OSTATNÍCH LÁTEK</w:t>
      </w:r>
      <w:r w:rsidRPr="00CF2582">
        <w:rPr>
          <w:b w:val="0"/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left="0" w:firstLine="0"/>
        <w:rPr>
          <w:lang w:val="cs-CZ"/>
        </w:rPr>
      </w:pPr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ind w:left="-5"/>
        <w:rPr>
          <w:lang w:val="cs-CZ"/>
        </w:rPr>
      </w:pPr>
      <w:r w:rsidRPr="00CF2582">
        <w:rPr>
          <w:lang w:val="cs-CZ"/>
        </w:rPr>
        <w:t xml:space="preserve">1 ml obsahuje: </w:t>
      </w:r>
    </w:p>
    <w:p w:rsidR="00117CBC" w:rsidRPr="00CF2582" w:rsidRDefault="00117CBC" w:rsidP="00117CBC">
      <w:pPr>
        <w:spacing w:after="0" w:line="259" w:lineRule="auto"/>
        <w:ind w:left="0" w:firstLine="0"/>
        <w:rPr>
          <w:lang w:val="cs-CZ"/>
        </w:rPr>
      </w:pPr>
      <w:r w:rsidRPr="00CF2582">
        <w:rPr>
          <w:b/>
          <w:bCs/>
          <w:lang w:val="cs-CZ"/>
        </w:rPr>
        <w:t xml:space="preserve"> </w:t>
      </w:r>
    </w:p>
    <w:p w:rsidR="00117CBC" w:rsidRPr="00CF2582" w:rsidRDefault="00117CBC" w:rsidP="00117CBC">
      <w:pPr>
        <w:spacing w:line="251" w:lineRule="auto"/>
        <w:ind w:left="-5"/>
        <w:rPr>
          <w:lang w:val="cs-CZ"/>
        </w:rPr>
      </w:pPr>
      <w:r w:rsidRPr="00CF2582">
        <w:rPr>
          <w:b/>
          <w:bCs/>
          <w:lang w:val="cs-CZ"/>
        </w:rPr>
        <w:t>Léčivá látka:</w:t>
      </w:r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ind w:left="-5"/>
        <w:rPr>
          <w:lang w:val="cs-CZ"/>
        </w:rPr>
      </w:pPr>
      <w:proofErr w:type="spellStart"/>
      <w:r w:rsidRPr="00CF2582">
        <w:rPr>
          <w:lang w:val="cs-CZ"/>
        </w:rPr>
        <w:t>Cabergolinum</w:t>
      </w:r>
      <w:proofErr w:type="spellEnd"/>
      <w:r w:rsidRPr="00CF2582">
        <w:rPr>
          <w:lang w:val="cs-CZ"/>
        </w:rPr>
        <w:t xml:space="preserve"> 50 </w:t>
      </w:r>
      <w:proofErr w:type="spellStart"/>
      <w:r w:rsidR="00A733A1" w:rsidRPr="00A733A1">
        <w:rPr>
          <w:lang w:val="cs-CZ"/>
        </w:rPr>
        <w:t>μg</w:t>
      </w:r>
      <w:proofErr w:type="spellEnd"/>
      <w:r w:rsidRPr="00CF2582">
        <w:rPr>
          <w:lang w:val="cs-CZ"/>
        </w:rPr>
        <w:t xml:space="preserve"> </w:t>
      </w:r>
    </w:p>
    <w:p w:rsidR="001D0BBF" w:rsidRDefault="001D0BBF" w:rsidP="00117CBC">
      <w:pPr>
        <w:spacing w:after="15" w:line="259" w:lineRule="auto"/>
        <w:ind w:left="0" w:firstLine="0"/>
        <w:rPr>
          <w:color w:val="auto"/>
          <w:kern w:val="14"/>
          <w:lang w:val="cs-CZ"/>
        </w:rPr>
      </w:pPr>
    </w:p>
    <w:p w:rsidR="00117CBC" w:rsidRPr="00CF2582" w:rsidRDefault="00117CBC" w:rsidP="00117CBC">
      <w:pPr>
        <w:spacing w:after="15" w:line="259" w:lineRule="auto"/>
        <w:ind w:left="0" w:firstLine="0"/>
        <w:rPr>
          <w:color w:val="auto"/>
          <w:kern w:val="14"/>
          <w:lang w:val="cs-CZ"/>
        </w:rPr>
      </w:pPr>
      <w:r w:rsidRPr="00CF2582">
        <w:rPr>
          <w:color w:val="auto"/>
          <w:kern w:val="14"/>
          <w:lang w:val="cs-CZ"/>
        </w:rPr>
        <w:t xml:space="preserve">Čirý, bezbarvý až </w:t>
      </w:r>
      <w:r w:rsidR="009E0CB5">
        <w:rPr>
          <w:color w:val="auto"/>
          <w:kern w:val="14"/>
          <w:lang w:val="cs-CZ"/>
        </w:rPr>
        <w:t>mírně nahnědlý</w:t>
      </w:r>
      <w:r w:rsidRPr="00CF2582">
        <w:rPr>
          <w:color w:val="auto"/>
          <w:kern w:val="14"/>
          <w:lang w:val="cs-CZ"/>
        </w:rPr>
        <w:t xml:space="preserve"> roztok. </w:t>
      </w:r>
    </w:p>
    <w:p w:rsidR="00117CBC" w:rsidRPr="00CF2582" w:rsidRDefault="00117CBC" w:rsidP="00117CBC">
      <w:pPr>
        <w:spacing w:after="15" w:line="259" w:lineRule="auto"/>
        <w:ind w:left="0" w:firstLine="0"/>
        <w:rPr>
          <w:lang w:val="cs-CZ"/>
        </w:rPr>
      </w:pPr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pStyle w:val="Nadpis1"/>
        <w:tabs>
          <w:tab w:val="left" w:pos="567"/>
          <w:tab w:val="center" w:pos="1384"/>
        </w:tabs>
        <w:ind w:left="-15" w:right="0" w:firstLine="0"/>
        <w:rPr>
          <w:lang w:val="cs-CZ"/>
        </w:rPr>
      </w:pPr>
      <w:r w:rsidRPr="003F53EB">
        <w:rPr>
          <w:bCs/>
          <w:highlight w:val="lightGray"/>
          <w:lang w:val="cs-CZ"/>
        </w:rPr>
        <w:t>4.</w:t>
      </w:r>
      <w:r w:rsidRPr="00CF2582">
        <w:rPr>
          <w:b w:val="0"/>
          <w:lang w:val="cs-CZ"/>
        </w:rPr>
        <w:tab/>
      </w:r>
      <w:r w:rsidRPr="00CF2582">
        <w:rPr>
          <w:bCs/>
          <w:lang w:val="cs-CZ"/>
        </w:rPr>
        <w:t>INDIKACE</w:t>
      </w:r>
      <w:r w:rsidRPr="00CF2582">
        <w:rPr>
          <w:b w:val="0"/>
          <w:lang w:val="cs-CZ"/>
        </w:rPr>
        <w:t xml:space="preserve"> </w:t>
      </w:r>
    </w:p>
    <w:p w:rsidR="00117CBC" w:rsidRPr="00CF2582" w:rsidRDefault="00117CBC" w:rsidP="00117CBC">
      <w:pPr>
        <w:spacing w:after="41" w:line="259" w:lineRule="auto"/>
        <w:ind w:left="0" w:firstLine="0"/>
        <w:rPr>
          <w:lang w:val="cs-CZ"/>
        </w:rPr>
      </w:pPr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spacing w:after="15" w:line="259" w:lineRule="auto"/>
        <w:ind w:left="0" w:firstLine="0"/>
        <w:rPr>
          <w:lang w:val="cs-CZ"/>
        </w:rPr>
      </w:pPr>
      <w:r w:rsidRPr="00CF2582">
        <w:rPr>
          <w:lang w:val="cs-CZ"/>
        </w:rPr>
        <w:t>Léčba falešné březosti u fen</w:t>
      </w:r>
    </w:p>
    <w:p w:rsidR="00117CBC" w:rsidRPr="00CF2582" w:rsidRDefault="00117CBC" w:rsidP="00117CBC">
      <w:pPr>
        <w:spacing w:after="15" w:line="259" w:lineRule="auto"/>
        <w:ind w:left="0" w:firstLine="0"/>
        <w:rPr>
          <w:lang w:val="cs-CZ"/>
        </w:rPr>
      </w:pPr>
      <w:r w:rsidRPr="00CF2582">
        <w:rPr>
          <w:lang w:val="cs-CZ"/>
        </w:rPr>
        <w:t>Potlačení laktace u fen a koček</w:t>
      </w:r>
    </w:p>
    <w:p w:rsidR="00117CBC" w:rsidRPr="00CF2582" w:rsidRDefault="00117CBC" w:rsidP="00117CBC">
      <w:pPr>
        <w:spacing w:after="15" w:line="259" w:lineRule="auto"/>
        <w:ind w:left="0" w:firstLine="0"/>
        <w:rPr>
          <w:lang w:val="cs-CZ"/>
        </w:rPr>
      </w:pPr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tabs>
          <w:tab w:val="left" w:pos="567"/>
          <w:tab w:val="center" w:pos="1785"/>
        </w:tabs>
        <w:spacing w:line="251" w:lineRule="auto"/>
        <w:ind w:left="-15" w:firstLine="0"/>
        <w:rPr>
          <w:lang w:val="cs-CZ"/>
        </w:rPr>
      </w:pPr>
      <w:r w:rsidRPr="003F53EB">
        <w:rPr>
          <w:b/>
          <w:bCs/>
          <w:highlight w:val="lightGray"/>
          <w:lang w:val="cs-CZ"/>
        </w:rPr>
        <w:t>5.</w:t>
      </w:r>
      <w:r w:rsidRPr="00CF2582">
        <w:rPr>
          <w:lang w:val="cs-CZ"/>
        </w:rPr>
        <w:tab/>
      </w:r>
      <w:r w:rsidRPr="00CF2582">
        <w:rPr>
          <w:b/>
          <w:bCs/>
          <w:lang w:val="cs-CZ"/>
        </w:rPr>
        <w:t>KONTRAINDIKACE</w:t>
      </w:r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left="0" w:firstLine="0"/>
        <w:rPr>
          <w:lang w:val="cs-CZ"/>
        </w:rPr>
      </w:pPr>
      <w:r w:rsidRPr="00CF2582">
        <w:rPr>
          <w:lang w:val="cs-CZ"/>
        </w:rPr>
        <w:t xml:space="preserve"> </w:t>
      </w:r>
    </w:p>
    <w:p w:rsidR="00117CBC" w:rsidRPr="00CF2582" w:rsidRDefault="00117CBC" w:rsidP="00117CBC">
      <w:pPr>
        <w:ind w:left="-5"/>
        <w:rPr>
          <w:lang w:val="cs-CZ"/>
        </w:rPr>
      </w:pPr>
      <w:r w:rsidRPr="00CF2582">
        <w:rPr>
          <w:lang w:val="cs-CZ"/>
        </w:rPr>
        <w:t>Nepoužívat u březích zvířat, protože přípravek může způsobit potrat.</w:t>
      </w:r>
    </w:p>
    <w:p w:rsidR="00117CBC" w:rsidRPr="00CF2582" w:rsidRDefault="00117CBC" w:rsidP="00117CBC">
      <w:pPr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>Nepoužívat s antagonisty dopaminu.</w:t>
      </w:r>
    </w:p>
    <w:p w:rsidR="00117CBC" w:rsidRDefault="00117CBC" w:rsidP="00117CBC">
      <w:pPr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>Nepoužívat v případě přecitlivělosti na léčivou látku nebo na některou z pomocných látek.</w:t>
      </w:r>
    </w:p>
    <w:p w:rsidR="00796636" w:rsidRDefault="00796636" w:rsidP="00117CBC">
      <w:pPr>
        <w:ind w:left="0" w:firstLine="0"/>
        <w:rPr>
          <w:color w:val="auto"/>
          <w:lang w:val="cs-CZ"/>
        </w:rPr>
      </w:pPr>
    </w:p>
    <w:p w:rsidR="00796636" w:rsidRPr="003F53EB" w:rsidRDefault="00796636" w:rsidP="00796636">
      <w:pPr>
        <w:rPr>
          <w:lang w:val="cs-CZ"/>
        </w:rPr>
      </w:pPr>
      <w:r w:rsidRPr="003F53EB">
        <w:rPr>
          <w:bCs/>
          <w:lang w:val="cs-CZ"/>
        </w:rPr>
        <w:t xml:space="preserve">U léčených zvířat může </w:t>
      </w:r>
      <w:proofErr w:type="spellStart"/>
      <w:r w:rsidRPr="003F53EB">
        <w:rPr>
          <w:bCs/>
          <w:lang w:val="cs-CZ"/>
        </w:rPr>
        <w:t>kabergolin</w:t>
      </w:r>
      <w:proofErr w:type="spellEnd"/>
      <w:r w:rsidRPr="003F53EB">
        <w:rPr>
          <w:bCs/>
          <w:lang w:val="cs-CZ"/>
        </w:rPr>
        <w:t xml:space="preserve"> vyvolat přechodnou hypotenzi. Nepoužívat u zvířat, která jsou v současné době léčena hypotenzními léky. Nepoužívejte přímo po chirurgickém zákroku, pokud je zvíře stále pod vlivem anestetik.</w:t>
      </w:r>
    </w:p>
    <w:p w:rsidR="00796636" w:rsidRPr="00CF2582" w:rsidRDefault="00796636" w:rsidP="00117CBC">
      <w:pPr>
        <w:ind w:left="0" w:firstLine="0"/>
        <w:rPr>
          <w:color w:val="auto"/>
          <w:lang w:val="cs-CZ"/>
        </w:rPr>
      </w:pPr>
    </w:p>
    <w:p w:rsidR="00117CBC" w:rsidRPr="00CF2582" w:rsidRDefault="00117CBC" w:rsidP="00117CBC">
      <w:pPr>
        <w:ind w:left="-5"/>
        <w:rPr>
          <w:color w:val="auto"/>
          <w:lang w:val="cs-CZ"/>
        </w:rPr>
      </w:pPr>
    </w:p>
    <w:p w:rsidR="00117CBC" w:rsidRPr="00CF2582" w:rsidRDefault="00117CBC" w:rsidP="00117CBC">
      <w:pPr>
        <w:pStyle w:val="Nadpis1"/>
        <w:tabs>
          <w:tab w:val="left" w:pos="567"/>
          <w:tab w:val="center" w:pos="1771"/>
        </w:tabs>
        <w:ind w:left="-15" w:right="0" w:firstLine="0"/>
        <w:rPr>
          <w:color w:val="auto"/>
          <w:lang w:val="cs-CZ"/>
        </w:rPr>
      </w:pPr>
      <w:r w:rsidRPr="003F53EB">
        <w:rPr>
          <w:bCs/>
          <w:color w:val="auto"/>
          <w:highlight w:val="lightGray"/>
          <w:lang w:val="cs-CZ"/>
        </w:rPr>
        <w:lastRenderedPageBreak/>
        <w:t>6.</w:t>
      </w:r>
      <w:r w:rsidRPr="00CF2582">
        <w:rPr>
          <w:b w:val="0"/>
          <w:color w:val="auto"/>
          <w:lang w:val="cs-CZ"/>
        </w:rPr>
        <w:tab/>
      </w:r>
      <w:r w:rsidRPr="00CF2582">
        <w:rPr>
          <w:bCs/>
          <w:color w:val="auto"/>
          <w:lang w:val="cs-CZ"/>
        </w:rPr>
        <w:t>NEŽÁDOUCÍ ÚČINKY</w:t>
      </w:r>
      <w:r w:rsidRPr="00CF2582">
        <w:rPr>
          <w:b w:val="0"/>
          <w:color w:val="auto"/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 </w:t>
      </w:r>
    </w:p>
    <w:p w:rsidR="00117CBC" w:rsidRPr="00CF2582" w:rsidRDefault="00796636" w:rsidP="00117CBC">
      <w:pPr>
        <w:spacing w:line="240" w:lineRule="auto"/>
        <w:jc w:val="both"/>
        <w:rPr>
          <w:bCs/>
          <w:color w:val="auto"/>
          <w:lang w:val="cs-CZ"/>
        </w:rPr>
      </w:pPr>
      <w:r w:rsidRPr="003F53EB">
        <w:rPr>
          <w:color w:val="auto"/>
          <w:lang w:val="cs-CZ"/>
        </w:rPr>
        <w:t>U zvířat s významně poškozenou funkcí jater se doporučuje opatrnost</w:t>
      </w:r>
      <w:r>
        <w:rPr>
          <w:color w:val="auto"/>
          <w:lang w:val="cs-CZ"/>
        </w:rPr>
        <w:t>.</w:t>
      </w:r>
      <w:r w:rsidRPr="00CF2582" w:rsidDel="00796636">
        <w:rPr>
          <w:color w:val="auto"/>
          <w:lang w:val="cs-CZ"/>
        </w:rPr>
        <w:t xml:space="preserve"> </w:t>
      </w:r>
      <w:r w:rsidR="00117CBC" w:rsidRPr="00CF2582">
        <w:rPr>
          <w:color w:val="auto"/>
          <w:lang w:val="cs-CZ"/>
        </w:rPr>
        <w:t>Možné nežádoucí účinky jsou:</w:t>
      </w:r>
    </w:p>
    <w:p w:rsidR="00117CBC" w:rsidRPr="00CF2582" w:rsidRDefault="00117CBC" w:rsidP="00117CBC">
      <w:pPr>
        <w:numPr>
          <w:ilvl w:val="0"/>
          <w:numId w:val="2"/>
        </w:numPr>
        <w:spacing w:after="0" w:line="240" w:lineRule="auto"/>
        <w:jc w:val="both"/>
        <w:rPr>
          <w:bCs/>
          <w:color w:val="auto"/>
          <w:lang w:val="cs-CZ"/>
        </w:rPr>
      </w:pPr>
      <w:r w:rsidRPr="00CF2582">
        <w:rPr>
          <w:color w:val="auto"/>
          <w:lang w:val="cs-CZ"/>
        </w:rPr>
        <w:t>poruchy spánku</w:t>
      </w:r>
    </w:p>
    <w:p w:rsidR="00117CBC" w:rsidRPr="00CF2582" w:rsidRDefault="00117CBC" w:rsidP="00117CBC">
      <w:pPr>
        <w:numPr>
          <w:ilvl w:val="0"/>
          <w:numId w:val="2"/>
        </w:numPr>
        <w:spacing w:after="0" w:line="240" w:lineRule="auto"/>
        <w:jc w:val="both"/>
        <w:rPr>
          <w:bCs/>
          <w:color w:val="auto"/>
          <w:lang w:val="cs-CZ"/>
        </w:rPr>
      </w:pPr>
      <w:r w:rsidRPr="00CF2582">
        <w:rPr>
          <w:color w:val="auto"/>
          <w:lang w:val="cs-CZ"/>
        </w:rPr>
        <w:t>anorexie (ztráta chuti k jídlu)</w:t>
      </w:r>
    </w:p>
    <w:p w:rsidR="00117CBC" w:rsidRPr="00CF2582" w:rsidRDefault="00117CBC" w:rsidP="00117CBC">
      <w:pPr>
        <w:numPr>
          <w:ilvl w:val="0"/>
          <w:numId w:val="2"/>
        </w:numPr>
        <w:spacing w:after="0" w:line="240" w:lineRule="auto"/>
        <w:jc w:val="both"/>
        <w:rPr>
          <w:bCs/>
          <w:color w:val="auto"/>
          <w:lang w:val="cs-CZ"/>
        </w:rPr>
      </w:pPr>
      <w:r w:rsidRPr="00CF2582">
        <w:rPr>
          <w:color w:val="auto"/>
          <w:lang w:val="cs-CZ"/>
        </w:rPr>
        <w:t>zvracení.</w:t>
      </w:r>
    </w:p>
    <w:p w:rsidR="00117CBC" w:rsidRPr="00CF2582" w:rsidRDefault="00117CBC" w:rsidP="00117CBC">
      <w:pPr>
        <w:spacing w:line="240" w:lineRule="auto"/>
        <w:jc w:val="both"/>
        <w:rPr>
          <w:bCs/>
          <w:color w:val="auto"/>
          <w:lang w:val="cs-CZ"/>
        </w:rPr>
      </w:pPr>
      <w:r w:rsidRPr="00CF2582">
        <w:rPr>
          <w:color w:val="auto"/>
          <w:lang w:val="cs-CZ"/>
        </w:rPr>
        <w:t>Tyto nežádoucí účinky jsou obvykle mírné a přechodné povahy.</w:t>
      </w:r>
    </w:p>
    <w:p w:rsidR="00117CBC" w:rsidRPr="00CF2582" w:rsidRDefault="00117CBC" w:rsidP="00117CBC">
      <w:pPr>
        <w:spacing w:line="240" w:lineRule="auto"/>
        <w:jc w:val="both"/>
        <w:rPr>
          <w:bCs/>
          <w:color w:val="auto"/>
          <w:lang w:val="cs-CZ"/>
        </w:rPr>
      </w:pPr>
      <w:r w:rsidRPr="00CF2582">
        <w:rPr>
          <w:color w:val="auto"/>
          <w:lang w:val="cs-CZ"/>
        </w:rPr>
        <w:t>Zvracení se obvykle vyskytuje pouze po prvním podání. V takovém případě by se léčba neměla ukončovat, neboť je nepravděpodobné, že by se zvracení po dalších podáních znovu objevilo.</w:t>
      </w:r>
    </w:p>
    <w:p w:rsidR="00117CBC" w:rsidRPr="00CF2582" w:rsidRDefault="00117CBC" w:rsidP="00117CBC">
      <w:pPr>
        <w:autoSpaceDE w:val="0"/>
        <w:autoSpaceDN w:val="0"/>
        <w:adjustRightInd w:val="0"/>
        <w:spacing w:line="240" w:lineRule="auto"/>
        <w:rPr>
          <w:bCs/>
          <w:color w:val="auto"/>
          <w:lang w:val="cs-CZ"/>
        </w:rPr>
      </w:pPr>
    </w:p>
    <w:p w:rsidR="00117CBC" w:rsidRPr="00CF2582" w:rsidRDefault="00117CBC" w:rsidP="00117CBC">
      <w:pPr>
        <w:spacing w:line="240" w:lineRule="auto"/>
        <w:jc w:val="both"/>
        <w:rPr>
          <w:bCs/>
          <w:color w:val="auto"/>
          <w:lang w:val="cs-CZ"/>
        </w:rPr>
      </w:pPr>
      <w:r w:rsidRPr="00CF2582">
        <w:rPr>
          <w:color w:val="auto"/>
          <w:lang w:val="cs-CZ"/>
        </w:rPr>
        <w:t xml:space="preserve">Ve velmi vzácných případech se mohou objevit alergické reakce, jako například edém (zadržování tekutin), </w:t>
      </w:r>
      <w:proofErr w:type="spellStart"/>
      <w:r w:rsidRPr="00CF2582">
        <w:rPr>
          <w:color w:val="auto"/>
          <w:lang w:val="cs-CZ"/>
        </w:rPr>
        <w:t>urtikarie</w:t>
      </w:r>
      <w:proofErr w:type="spellEnd"/>
      <w:r w:rsidRPr="00CF2582">
        <w:rPr>
          <w:color w:val="auto"/>
          <w:lang w:val="cs-CZ"/>
        </w:rPr>
        <w:t xml:space="preserve"> (kopřivka), </w:t>
      </w:r>
      <w:proofErr w:type="spellStart"/>
      <w:r w:rsidRPr="00CF2582">
        <w:rPr>
          <w:color w:val="auto"/>
          <w:lang w:val="cs-CZ"/>
        </w:rPr>
        <w:t>dermatitída</w:t>
      </w:r>
      <w:proofErr w:type="spellEnd"/>
      <w:r w:rsidRPr="00CF2582">
        <w:rPr>
          <w:color w:val="auto"/>
          <w:lang w:val="cs-CZ"/>
        </w:rPr>
        <w:t xml:space="preserve"> (zánět kůže) a pruritus (svědění).</w:t>
      </w:r>
    </w:p>
    <w:p w:rsidR="00117CBC" w:rsidRPr="00CF2582" w:rsidRDefault="00117CBC" w:rsidP="00117CBC">
      <w:pPr>
        <w:spacing w:line="240" w:lineRule="auto"/>
        <w:jc w:val="both"/>
        <w:rPr>
          <w:bCs/>
          <w:color w:val="auto"/>
          <w:lang w:val="cs-CZ"/>
        </w:rPr>
      </w:pPr>
      <w:r w:rsidRPr="00CF2582">
        <w:rPr>
          <w:color w:val="auto"/>
          <w:lang w:val="cs-CZ"/>
        </w:rPr>
        <w:t>Ve ve</w:t>
      </w:r>
      <w:r>
        <w:rPr>
          <w:color w:val="auto"/>
          <w:lang w:val="cs-CZ"/>
        </w:rPr>
        <w:t>l</w:t>
      </w:r>
      <w:r w:rsidRPr="00CF2582">
        <w:rPr>
          <w:color w:val="auto"/>
          <w:lang w:val="cs-CZ"/>
        </w:rPr>
        <w:t>mi vzácných případech se mohou objevit neurologické příznaky, jako je ospalost, svalový třes, ataxie (ztráta svalové koordinace), hyperaktivita a křeče (záchvaty).</w:t>
      </w:r>
    </w:p>
    <w:p w:rsidR="00796636" w:rsidRDefault="00796636" w:rsidP="00117CBC">
      <w:pPr>
        <w:spacing w:line="240" w:lineRule="auto"/>
        <w:jc w:val="both"/>
        <w:rPr>
          <w:color w:val="auto"/>
          <w:lang w:val="cs-CZ"/>
        </w:rPr>
      </w:pPr>
    </w:p>
    <w:p w:rsidR="00796636" w:rsidRPr="00796636" w:rsidRDefault="00796636" w:rsidP="00796636">
      <w:pPr>
        <w:spacing w:after="0" w:line="240" w:lineRule="auto"/>
        <w:ind w:left="0" w:firstLine="0"/>
        <w:rPr>
          <w:color w:val="auto"/>
          <w:lang w:val="cs-CZ" w:eastAsia="en-US"/>
        </w:rPr>
      </w:pPr>
      <w:r w:rsidRPr="00796636">
        <w:rPr>
          <w:color w:val="auto"/>
          <w:lang w:val="cs-CZ" w:eastAsia="en-US"/>
        </w:rPr>
        <w:t>Četnost nežádoucích účinků je charakterizována podle následujících pravidel:</w:t>
      </w:r>
    </w:p>
    <w:p w:rsidR="00796636" w:rsidRPr="00796636" w:rsidRDefault="00796636" w:rsidP="00796636">
      <w:pPr>
        <w:spacing w:after="0" w:line="240" w:lineRule="auto"/>
        <w:ind w:left="567" w:hanging="567"/>
        <w:rPr>
          <w:color w:val="auto"/>
          <w:lang w:val="cs-CZ" w:eastAsia="en-US"/>
        </w:rPr>
      </w:pPr>
      <w:r w:rsidRPr="00796636">
        <w:rPr>
          <w:color w:val="auto"/>
          <w:lang w:val="cs-CZ" w:eastAsia="en-US"/>
        </w:rPr>
        <w:t>- velmi časté (nežádoucí účinek(</w:t>
      </w:r>
      <w:proofErr w:type="spellStart"/>
      <w:r w:rsidRPr="00796636">
        <w:rPr>
          <w:color w:val="auto"/>
          <w:lang w:val="cs-CZ" w:eastAsia="en-US"/>
        </w:rPr>
        <w:t>nky</w:t>
      </w:r>
      <w:proofErr w:type="spellEnd"/>
      <w:r w:rsidRPr="00796636">
        <w:rPr>
          <w:color w:val="auto"/>
          <w:lang w:val="cs-CZ" w:eastAsia="en-US"/>
        </w:rPr>
        <w:t>) se projevil(y) u více než 1 z 10 ošetřených zvířat)</w:t>
      </w:r>
    </w:p>
    <w:p w:rsidR="00796636" w:rsidRPr="00796636" w:rsidRDefault="00796636" w:rsidP="00796636">
      <w:pPr>
        <w:spacing w:after="0" w:line="240" w:lineRule="auto"/>
        <w:ind w:left="567" w:hanging="567"/>
        <w:rPr>
          <w:color w:val="auto"/>
          <w:lang w:val="cs-CZ" w:eastAsia="en-US"/>
        </w:rPr>
      </w:pPr>
      <w:r w:rsidRPr="00796636">
        <w:rPr>
          <w:color w:val="auto"/>
          <w:lang w:val="cs-CZ" w:eastAsia="en-US"/>
        </w:rPr>
        <w:t>- časté (u více než 1, ale méně než 10 ze 100 ošetřených zvířat)</w:t>
      </w:r>
    </w:p>
    <w:p w:rsidR="00796636" w:rsidRPr="00796636" w:rsidRDefault="00796636" w:rsidP="00796636">
      <w:pPr>
        <w:spacing w:after="0" w:line="240" w:lineRule="auto"/>
        <w:ind w:left="567" w:hanging="567"/>
        <w:rPr>
          <w:color w:val="auto"/>
          <w:lang w:val="cs-CZ" w:eastAsia="en-US"/>
        </w:rPr>
      </w:pPr>
      <w:r w:rsidRPr="00796636">
        <w:rPr>
          <w:color w:val="auto"/>
          <w:lang w:val="cs-CZ" w:eastAsia="en-US"/>
        </w:rPr>
        <w:t>- neobvyklé (u více než 1, ale méně než 10 z 1000 ošetřených zvířat)</w:t>
      </w:r>
    </w:p>
    <w:p w:rsidR="00796636" w:rsidRPr="00796636" w:rsidRDefault="00796636" w:rsidP="00796636">
      <w:pPr>
        <w:spacing w:after="0" w:line="240" w:lineRule="auto"/>
        <w:ind w:left="567" w:hanging="567"/>
        <w:rPr>
          <w:color w:val="auto"/>
          <w:lang w:val="cs-CZ" w:eastAsia="en-US"/>
        </w:rPr>
      </w:pPr>
      <w:r w:rsidRPr="00796636">
        <w:rPr>
          <w:color w:val="auto"/>
          <w:lang w:val="cs-CZ" w:eastAsia="en-US"/>
        </w:rPr>
        <w:t xml:space="preserve">- vzácné (u více než 1, ale méně než 10 </w:t>
      </w:r>
      <w:proofErr w:type="gramStart"/>
      <w:r w:rsidRPr="00796636">
        <w:rPr>
          <w:color w:val="auto"/>
          <w:lang w:val="cs-CZ" w:eastAsia="en-US"/>
        </w:rPr>
        <w:t>z  10000</w:t>
      </w:r>
      <w:proofErr w:type="gramEnd"/>
      <w:r w:rsidRPr="00796636">
        <w:rPr>
          <w:color w:val="auto"/>
          <w:lang w:val="cs-CZ" w:eastAsia="en-US"/>
        </w:rPr>
        <w:t xml:space="preserve"> ošetřených zvířat)</w:t>
      </w:r>
    </w:p>
    <w:p w:rsidR="00796636" w:rsidRPr="00796636" w:rsidRDefault="00796636" w:rsidP="00796636">
      <w:pPr>
        <w:spacing w:after="0" w:line="240" w:lineRule="auto"/>
        <w:ind w:left="567" w:hanging="567"/>
        <w:rPr>
          <w:color w:val="auto"/>
          <w:lang w:val="cs-CZ" w:eastAsia="en-US"/>
        </w:rPr>
      </w:pPr>
      <w:r w:rsidRPr="00796636">
        <w:rPr>
          <w:color w:val="auto"/>
          <w:lang w:val="cs-CZ" w:eastAsia="en-US"/>
        </w:rPr>
        <w:t xml:space="preserve">- velmi vzácné (u méně než 1 z 10000 ošetřených zvířat, </w:t>
      </w:r>
      <w:r>
        <w:rPr>
          <w:color w:val="auto"/>
          <w:lang w:val="cs-CZ" w:eastAsia="en-US"/>
        </w:rPr>
        <w:t>včetně ojedinělých hlášení).</w:t>
      </w:r>
    </w:p>
    <w:p w:rsidR="00796636" w:rsidRPr="00796636" w:rsidRDefault="00796636" w:rsidP="00796636">
      <w:pPr>
        <w:spacing w:after="0" w:line="240" w:lineRule="auto"/>
        <w:ind w:left="567" w:hanging="567"/>
        <w:rPr>
          <w:color w:val="auto"/>
          <w:szCs w:val="20"/>
          <w:lang w:val="cs-CZ" w:eastAsia="en-US"/>
        </w:rPr>
      </w:pPr>
    </w:p>
    <w:p w:rsidR="00796636" w:rsidRPr="00796636" w:rsidRDefault="00796636" w:rsidP="00796636">
      <w:pPr>
        <w:spacing w:after="0" w:line="240" w:lineRule="auto"/>
        <w:ind w:left="0" w:firstLine="0"/>
        <w:rPr>
          <w:color w:val="auto"/>
          <w:szCs w:val="20"/>
          <w:lang w:val="cs-CZ" w:eastAsia="en-US"/>
        </w:rPr>
      </w:pPr>
      <w:r w:rsidRPr="00796636">
        <w:rPr>
          <w:color w:val="auto"/>
          <w:szCs w:val="20"/>
          <w:lang w:val="cs-CZ" w:eastAsia="en-US"/>
        </w:rPr>
        <w:t xml:space="preserve">Jestliže zaznamenáte kterýkoliv z nežádoucích </w:t>
      </w:r>
      <w:proofErr w:type="gramStart"/>
      <w:r w:rsidRPr="00796636">
        <w:rPr>
          <w:color w:val="auto"/>
          <w:szCs w:val="20"/>
          <w:lang w:val="cs-CZ" w:eastAsia="en-US"/>
        </w:rPr>
        <w:t>účinků</w:t>
      </w:r>
      <w:proofErr w:type="gramEnd"/>
      <w:r w:rsidRPr="00796636">
        <w:rPr>
          <w:color w:val="auto"/>
          <w:szCs w:val="20"/>
          <w:lang w:val="cs-CZ" w:eastAsia="en-US"/>
        </w:rPr>
        <w:t xml:space="preserve"> a to i takové, které nejsou uvedeny v této příbalové informaci, nebo si myslíte, že léčivo nefunguje, oznamte to, prosím, vašemu veterinárnímu lékaři.</w:t>
      </w:r>
    </w:p>
    <w:p w:rsidR="00796636" w:rsidRPr="00796636" w:rsidRDefault="00796636" w:rsidP="00796636">
      <w:pPr>
        <w:spacing w:after="0" w:line="240" w:lineRule="auto"/>
        <w:ind w:left="567" w:hanging="567"/>
        <w:rPr>
          <w:color w:val="auto"/>
          <w:szCs w:val="20"/>
          <w:lang w:val="cs-CZ" w:eastAsia="en-US"/>
        </w:rPr>
      </w:pPr>
    </w:p>
    <w:p w:rsidR="00796636" w:rsidRPr="00CF2582" w:rsidRDefault="00796636" w:rsidP="00796636">
      <w:pPr>
        <w:spacing w:line="240" w:lineRule="auto"/>
        <w:jc w:val="both"/>
        <w:rPr>
          <w:color w:val="auto"/>
          <w:lang w:val="cs-CZ"/>
        </w:rPr>
      </w:pPr>
      <w:r w:rsidRPr="00796636">
        <w:rPr>
          <w:color w:val="auto"/>
          <w:szCs w:val="20"/>
          <w:lang w:val="cs-CZ" w:eastAsia="en-US"/>
        </w:rPr>
        <w:t>Můžete také hlásit prostřednictvím národního systému hlášení nežádoucích účinků {údaje o národním systému}.</w:t>
      </w:r>
    </w:p>
    <w:p w:rsidR="00117CBC" w:rsidRPr="00CF2582" w:rsidRDefault="00117CBC" w:rsidP="00117CBC">
      <w:pPr>
        <w:spacing w:line="240" w:lineRule="auto"/>
        <w:jc w:val="both"/>
        <w:rPr>
          <w:bCs/>
          <w:color w:val="auto"/>
          <w:lang w:val="cs-CZ"/>
        </w:rPr>
      </w:pPr>
    </w:p>
    <w:p w:rsidR="00117CBC" w:rsidRPr="00CF2582" w:rsidRDefault="00117CBC" w:rsidP="00117CBC">
      <w:pPr>
        <w:tabs>
          <w:tab w:val="left" w:pos="567"/>
          <w:tab w:val="center" w:pos="1515"/>
        </w:tabs>
        <w:spacing w:line="251" w:lineRule="auto"/>
        <w:ind w:left="-15" w:firstLine="0"/>
        <w:rPr>
          <w:color w:val="auto"/>
          <w:lang w:val="cs-CZ"/>
        </w:rPr>
      </w:pPr>
      <w:r w:rsidRPr="003F53EB">
        <w:rPr>
          <w:b/>
          <w:bCs/>
          <w:color w:val="auto"/>
          <w:highlight w:val="lightGray"/>
          <w:lang w:val="cs-CZ"/>
        </w:rPr>
        <w:t>7.</w:t>
      </w:r>
      <w:r w:rsidRPr="00CF2582">
        <w:rPr>
          <w:color w:val="auto"/>
          <w:lang w:val="cs-CZ"/>
        </w:rPr>
        <w:tab/>
      </w:r>
      <w:r w:rsidRPr="00CF2582">
        <w:rPr>
          <w:b/>
          <w:bCs/>
          <w:color w:val="auto"/>
          <w:lang w:val="cs-CZ"/>
        </w:rPr>
        <w:t>CÍLOVÝ DRUH ZVÍŘAT</w:t>
      </w:r>
      <w:r w:rsidRPr="00CF2582">
        <w:rPr>
          <w:color w:val="auto"/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 </w:t>
      </w:r>
    </w:p>
    <w:p w:rsidR="00117CBC" w:rsidRPr="00CF2582" w:rsidRDefault="00117CBC" w:rsidP="00117CBC">
      <w:pPr>
        <w:ind w:left="-5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Psi, kočky </w:t>
      </w:r>
    </w:p>
    <w:p w:rsidR="00117CBC" w:rsidRPr="00CF2582" w:rsidRDefault="00117CBC" w:rsidP="00117CBC">
      <w:pPr>
        <w:spacing w:after="15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 </w:t>
      </w:r>
    </w:p>
    <w:p w:rsidR="00117CBC" w:rsidRPr="00CF2582" w:rsidRDefault="00117CBC" w:rsidP="00117CBC">
      <w:pPr>
        <w:pStyle w:val="Nadpis1"/>
        <w:tabs>
          <w:tab w:val="left" w:pos="567"/>
          <w:tab w:val="center" w:pos="4700"/>
        </w:tabs>
        <w:ind w:left="-15" w:right="0" w:firstLine="0"/>
        <w:rPr>
          <w:color w:val="auto"/>
          <w:lang w:val="cs-CZ"/>
        </w:rPr>
      </w:pPr>
      <w:r w:rsidRPr="00CF2582">
        <w:rPr>
          <w:bCs/>
          <w:color w:val="auto"/>
          <w:lang w:val="cs-CZ"/>
        </w:rPr>
        <w:t>8.</w:t>
      </w:r>
      <w:r w:rsidRPr="00CF2582">
        <w:rPr>
          <w:b w:val="0"/>
          <w:color w:val="auto"/>
          <w:lang w:val="cs-CZ"/>
        </w:rPr>
        <w:tab/>
      </w:r>
      <w:r w:rsidRPr="00CF2582">
        <w:rPr>
          <w:bCs/>
          <w:color w:val="auto"/>
          <w:lang w:val="cs-CZ"/>
        </w:rPr>
        <w:t>DÁVKOVÁNÍ PRO KAŽDÝ DRUH, CESTA(Y) A ZPŮSOB PODÁNÍ</w:t>
      </w:r>
      <w:r w:rsidRPr="00CF2582">
        <w:rPr>
          <w:b w:val="0"/>
          <w:color w:val="auto"/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 </w:t>
      </w:r>
    </w:p>
    <w:p w:rsidR="00117CBC" w:rsidRPr="00CF2582" w:rsidRDefault="00117CBC" w:rsidP="00117CBC">
      <w:pPr>
        <w:pStyle w:val="LOQblauw"/>
        <w:rPr>
          <w:rFonts w:ascii="Times New Roman" w:hAnsi="Times New Roman" w:cs="Times New Roman"/>
          <w:color w:val="auto"/>
          <w:lang w:val="cs-CZ"/>
        </w:rPr>
      </w:pPr>
      <w:r w:rsidRPr="00CF2582">
        <w:rPr>
          <w:rFonts w:ascii="Times New Roman" w:hAnsi="Times New Roman" w:cs="Times New Roman"/>
          <w:color w:val="auto"/>
          <w:lang w:val="cs-CZ"/>
        </w:rPr>
        <w:t>Přípravek se podává perorálně buď přímo do úst</w:t>
      </w:r>
      <w:r w:rsidR="00F653AF">
        <w:rPr>
          <w:rFonts w:ascii="Times New Roman" w:hAnsi="Times New Roman" w:cs="Times New Roman"/>
          <w:color w:val="auto"/>
          <w:lang w:val="cs-CZ"/>
        </w:rPr>
        <w:t>,</w:t>
      </w:r>
      <w:r w:rsidR="002B4CE2">
        <w:rPr>
          <w:rFonts w:ascii="Times New Roman" w:hAnsi="Times New Roman" w:cs="Times New Roman"/>
          <w:color w:val="auto"/>
          <w:lang w:val="cs-CZ"/>
        </w:rPr>
        <w:t xml:space="preserve"> </w:t>
      </w:r>
      <w:r w:rsidRPr="00CF2582">
        <w:rPr>
          <w:rFonts w:ascii="Times New Roman" w:hAnsi="Times New Roman" w:cs="Times New Roman"/>
          <w:color w:val="auto"/>
          <w:lang w:val="cs-CZ"/>
        </w:rPr>
        <w:t>nebo smíchaný s potravou.</w:t>
      </w:r>
    </w:p>
    <w:p w:rsidR="00117CBC" w:rsidRPr="00CF2582" w:rsidRDefault="00117CBC" w:rsidP="00117CBC">
      <w:pPr>
        <w:pStyle w:val="LOQblauw"/>
        <w:rPr>
          <w:rFonts w:ascii="Times New Roman" w:hAnsi="Times New Roman" w:cs="Times New Roman"/>
          <w:color w:val="auto"/>
          <w:lang w:val="cs-CZ"/>
        </w:rPr>
      </w:pPr>
    </w:p>
    <w:p w:rsidR="00117CBC" w:rsidRPr="00CF2582" w:rsidRDefault="00117CBC" w:rsidP="00117CBC">
      <w:pPr>
        <w:pStyle w:val="LOQblauw"/>
        <w:rPr>
          <w:rFonts w:ascii="Times New Roman" w:hAnsi="Times New Roman" w:cs="Times New Roman"/>
          <w:color w:val="auto"/>
          <w:lang w:val="cs-CZ"/>
        </w:rPr>
      </w:pPr>
      <w:r w:rsidRPr="00CF2582">
        <w:rPr>
          <w:rFonts w:ascii="Times New Roman" w:hAnsi="Times New Roman" w:cs="Times New Roman"/>
          <w:color w:val="auto"/>
          <w:lang w:val="cs-CZ"/>
        </w:rPr>
        <w:t xml:space="preserve">Dávkování je 0,1 ml/kg živé hmotnosti (což odpovídá 5 mikrogramům </w:t>
      </w:r>
      <w:proofErr w:type="spellStart"/>
      <w:r w:rsidRPr="00CF2582">
        <w:rPr>
          <w:rFonts w:ascii="Times New Roman" w:hAnsi="Times New Roman" w:cs="Times New Roman"/>
          <w:color w:val="auto"/>
          <w:lang w:val="cs-CZ"/>
        </w:rPr>
        <w:t>kabergolinu</w:t>
      </w:r>
      <w:proofErr w:type="spellEnd"/>
      <w:r w:rsidRPr="00CF2582">
        <w:rPr>
          <w:rFonts w:ascii="Times New Roman" w:hAnsi="Times New Roman" w:cs="Times New Roman"/>
          <w:color w:val="auto"/>
          <w:lang w:val="cs-CZ"/>
        </w:rPr>
        <w:t xml:space="preserve">/kg živé hmotnosti) jednou denně po dobu 4–6 po sobě jdoucích dnů, v závislosti na závažnosti klinického stavu. </w:t>
      </w:r>
    </w:p>
    <w:p w:rsidR="00117CBC" w:rsidRPr="00CF2582" w:rsidRDefault="00117CBC" w:rsidP="00117CBC">
      <w:pPr>
        <w:pStyle w:val="LOQblauw"/>
        <w:rPr>
          <w:rFonts w:ascii="Times New Roman" w:hAnsi="Times New Roman" w:cs="Times New Roman"/>
          <w:color w:val="auto"/>
          <w:lang w:val="cs-CZ"/>
        </w:rPr>
      </w:pPr>
    </w:p>
    <w:p w:rsidR="00117CBC" w:rsidRDefault="00117CBC" w:rsidP="00117CBC">
      <w:pPr>
        <w:pStyle w:val="LOQblauw"/>
        <w:rPr>
          <w:rFonts w:ascii="Times New Roman" w:hAnsi="Times New Roman" w:cs="Times New Roman"/>
          <w:color w:val="auto"/>
          <w:lang w:val="cs-CZ"/>
        </w:rPr>
      </w:pPr>
      <w:r w:rsidRPr="00CF2582">
        <w:rPr>
          <w:rFonts w:ascii="Times New Roman" w:hAnsi="Times New Roman" w:cs="Times New Roman"/>
          <w:color w:val="auto"/>
          <w:lang w:val="cs-CZ"/>
        </w:rPr>
        <w:t>V případě, že příznaky nevymizí po jednom cyklu léčby nebo v případě, že se opakují po ukončení léčby, může se cyklus léčby zopakovat.</w:t>
      </w:r>
    </w:p>
    <w:p w:rsidR="00F653AF" w:rsidRPr="00CF2582" w:rsidRDefault="00F653AF" w:rsidP="00F653AF">
      <w:pPr>
        <w:pStyle w:val="LOQblauw"/>
        <w:rPr>
          <w:rFonts w:ascii="Times New Roman" w:hAnsi="Times New Roman" w:cs="Times New Roman"/>
          <w:color w:val="auto"/>
          <w:lang w:val="cs-CZ"/>
        </w:rPr>
      </w:pPr>
      <w:r w:rsidRPr="00C0682E">
        <w:rPr>
          <w:rFonts w:ascii="Times New Roman" w:hAnsi="Times New Roman" w:cs="Times New Roman"/>
          <w:color w:val="auto"/>
          <w:lang w:val="cs-CZ"/>
        </w:rPr>
        <w:t>Před podáním by měla být přesně stanovena hmotnost ošetřovaného zvířete.</w:t>
      </w:r>
    </w:p>
    <w:p w:rsidR="00F653AF" w:rsidRPr="00CF2582" w:rsidRDefault="00F653AF" w:rsidP="00117CBC">
      <w:pPr>
        <w:pStyle w:val="LOQblauw"/>
        <w:rPr>
          <w:rFonts w:ascii="Times New Roman" w:hAnsi="Times New Roman" w:cs="Times New Roman"/>
          <w:color w:val="auto"/>
          <w:lang w:val="cs-CZ"/>
        </w:rPr>
      </w:pPr>
    </w:p>
    <w:p w:rsidR="00117CBC" w:rsidRPr="00CF2582" w:rsidRDefault="00117CBC" w:rsidP="00117CBC">
      <w:pPr>
        <w:spacing w:after="15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 </w:t>
      </w:r>
    </w:p>
    <w:p w:rsidR="00117CBC" w:rsidRPr="00CF2582" w:rsidRDefault="00796636" w:rsidP="003F53EB">
      <w:pPr>
        <w:spacing w:line="251" w:lineRule="auto"/>
        <w:ind w:left="0" w:firstLine="0"/>
        <w:rPr>
          <w:color w:val="auto"/>
          <w:lang w:val="cs-CZ"/>
        </w:rPr>
      </w:pPr>
      <w:r w:rsidRPr="003F53EB">
        <w:rPr>
          <w:b/>
          <w:bCs/>
          <w:color w:val="auto"/>
          <w:highlight w:val="lightGray"/>
          <w:lang w:val="cs-CZ"/>
        </w:rPr>
        <w:t>9.</w:t>
      </w:r>
      <w:r>
        <w:rPr>
          <w:b/>
          <w:bCs/>
          <w:color w:val="auto"/>
          <w:lang w:val="cs-CZ"/>
        </w:rPr>
        <w:t xml:space="preserve"> </w:t>
      </w:r>
      <w:r>
        <w:rPr>
          <w:b/>
          <w:bCs/>
          <w:color w:val="auto"/>
          <w:lang w:val="cs-CZ"/>
        </w:rPr>
        <w:tab/>
      </w:r>
      <w:r w:rsidR="00117CBC" w:rsidRPr="00CF2582">
        <w:rPr>
          <w:b/>
          <w:bCs/>
          <w:color w:val="auto"/>
          <w:lang w:val="cs-CZ"/>
        </w:rPr>
        <w:t>POKYNY PRO SPRÁVNÉ PODÁNÍ</w:t>
      </w:r>
      <w:r w:rsidR="00117CBC" w:rsidRPr="00CF2582">
        <w:rPr>
          <w:color w:val="auto"/>
          <w:lang w:val="cs-CZ"/>
        </w:rPr>
        <w:t xml:space="preserve"> </w:t>
      </w:r>
    </w:p>
    <w:p w:rsidR="00117CBC" w:rsidRPr="00CF2582" w:rsidRDefault="00117CBC" w:rsidP="00117CBC">
      <w:pPr>
        <w:pStyle w:val="Odstavecseseznamem"/>
        <w:spacing w:after="15" w:line="259" w:lineRule="auto"/>
        <w:rPr>
          <w:lang w:val="cs-CZ"/>
        </w:rPr>
      </w:pPr>
      <w:r w:rsidRPr="00CF2582">
        <w:rPr>
          <w:noProof/>
          <w:lang w:val="cs-CZ"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3053ACF0" wp14:editId="151E50ED">
            <wp:simplePos x="0" y="0"/>
            <wp:positionH relativeFrom="column">
              <wp:posOffset>3124200</wp:posOffset>
            </wp:positionH>
            <wp:positionV relativeFrom="paragraph">
              <wp:posOffset>75565</wp:posOffset>
            </wp:positionV>
            <wp:extent cx="2733675" cy="2701925"/>
            <wp:effectExtent l="0" t="0" r="0" b="3175"/>
            <wp:wrapTight wrapText="bothSides">
              <wp:wrapPolygon edited="0">
                <wp:start x="0" y="0"/>
                <wp:lineTo x="0" y="21473"/>
                <wp:lineTo x="20772" y="21473"/>
                <wp:lineTo x="20772" y="0"/>
                <wp:lineTo x="0" y="0"/>
              </wp:wrapPolygon>
            </wp:wrapTight>
            <wp:docPr id="1" name="Afbeelding 1" descr="C:\Users\Kitty Ruigrok\AppData\Local\Microsoft\Windows\INetCache\Content.Outlook\IUHMW2J8\001-140021illu_spuit_dop_ENdef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tty Ruigrok\AppData\Local\Microsoft\Windows\INetCache\Content.Outlook\IUHMW2J8\001-140021illu_spuit_dop_ENdef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06" r="-2264"/>
                    <a:stretch/>
                  </pic:blipFill>
                  <pic:spPr bwMode="auto">
                    <a:xfrm>
                      <a:off x="0" y="0"/>
                      <a:ext cx="2733675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7CBC" w:rsidRPr="00CF2582" w:rsidRDefault="00117CBC" w:rsidP="00117CBC">
      <w:pPr>
        <w:pStyle w:val="Odstavecseseznamem"/>
        <w:spacing w:after="15" w:line="259" w:lineRule="auto"/>
        <w:rPr>
          <w:lang w:val="cs-CZ"/>
        </w:rPr>
      </w:pPr>
    </w:p>
    <w:p w:rsidR="00117CBC" w:rsidRPr="00CF2582" w:rsidRDefault="00117CBC" w:rsidP="00117CBC">
      <w:pPr>
        <w:pStyle w:val="Odstavecseseznamem"/>
        <w:numPr>
          <w:ilvl w:val="0"/>
          <w:numId w:val="3"/>
        </w:numPr>
        <w:spacing w:after="15" w:line="259" w:lineRule="auto"/>
        <w:contextualSpacing/>
        <w:rPr>
          <w:lang w:val="cs-CZ"/>
        </w:rPr>
      </w:pPr>
      <w:r w:rsidRPr="00CF2582">
        <w:rPr>
          <w:lang w:val="cs-CZ"/>
        </w:rPr>
        <w:t>Odstraňte šroubovací víčko.</w:t>
      </w:r>
    </w:p>
    <w:p w:rsidR="00117CBC" w:rsidRPr="00CF2582" w:rsidRDefault="00117CBC" w:rsidP="00117CBC">
      <w:pPr>
        <w:pStyle w:val="Odstavecseseznamem"/>
        <w:spacing w:after="15" w:line="259" w:lineRule="auto"/>
        <w:rPr>
          <w:lang w:val="cs-CZ"/>
        </w:rPr>
      </w:pPr>
    </w:p>
    <w:p w:rsidR="00117CBC" w:rsidRPr="00CF2582" w:rsidRDefault="00117CBC" w:rsidP="00117CBC">
      <w:pPr>
        <w:pStyle w:val="Odstavecseseznamem"/>
        <w:numPr>
          <w:ilvl w:val="0"/>
          <w:numId w:val="3"/>
        </w:numPr>
        <w:spacing w:after="15" w:line="259" w:lineRule="auto"/>
        <w:contextualSpacing/>
        <w:rPr>
          <w:lang w:val="cs-CZ"/>
        </w:rPr>
      </w:pPr>
      <w:r w:rsidRPr="00CF2582">
        <w:rPr>
          <w:lang w:val="cs-CZ"/>
        </w:rPr>
        <w:t>Připojte dodávan</w:t>
      </w:r>
      <w:r w:rsidR="00070894">
        <w:rPr>
          <w:lang w:val="cs-CZ"/>
        </w:rPr>
        <w:t>ý</w:t>
      </w:r>
      <w:r w:rsidRPr="00CF2582">
        <w:rPr>
          <w:lang w:val="cs-CZ"/>
        </w:rPr>
        <w:t xml:space="preserve"> </w:t>
      </w:r>
      <w:r w:rsidR="00070894">
        <w:rPr>
          <w:lang w:val="cs-CZ"/>
        </w:rPr>
        <w:t>perorální aplikátor</w:t>
      </w:r>
      <w:r w:rsidRPr="00CF2582">
        <w:rPr>
          <w:lang w:val="cs-CZ"/>
        </w:rPr>
        <w:t xml:space="preserve"> na lahvičku.</w:t>
      </w:r>
    </w:p>
    <w:p w:rsidR="00117CBC" w:rsidRPr="00CF2582" w:rsidRDefault="00117CBC" w:rsidP="00117CBC">
      <w:pPr>
        <w:pStyle w:val="Odstavecseseznamem"/>
        <w:rPr>
          <w:lang w:val="cs-CZ"/>
        </w:rPr>
      </w:pPr>
    </w:p>
    <w:p w:rsidR="00117CBC" w:rsidRPr="00CF2582" w:rsidRDefault="00117CBC" w:rsidP="00117CBC">
      <w:pPr>
        <w:pStyle w:val="Odstavecseseznamem"/>
        <w:spacing w:after="15" w:line="259" w:lineRule="auto"/>
        <w:rPr>
          <w:lang w:val="cs-CZ"/>
        </w:rPr>
      </w:pPr>
    </w:p>
    <w:p w:rsidR="00117CBC" w:rsidRPr="00CF2582" w:rsidRDefault="00117CBC" w:rsidP="00117CBC">
      <w:pPr>
        <w:pStyle w:val="Odstavecseseznamem"/>
        <w:numPr>
          <w:ilvl w:val="0"/>
          <w:numId w:val="3"/>
        </w:numPr>
        <w:spacing w:after="15" w:line="259" w:lineRule="auto"/>
        <w:contextualSpacing/>
        <w:rPr>
          <w:lang w:val="cs-CZ"/>
        </w:rPr>
      </w:pPr>
      <w:r w:rsidRPr="00CF2582">
        <w:rPr>
          <w:lang w:val="cs-CZ"/>
        </w:rPr>
        <w:t>Otočte lahvičku dnem vzhůru</w:t>
      </w:r>
      <w:r w:rsidR="00F653AF">
        <w:rPr>
          <w:lang w:val="cs-CZ"/>
        </w:rPr>
        <w:t xml:space="preserve"> k </w:t>
      </w:r>
      <w:r w:rsidRPr="00CF2582">
        <w:rPr>
          <w:lang w:val="cs-CZ"/>
        </w:rPr>
        <w:t>nasá</w:t>
      </w:r>
      <w:r w:rsidR="00F653AF">
        <w:rPr>
          <w:lang w:val="cs-CZ"/>
        </w:rPr>
        <w:t>tí</w:t>
      </w:r>
      <w:r w:rsidRPr="00CF2582">
        <w:rPr>
          <w:lang w:val="cs-CZ"/>
        </w:rPr>
        <w:t xml:space="preserve"> tekutin</w:t>
      </w:r>
      <w:r w:rsidR="00F653AF">
        <w:rPr>
          <w:lang w:val="cs-CZ"/>
        </w:rPr>
        <w:t>y</w:t>
      </w:r>
      <w:r w:rsidRPr="00CF2582">
        <w:rPr>
          <w:lang w:val="cs-CZ"/>
        </w:rPr>
        <w:t>.</w:t>
      </w:r>
    </w:p>
    <w:p w:rsidR="00117CBC" w:rsidRPr="00CF2582" w:rsidRDefault="00117CBC" w:rsidP="003F53EB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br/>
      </w:r>
      <w:r w:rsidRPr="00CF2582">
        <w:rPr>
          <w:color w:val="auto"/>
          <w:lang w:val="cs-CZ"/>
        </w:rPr>
        <w:br/>
      </w:r>
      <w:r w:rsidR="00796636" w:rsidRPr="003F53EB">
        <w:rPr>
          <w:b/>
          <w:bCs/>
          <w:color w:val="auto"/>
          <w:highlight w:val="lightGray"/>
          <w:lang w:val="cs-CZ"/>
        </w:rPr>
        <w:t>1</w:t>
      </w:r>
      <w:r w:rsidR="00796636">
        <w:rPr>
          <w:b/>
          <w:bCs/>
          <w:color w:val="auto"/>
          <w:highlight w:val="lightGray"/>
          <w:lang w:val="cs-CZ"/>
        </w:rPr>
        <w:t>0</w:t>
      </w:r>
      <w:r w:rsidR="00796636" w:rsidRPr="003F53EB">
        <w:rPr>
          <w:b/>
          <w:bCs/>
          <w:color w:val="auto"/>
          <w:highlight w:val="lightGray"/>
          <w:lang w:val="cs-CZ"/>
        </w:rPr>
        <w:t>.</w:t>
      </w:r>
      <w:r w:rsidR="00796636">
        <w:rPr>
          <w:b/>
          <w:bCs/>
          <w:color w:val="auto"/>
          <w:lang w:val="cs-CZ"/>
        </w:rPr>
        <w:t xml:space="preserve"> </w:t>
      </w:r>
      <w:r w:rsidR="00796636">
        <w:rPr>
          <w:b/>
          <w:bCs/>
          <w:color w:val="auto"/>
          <w:lang w:val="cs-CZ"/>
        </w:rPr>
        <w:tab/>
      </w:r>
      <w:r w:rsidRPr="00CF2582">
        <w:rPr>
          <w:b/>
          <w:bCs/>
          <w:color w:val="auto"/>
          <w:lang w:val="cs-CZ"/>
        </w:rPr>
        <w:t>OCHRANNÁ</w:t>
      </w:r>
      <w:r w:rsidR="005D2B5B">
        <w:rPr>
          <w:b/>
          <w:bCs/>
          <w:color w:val="auto"/>
          <w:lang w:val="cs-CZ"/>
        </w:rPr>
        <w:t>(É)</w:t>
      </w:r>
      <w:r w:rsidRPr="00CF2582">
        <w:rPr>
          <w:b/>
          <w:bCs/>
          <w:color w:val="auto"/>
          <w:lang w:val="cs-CZ"/>
        </w:rPr>
        <w:t xml:space="preserve"> LHŮTA</w:t>
      </w:r>
      <w:r w:rsidR="005D2B5B">
        <w:rPr>
          <w:b/>
          <w:bCs/>
          <w:color w:val="auto"/>
          <w:lang w:val="cs-CZ"/>
        </w:rPr>
        <w:t>(Y)</w:t>
      </w:r>
      <w:r w:rsidRPr="00CF2582">
        <w:rPr>
          <w:color w:val="auto"/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 </w:t>
      </w:r>
    </w:p>
    <w:p w:rsidR="00117CBC" w:rsidRPr="00CF2582" w:rsidRDefault="00117CBC" w:rsidP="00117CBC">
      <w:pPr>
        <w:ind w:left="-5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Není určeno pro potravinová zvířata. </w:t>
      </w:r>
    </w:p>
    <w:p w:rsidR="00117CBC" w:rsidRPr="00CF2582" w:rsidRDefault="00117CBC" w:rsidP="00117CBC">
      <w:pPr>
        <w:spacing w:after="15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 </w:t>
      </w:r>
    </w:p>
    <w:p w:rsidR="00117CBC" w:rsidRPr="00CF2582" w:rsidRDefault="00117CBC" w:rsidP="00117CBC">
      <w:pPr>
        <w:pStyle w:val="Nadpis1"/>
        <w:tabs>
          <w:tab w:val="left" w:pos="567"/>
          <w:tab w:val="center" w:pos="2433"/>
        </w:tabs>
        <w:ind w:left="-15" w:right="0" w:firstLine="0"/>
        <w:rPr>
          <w:color w:val="auto"/>
          <w:lang w:val="cs-CZ"/>
        </w:rPr>
      </w:pPr>
      <w:r w:rsidRPr="003F53EB">
        <w:rPr>
          <w:bCs/>
          <w:color w:val="auto"/>
          <w:highlight w:val="lightGray"/>
          <w:lang w:val="cs-CZ"/>
        </w:rPr>
        <w:t>11.</w:t>
      </w:r>
      <w:r w:rsidRPr="00CF2582">
        <w:rPr>
          <w:b w:val="0"/>
          <w:color w:val="auto"/>
          <w:lang w:val="cs-CZ"/>
        </w:rPr>
        <w:tab/>
      </w:r>
      <w:r w:rsidRPr="00CF2582">
        <w:rPr>
          <w:bCs/>
          <w:color w:val="auto"/>
          <w:lang w:val="cs-CZ"/>
        </w:rPr>
        <w:t>ZVLÁŠTNÍ OPATŘENÍ PRO UCHOVÁVÁNÍ</w:t>
      </w:r>
      <w:r w:rsidRPr="00CF2582">
        <w:rPr>
          <w:b w:val="0"/>
          <w:color w:val="auto"/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 </w:t>
      </w:r>
    </w:p>
    <w:p w:rsidR="00117CBC" w:rsidRPr="00CF2582" w:rsidRDefault="00117CBC" w:rsidP="00FF7017">
      <w:pPr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>Uchovávat mimo do</w:t>
      </w:r>
      <w:r w:rsidR="008C4356">
        <w:rPr>
          <w:color w:val="auto"/>
          <w:lang w:val="cs-CZ"/>
        </w:rPr>
        <w:t>hled a do</w:t>
      </w:r>
      <w:r w:rsidRPr="00CF2582">
        <w:rPr>
          <w:color w:val="auto"/>
          <w:lang w:val="cs-CZ"/>
        </w:rPr>
        <w:t xml:space="preserve">sah dětí. </w:t>
      </w:r>
    </w:p>
    <w:p w:rsidR="00117CBC" w:rsidRPr="00CF2582" w:rsidRDefault="00117CBC" w:rsidP="00A733A1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Uchovávejte při teplotě do 30 °C. </w:t>
      </w:r>
    </w:p>
    <w:p w:rsidR="00117CBC" w:rsidRPr="00CF2582" w:rsidRDefault="00117CBC" w:rsidP="00A733A1">
      <w:pPr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>Uchovávejte lahvičku v krabičce, aby byla chráněna před světlem.</w:t>
      </w:r>
    </w:p>
    <w:p w:rsidR="00117CBC" w:rsidRPr="00CF2582" w:rsidRDefault="00117CBC" w:rsidP="00A733A1">
      <w:pPr>
        <w:numPr>
          <w:ilvl w:val="12"/>
          <w:numId w:val="0"/>
        </w:numPr>
        <w:spacing w:line="240" w:lineRule="auto"/>
        <w:rPr>
          <w:color w:val="auto"/>
          <w:lang w:val="cs-CZ"/>
        </w:rPr>
      </w:pPr>
      <w:r w:rsidRPr="00CF2582">
        <w:rPr>
          <w:color w:val="auto"/>
          <w:lang w:val="cs-CZ"/>
        </w:rPr>
        <w:t>Nepoužívejte tento veterinární léčivý přípravek po uplynutí doby použitelnost</w:t>
      </w:r>
      <w:r w:rsidR="001D0BBF">
        <w:rPr>
          <w:color w:val="auto"/>
          <w:lang w:val="cs-CZ"/>
        </w:rPr>
        <w:t>i</w:t>
      </w:r>
      <w:r w:rsidRPr="00CF2582">
        <w:rPr>
          <w:color w:val="auto"/>
          <w:lang w:val="cs-CZ"/>
        </w:rPr>
        <w:t xml:space="preserve"> uvedené na krabičce po EXP. Doba použitelnosti končí posledním dnem v uvedeném měsíci.</w:t>
      </w:r>
    </w:p>
    <w:p w:rsidR="00117CBC" w:rsidRPr="00CF2582" w:rsidRDefault="00117CBC" w:rsidP="00A733A1">
      <w:pPr>
        <w:numPr>
          <w:ilvl w:val="12"/>
          <w:numId w:val="0"/>
        </w:numPr>
        <w:spacing w:line="240" w:lineRule="auto"/>
        <w:rPr>
          <w:color w:val="auto"/>
          <w:lang w:val="cs-CZ"/>
        </w:rPr>
      </w:pPr>
      <w:r w:rsidRPr="00CF2582">
        <w:rPr>
          <w:color w:val="auto"/>
          <w:lang w:val="cs-CZ"/>
        </w:rPr>
        <w:t>Doba použitelnosti po prvním otevření lahvičky: 28 dní.</w:t>
      </w:r>
    </w:p>
    <w:p w:rsidR="00117CBC" w:rsidRPr="00CF2582" w:rsidRDefault="00117CBC" w:rsidP="00117CBC">
      <w:pPr>
        <w:spacing w:after="15" w:line="259" w:lineRule="auto"/>
        <w:ind w:left="0" w:firstLine="0"/>
        <w:rPr>
          <w:color w:val="auto"/>
          <w:lang w:val="cs-CZ"/>
        </w:rPr>
      </w:pPr>
    </w:p>
    <w:p w:rsidR="00117CBC" w:rsidRPr="00CF2582" w:rsidRDefault="00117CBC" w:rsidP="00117CBC">
      <w:pPr>
        <w:tabs>
          <w:tab w:val="left" w:pos="567"/>
          <w:tab w:val="center" w:pos="1759"/>
        </w:tabs>
        <w:spacing w:line="251" w:lineRule="auto"/>
        <w:ind w:left="-15" w:firstLine="0"/>
        <w:rPr>
          <w:color w:val="auto"/>
          <w:lang w:val="cs-CZ"/>
        </w:rPr>
      </w:pPr>
      <w:r w:rsidRPr="003F53EB">
        <w:rPr>
          <w:b/>
          <w:bCs/>
          <w:color w:val="auto"/>
          <w:highlight w:val="lightGray"/>
          <w:lang w:val="cs-CZ"/>
        </w:rPr>
        <w:t>12.</w:t>
      </w:r>
      <w:r w:rsidRPr="00CF2582">
        <w:rPr>
          <w:color w:val="auto"/>
          <w:lang w:val="cs-CZ"/>
        </w:rPr>
        <w:tab/>
      </w:r>
      <w:r w:rsidRPr="00CF2582">
        <w:rPr>
          <w:b/>
          <w:bCs/>
          <w:color w:val="auto"/>
          <w:lang w:val="cs-CZ"/>
        </w:rPr>
        <w:t>ZVLÁŠTNÍ UPOZORNĚNÍ</w:t>
      </w:r>
      <w:r w:rsidRPr="00CF2582">
        <w:rPr>
          <w:color w:val="auto"/>
          <w:lang w:val="cs-CZ"/>
        </w:rPr>
        <w:t xml:space="preserve"> </w:t>
      </w:r>
    </w:p>
    <w:p w:rsidR="00117CBC" w:rsidRPr="003F53EB" w:rsidRDefault="00117CBC" w:rsidP="003F53EB">
      <w:pPr>
        <w:spacing w:after="0" w:line="259" w:lineRule="auto"/>
        <w:ind w:left="0" w:firstLine="0"/>
        <w:jc w:val="both"/>
        <w:rPr>
          <w:color w:val="auto"/>
          <w:u w:val="single"/>
          <w:lang w:val="cs-CZ"/>
        </w:rPr>
      </w:pPr>
      <w:r w:rsidRPr="003F53EB">
        <w:rPr>
          <w:color w:val="auto"/>
          <w:u w:val="single"/>
          <w:lang w:val="cs-CZ"/>
        </w:rPr>
        <w:t xml:space="preserve"> </w:t>
      </w:r>
    </w:p>
    <w:p w:rsidR="00117CBC" w:rsidRPr="003F53EB" w:rsidRDefault="00117CBC" w:rsidP="003F53EB">
      <w:pPr>
        <w:ind w:left="-5"/>
        <w:jc w:val="both"/>
        <w:rPr>
          <w:color w:val="auto"/>
          <w:u w:val="single"/>
          <w:lang w:val="cs-CZ"/>
        </w:rPr>
      </w:pPr>
      <w:r w:rsidRPr="003F53EB">
        <w:rPr>
          <w:bCs/>
          <w:color w:val="auto"/>
          <w:u w:val="single"/>
          <w:lang w:val="cs-CZ"/>
        </w:rPr>
        <w:t>Zvláštní upozornění pro každý cílový druh</w:t>
      </w:r>
      <w:r w:rsidR="00064D7A">
        <w:rPr>
          <w:bCs/>
          <w:color w:val="auto"/>
          <w:u w:val="single"/>
          <w:lang w:val="cs-CZ"/>
        </w:rPr>
        <w:t>:</w:t>
      </w:r>
    </w:p>
    <w:p w:rsidR="00117CBC" w:rsidRDefault="00117CBC" w:rsidP="00117CBC">
      <w:pPr>
        <w:ind w:left="-5"/>
        <w:rPr>
          <w:color w:val="auto"/>
          <w:lang w:val="cs-CZ"/>
        </w:rPr>
      </w:pPr>
      <w:r w:rsidRPr="00CF2582">
        <w:rPr>
          <w:color w:val="auto"/>
          <w:lang w:val="cs-CZ"/>
        </w:rPr>
        <w:t>Dodatečná podpůrná léčba by měla zahrnovat omezení příjmu vody a sacharidů a zvýšení pohybu.</w:t>
      </w:r>
    </w:p>
    <w:p w:rsidR="00064D7A" w:rsidRDefault="00064D7A" w:rsidP="00117CBC">
      <w:pPr>
        <w:ind w:left="-5"/>
        <w:rPr>
          <w:color w:val="auto"/>
          <w:lang w:val="cs-CZ"/>
        </w:rPr>
      </w:pPr>
    </w:p>
    <w:p w:rsidR="00796636" w:rsidRDefault="00796636" w:rsidP="00117CBC">
      <w:pPr>
        <w:ind w:left="-5"/>
        <w:rPr>
          <w:lang w:val="cs-CZ"/>
        </w:rPr>
      </w:pPr>
      <w:r w:rsidRPr="003F53EB">
        <w:rPr>
          <w:u w:val="single"/>
          <w:lang w:val="cs-CZ"/>
        </w:rPr>
        <w:t>Zvláštní opatření pro použití u zvířat:</w:t>
      </w:r>
    </w:p>
    <w:p w:rsidR="00796636" w:rsidRDefault="00796636" w:rsidP="00117CBC">
      <w:pPr>
        <w:ind w:left="-5"/>
        <w:rPr>
          <w:color w:val="auto"/>
          <w:lang w:val="cs-CZ"/>
        </w:rPr>
      </w:pPr>
      <w:r w:rsidRPr="00796636">
        <w:rPr>
          <w:color w:val="auto"/>
          <w:lang w:val="cs-CZ"/>
        </w:rPr>
        <w:t>Ve velmi vzácných případech se může objevit přechodná hypotenze</w:t>
      </w:r>
      <w:r>
        <w:rPr>
          <w:color w:val="auto"/>
          <w:lang w:val="cs-CZ"/>
        </w:rPr>
        <w:t>.</w:t>
      </w:r>
    </w:p>
    <w:p w:rsidR="00064D7A" w:rsidRPr="00796636" w:rsidRDefault="00064D7A" w:rsidP="00117CBC">
      <w:pPr>
        <w:ind w:left="-5"/>
        <w:rPr>
          <w:color w:val="auto"/>
          <w:lang w:val="cs-CZ"/>
        </w:rPr>
      </w:pPr>
    </w:p>
    <w:p w:rsidR="00117CBC" w:rsidRPr="003F53EB" w:rsidRDefault="00117CBC" w:rsidP="003F53EB">
      <w:pPr>
        <w:keepNext/>
        <w:spacing w:after="0" w:line="259" w:lineRule="auto"/>
        <w:ind w:left="0" w:firstLine="0"/>
        <w:rPr>
          <w:color w:val="auto"/>
          <w:u w:val="single"/>
          <w:lang w:val="cs-CZ"/>
        </w:rPr>
      </w:pPr>
      <w:r w:rsidRPr="003F53EB">
        <w:rPr>
          <w:bCs/>
          <w:color w:val="auto"/>
          <w:u w:val="single" w:color="000000"/>
          <w:lang w:val="cs-CZ"/>
        </w:rPr>
        <w:t>Zvláštní opatření určené osobám, které podávají veterinární léčivý přípravek</w:t>
      </w:r>
      <w:r w:rsidRPr="003F53EB">
        <w:rPr>
          <w:bCs/>
          <w:color w:val="auto"/>
          <w:u w:val="single"/>
          <w:lang w:val="cs-CZ"/>
        </w:rPr>
        <w:t xml:space="preserve"> </w:t>
      </w:r>
      <w:r w:rsidRPr="003F53EB">
        <w:rPr>
          <w:bCs/>
          <w:color w:val="auto"/>
          <w:u w:val="single" w:color="000000"/>
          <w:lang w:val="cs-CZ"/>
        </w:rPr>
        <w:t>zvířatům</w:t>
      </w:r>
      <w:r w:rsidR="00064D7A">
        <w:rPr>
          <w:bCs/>
          <w:color w:val="auto"/>
          <w:u w:val="single" w:color="000000"/>
          <w:lang w:val="cs-CZ"/>
        </w:rPr>
        <w:t>:</w:t>
      </w:r>
      <w:r w:rsidRPr="003F53EB">
        <w:rPr>
          <w:color w:val="auto"/>
          <w:u w:val="single"/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Po použití si umyjte ruce. </w:t>
      </w:r>
    </w:p>
    <w:p w:rsidR="00117CBC" w:rsidRPr="00CF2582" w:rsidRDefault="00C84017" w:rsidP="00117CBC">
      <w:pPr>
        <w:pStyle w:val="LOQblauw"/>
        <w:rPr>
          <w:rFonts w:ascii="Times New Roman" w:hAnsi="Times New Roman" w:cs="Times New Roman"/>
          <w:color w:val="auto"/>
          <w:lang w:val="cs-CZ"/>
        </w:rPr>
      </w:pPr>
      <w:r>
        <w:rPr>
          <w:rFonts w:ascii="Times New Roman" w:hAnsi="Times New Roman" w:cs="Times New Roman"/>
          <w:color w:val="auto"/>
          <w:lang w:val="cs-CZ"/>
        </w:rPr>
        <w:t>Zabraňte</w:t>
      </w:r>
      <w:r w:rsidRPr="001C546E">
        <w:rPr>
          <w:rFonts w:ascii="Times New Roman" w:hAnsi="Times New Roman" w:cs="Times New Roman"/>
          <w:color w:val="auto"/>
          <w:lang w:val="cs-CZ"/>
        </w:rPr>
        <w:t xml:space="preserve"> kontaktu </w:t>
      </w:r>
      <w:r>
        <w:rPr>
          <w:rFonts w:ascii="Times New Roman" w:hAnsi="Times New Roman" w:cs="Times New Roman"/>
          <w:color w:val="auto"/>
          <w:lang w:val="cs-CZ"/>
        </w:rPr>
        <w:t>s pokožkou</w:t>
      </w:r>
      <w:r w:rsidRPr="001C546E">
        <w:rPr>
          <w:rFonts w:ascii="Times New Roman" w:hAnsi="Times New Roman" w:cs="Times New Roman"/>
          <w:color w:val="auto"/>
          <w:lang w:val="cs-CZ"/>
        </w:rPr>
        <w:t xml:space="preserve"> a očima</w:t>
      </w:r>
      <w:r>
        <w:rPr>
          <w:rFonts w:ascii="Times New Roman" w:hAnsi="Times New Roman" w:cs="Times New Roman"/>
          <w:color w:val="auto"/>
          <w:lang w:val="cs-CZ"/>
        </w:rPr>
        <w:t>.</w:t>
      </w:r>
      <w:r w:rsidRPr="001C546E" w:rsidDel="001C546E">
        <w:rPr>
          <w:rFonts w:ascii="Times New Roman" w:hAnsi="Times New Roman" w:cs="Times New Roman"/>
          <w:color w:val="auto"/>
          <w:lang w:val="cs-CZ"/>
        </w:rPr>
        <w:t xml:space="preserve"> </w:t>
      </w:r>
      <w:r w:rsidR="00117CBC" w:rsidRPr="00CF2582">
        <w:rPr>
          <w:rFonts w:ascii="Times New Roman" w:hAnsi="Times New Roman" w:cs="Times New Roman"/>
          <w:color w:val="auto"/>
          <w:lang w:val="cs-CZ"/>
        </w:rPr>
        <w:t>V případě potřísnění ihned omyjte.</w:t>
      </w:r>
    </w:p>
    <w:p w:rsidR="00117CBC" w:rsidRPr="00CF2582" w:rsidRDefault="00117CBC" w:rsidP="00117CBC">
      <w:pPr>
        <w:pStyle w:val="LOQblauw"/>
        <w:rPr>
          <w:rFonts w:ascii="Times New Roman" w:hAnsi="Times New Roman" w:cs="Times New Roman"/>
          <w:color w:val="auto"/>
          <w:lang w:val="cs-CZ"/>
        </w:rPr>
      </w:pPr>
      <w:r w:rsidRPr="00CF2582">
        <w:rPr>
          <w:rFonts w:ascii="Times New Roman" w:hAnsi="Times New Roman" w:cs="Times New Roman"/>
          <w:color w:val="auto"/>
          <w:lang w:val="cs-CZ"/>
        </w:rPr>
        <w:t xml:space="preserve">Ženy v plodném věku a kojící ženy by neměly s </w:t>
      </w:r>
      <w:r w:rsidR="00C84017">
        <w:rPr>
          <w:rFonts w:ascii="Times New Roman" w:hAnsi="Times New Roman" w:cs="Times New Roman"/>
          <w:color w:val="auto"/>
          <w:lang w:val="cs-CZ"/>
        </w:rPr>
        <w:t>přípravkem</w:t>
      </w:r>
      <w:r w:rsidRPr="00CF2582">
        <w:rPr>
          <w:rFonts w:ascii="Times New Roman" w:hAnsi="Times New Roman" w:cs="Times New Roman"/>
          <w:color w:val="auto"/>
          <w:lang w:val="cs-CZ"/>
        </w:rPr>
        <w:t xml:space="preserve"> manipulovat nebo by měly při podávání přípravku nosit nepropustné rukavice.</w:t>
      </w:r>
    </w:p>
    <w:p w:rsidR="00117CBC" w:rsidRPr="00CF2582" w:rsidRDefault="00C84017" w:rsidP="00117CBC">
      <w:pPr>
        <w:pStyle w:val="LOQblauw"/>
        <w:rPr>
          <w:rFonts w:ascii="Times New Roman" w:hAnsi="Times New Roman" w:cs="Times New Roman"/>
          <w:color w:val="auto"/>
          <w:lang w:val="cs-CZ"/>
        </w:rPr>
      </w:pPr>
      <w:r w:rsidRPr="00CF2582">
        <w:rPr>
          <w:rFonts w:ascii="Times New Roman" w:hAnsi="Times New Roman" w:cs="Times New Roman"/>
          <w:color w:val="auto"/>
          <w:lang w:val="cs-CZ"/>
        </w:rPr>
        <w:t xml:space="preserve">Lidé se známou přecitlivělostí na </w:t>
      </w:r>
      <w:proofErr w:type="spellStart"/>
      <w:r w:rsidRPr="00CF2582">
        <w:rPr>
          <w:rFonts w:ascii="Times New Roman" w:hAnsi="Times New Roman" w:cs="Times New Roman"/>
          <w:color w:val="auto"/>
          <w:lang w:val="cs-CZ"/>
        </w:rPr>
        <w:t>kabergolin</w:t>
      </w:r>
      <w:proofErr w:type="spellEnd"/>
      <w:r w:rsidRPr="00CF2582">
        <w:rPr>
          <w:rFonts w:ascii="Times New Roman" w:hAnsi="Times New Roman" w:cs="Times New Roman"/>
          <w:color w:val="auto"/>
          <w:lang w:val="cs-CZ"/>
        </w:rPr>
        <w:t xml:space="preserve"> nebo na kteroukoli složku přípravku by se měli vyhnout kontaktu s tímto přípravkem</w:t>
      </w:r>
      <w:r w:rsidR="00117CBC" w:rsidRPr="00CF2582">
        <w:rPr>
          <w:rFonts w:ascii="Times New Roman" w:hAnsi="Times New Roman" w:cs="Times New Roman"/>
          <w:color w:val="auto"/>
          <w:lang w:val="cs-CZ"/>
        </w:rPr>
        <w:t>.</w:t>
      </w:r>
    </w:p>
    <w:p w:rsidR="00117CBC" w:rsidRDefault="00117CBC" w:rsidP="00117CBC">
      <w:pPr>
        <w:pStyle w:val="LOQblauw"/>
        <w:rPr>
          <w:rFonts w:ascii="Times New Roman" w:hAnsi="Times New Roman" w:cs="Times New Roman"/>
          <w:color w:val="auto"/>
          <w:lang w:val="cs-CZ"/>
        </w:rPr>
      </w:pPr>
      <w:r w:rsidRPr="00CF2582">
        <w:rPr>
          <w:rFonts w:ascii="Times New Roman" w:hAnsi="Times New Roman" w:cs="Times New Roman"/>
          <w:color w:val="auto"/>
          <w:lang w:val="cs-CZ"/>
        </w:rPr>
        <w:t xml:space="preserve">Nenechávejte naplněné </w:t>
      </w:r>
      <w:r w:rsidR="00BF6B8B">
        <w:rPr>
          <w:rFonts w:ascii="Times New Roman" w:hAnsi="Times New Roman" w:cs="Times New Roman"/>
          <w:color w:val="auto"/>
          <w:lang w:val="cs-CZ"/>
        </w:rPr>
        <w:t>aplikátory</w:t>
      </w:r>
      <w:r>
        <w:rPr>
          <w:rFonts w:ascii="Times New Roman" w:hAnsi="Times New Roman" w:cs="Times New Roman"/>
          <w:color w:val="auto"/>
          <w:lang w:val="cs-CZ"/>
        </w:rPr>
        <w:t xml:space="preserve"> </w:t>
      </w:r>
      <w:r w:rsidRPr="00CF2582">
        <w:rPr>
          <w:rFonts w:ascii="Times New Roman" w:hAnsi="Times New Roman" w:cs="Times New Roman"/>
          <w:color w:val="auto"/>
          <w:lang w:val="cs-CZ"/>
        </w:rPr>
        <w:t>v přítomnosti dětí</w:t>
      </w:r>
      <w:r w:rsidR="008C4356" w:rsidRPr="008C4356">
        <w:rPr>
          <w:rFonts w:ascii="Times New Roman" w:hAnsi="Times New Roman" w:cs="Times New Roman"/>
          <w:color w:val="auto"/>
          <w:lang w:val="cs-CZ"/>
        </w:rPr>
        <w:t xml:space="preserve"> </w:t>
      </w:r>
      <w:r w:rsidR="008C4356" w:rsidRPr="00CF2582">
        <w:rPr>
          <w:rFonts w:ascii="Times New Roman" w:hAnsi="Times New Roman" w:cs="Times New Roman"/>
          <w:color w:val="auto"/>
          <w:lang w:val="cs-CZ"/>
        </w:rPr>
        <w:t>bez dozoru</w:t>
      </w:r>
      <w:r w:rsidRPr="00CF2582">
        <w:rPr>
          <w:rFonts w:ascii="Times New Roman" w:hAnsi="Times New Roman" w:cs="Times New Roman"/>
          <w:color w:val="auto"/>
          <w:lang w:val="cs-CZ"/>
        </w:rPr>
        <w:t xml:space="preserve">. V případě náhodného </w:t>
      </w:r>
      <w:r w:rsidR="008C4356" w:rsidRPr="00CF2582">
        <w:rPr>
          <w:rFonts w:ascii="Times New Roman" w:hAnsi="Times New Roman" w:cs="Times New Roman"/>
          <w:color w:val="auto"/>
          <w:lang w:val="cs-CZ"/>
        </w:rPr>
        <w:t>po</w:t>
      </w:r>
      <w:r w:rsidR="008C4356">
        <w:rPr>
          <w:rFonts w:ascii="Times New Roman" w:hAnsi="Times New Roman" w:cs="Times New Roman"/>
          <w:color w:val="auto"/>
          <w:lang w:val="cs-CZ"/>
        </w:rPr>
        <w:t>žití</w:t>
      </w:r>
      <w:r w:rsidRPr="00CF2582">
        <w:rPr>
          <w:rFonts w:ascii="Times New Roman" w:hAnsi="Times New Roman" w:cs="Times New Roman"/>
          <w:color w:val="auto"/>
          <w:lang w:val="cs-CZ"/>
        </w:rPr>
        <w:t>, zejména dět</w:t>
      </w:r>
      <w:r w:rsidR="008C4356">
        <w:rPr>
          <w:rFonts w:ascii="Times New Roman" w:hAnsi="Times New Roman" w:cs="Times New Roman"/>
          <w:color w:val="auto"/>
          <w:lang w:val="cs-CZ"/>
        </w:rPr>
        <w:t>mi</w:t>
      </w:r>
      <w:r w:rsidRPr="00CF2582">
        <w:rPr>
          <w:rFonts w:ascii="Times New Roman" w:hAnsi="Times New Roman" w:cs="Times New Roman"/>
          <w:color w:val="auto"/>
          <w:lang w:val="cs-CZ"/>
        </w:rPr>
        <w:t xml:space="preserve">, vyhledejte ihned lékařskou pomoc a ukažte příbalovou informaci nebo etiketu praktickému lékaři. </w:t>
      </w:r>
    </w:p>
    <w:p w:rsidR="00064D7A" w:rsidRPr="00CF2582" w:rsidRDefault="00064D7A" w:rsidP="00117CBC">
      <w:pPr>
        <w:pStyle w:val="LOQblauw"/>
        <w:rPr>
          <w:rFonts w:ascii="Times New Roman" w:hAnsi="Times New Roman" w:cs="Times New Roman"/>
          <w:color w:val="auto"/>
          <w:lang w:val="cs-CZ"/>
        </w:rPr>
      </w:pPr>
    </w:p>
    <w:p w:rsidR="00117CBC" w:rsidRPr="003F53EB" w:rsidRDefault="00796636" w:rsidP="00117CBC">
      <w:pPr>
        <w:pStyle w:val="Nadpis2"/>
        <w:tabs>
          <w:tab w:val="center" w:pos="2371"/>
        </w:tabs>
        <w:ind w:left="-15" w:right="0" w:firstLine="0"/>
        <w:rPr>
          <w:b w:val="0"/>
          <w:color w:val="auto"/>
          <w:u w:val="single"/>
          <w:lang w:val="cs-CZ"/>
        </w:rPr>
      </w:pPr>
      <w:r>
        <w:rPr>
          <w:b w:val="0"/>
          <w:bCs/>
          <w:color w:val="auto"/>
          <w:u w:val="single"/>
          <w:lang w:val="cs-CZ"/>
        </w:rPr>
        <w:t>B</w:t>
      </w:r>
      <w:r w:rsidR="00117CBC" w:rsidRPr="003F53EB">
        <w:rPr>
          <w:b w:val="0"/>
          <w:bCs/>
          <w:color w:val="auto"/>
          <w:u w:val="single"/>
          <w:lang w:val="cs-CZ"/>
        </w:rPr>
        <w:t>řezost a laktace</w:t>
      </w:r>
      <w:r w:rsidR="00064D7A">
        <w:rPr>
          <w:b w:val="0"/>
          <w:bCs/>
          <w:color w:val="auto"/>
          <w:u w:val="single"/>
          <w:lang w:val="cs-CZ"/>
        </w:rPr>
        <w:t>:</w:t>
      </w:r>
      <w:r w:rsidR="00117CBC" w:rsidRPr="003F53EB">
        <w:rPr>
          <w:b w:val="0"/>
          <w:color w:val="auto"/>
          <w:u w:val="single"/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left="0" w:firstLine="0"/>
        <w:rPr>
          <w:color w:val="auto"/>
          <w:lang w:val="cs-CZ"/>
        </w:rPr>
      </w:pPr>
      <w:proofErr w:type="spellStart"/>
      <w:r w:rsidRPr="00CF2582">
        <w:rPr>
          <w:color w:val="auto"/>
          <w:lang w:val="cs-CZ"/>
        </w:rPr>
        <w:t>Kabergolin</w:t>
      </w:r>
      <w:proofErr w:type="spellEnd"/>
      <w:r w:rsidRPr="00CF2582">
        <w:rPr>
          <w:color w:val="auto"/>
          <w:lang w:val="cs-CZ"/>
        </w:rPr>
        <w:t xml:space="preserve"> má schopnost vyvolat potrat v pozdějších fázích březosti a neměl by být používán u březích zvířat. Měla by být správně provedena diferenciální analýza mezi březostí a falešnou březostí. </w:t>
      </w:r>
    </w:p>
    <w:p w:rsidR="00117CBC" w:rsidRDefault="00117CBC" w:rsidP="00117CBC">
      <w:pPr>
        <w:ind w:left="-5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Přípravek je určen k potlačení laktace: inhibice sekrece prolaktinu </w:t>
      </w:r>
      <w:proofErr w:type="spellStart"/>
      <w:r w:rsidRPr="00CF2582">
        <w:rPr>
          <w:color w:val="auto"/>
          <w:lang w:val="cs-CZ"/>
        </w:rPr>
        <w:t>kabergolinem</w:t>
      </w:r>
      <w:proofErr w:type="spellEnd"/>
      <w:r w:rsidRPr="00CF2582">
        <w:rPr>
          <w:color w:val="auto"/>
          <w:lang w:val="cs-CZ"/>
        </w:rPr>
        <w:t xml:space="preserve"> má za následek rychlé ukončení laktace a snížení velikosti mléčné žlázy. Přípravek se nesmí používat u kojících zvířat, pokud není žádoucí potlačení laktace.</w:t>
      </w:r>
    </w:p>
    <w:p w:rsidR="00064D7A" w:rsidRPr="00CF2582" w:rsidRDefault="00064D7A" w:rsidP="00117CBC">
      <w:pPr>
        <w:ind w:left="-5"/>
        <w:rPr>
          <w:color w:val="auto"/>
          <w:lang w:val="cs-CZ"/>
        </w:rPr>
      </w:pPr>
    </w:p>
    <w:p w:rsidR="00117CBC" w:rsidRPr="003F53EB" w:rsidRDefault="00117CBC" w:rsidP="00117CBC">
      <w:pPr>
        <w:pStyle w:val="Nadpis2"/>
        <w:tabs>
          <w:tab w:val="center" w:pos="3978"/>
        </w:tabs>
        <w:ind w:left="-15" w:right="0" w:firstLine="0"/>
        <w:rPr>
          <w:b w:val="0"/>
          <w:color w:val="auto"/>
          <w:u w:val="single"/>
          <w:lang w:val="cs-CZ"/>
        </w:rPr>
      </w:pPr>
      <w:r w:rsidRPr="003F53EB">
        <w:rPr>
          <w:b w:val="0"/>
          <w:bCs/>
          <w:color w:val="auto"/>
          <w:u w:val="single"/>
          <w:lang w:val="cs-CZ"/>
        </w:rPr>
        <w:lastRenderedPageBreak/>
        <w:t>Interakce s dalšími léčivými přípravky a další formy interakce</w:t>
      </w:r>
      <w:r w:rsidR="00064D7A">
        <w:rPr>
          <w:b w:val="0"/>
          <w:bCs/>
          <w:color w:val="auto"/>
          <w:u w:val="single"/>
          <w:lang w:val="cs-CZ"/>
        </w:rPr>
        <w:t>:</w:t>
      </w:r>
      <w:r w:rsidRPr="003F53EB">
        <w:rPr>
          <w:b w:val="0"/>
          <w:color w:val="auto"/>
          <w:u w:val="single"/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Vzhledem k tomu, že </w:t>
      </w:r>
      <w:proofErr w:type="spellStart"/>
      <w:r w:rsidRPr="00CF2582">
        <w:rPr>
          <w:color w:val="auto"/>
          <w:lang w:val="cs-CZ"/>
        </w:rPr>
        <w:t>kabergolin</w:t>
      </w:r>
      <w:proofErr w:type="spellEnd"/>
      <w:r w:rsidRPr="00CF2582">
        <w:rPr>
          <w:color w:val="auto"/>
          <w:lang w:val="cs-CZ"/>
        </w:rPr>
        <w:t xml:space="preserve"> uplatňuje svůj terapeutický účinek přímou stimulací dopaminových receptorů, </w:t>
      </w:r>
      <w:r w:rsidR="002B4CE2">
        <w:rPr>
          <w:color w:val="auto"/>
          <w:lang w:val="cs-CZ"/>
        </w:rPr>
        <w:t>přípravek</w:t>
      </w:r>
      <w:r w:rsidRPr="00CF2582">
        <w:rPr>
          <w:color w:val="auto"/>
          <w:lang w:val="cs-CZ"/>
        </w:rPr>
        <w:t xml:space="preserve"> by neměl být podáván současně s dopamin-antagonistickými léky (jako jsou například </w:t>
      </w:r>
      <w:proofErr w:type="spellStart"/>
      <w:r w:rsidRPr="00CF2582">
        <w:rPr>
          <w:color w:val="auto"/>
          <w:lang w:val="cs-CZ"/>
        </w:rPr>
        <w:t>fenotiaziny</w:t>
      </w:r>
      <w:proofErr w:type="spellEnd"/>
      <w:r w:rsidRPr="00CF2582">
        <w:rPr>
          <w:color w:val="auto"/>
          <w:lang w:val="cs-CZ"/>
        </w:rPr>
        <w:t xml:space="preserve">, </w:t>
      </w:r>
      <w:proofErr w:type="spellStart"/>
      <w:r w:rsidRPr="00CF2582">
        <w:rPr>
          <w:color w:val="auto"/>
          <w:lang w:val="cs-CZ"/>
        </w:rPr>
        <w:t>butyrofenony</w:t>
      </w:r>
      <w:proofErr w:type="spellEnd"/>
      <w:r w:rsidRPr="00CF2582">
        <w:rPr>
          <w:color w:val="auto"/>
          <w:lang w:val="cs-CZ"/>
        </w:rPr>
        <w:t xml:space="preserve">, </w:t>
      </w:r>
      <w:proofErr w:type="spellStart"/>
      <w:r w:rsidRPr="00CF2582">
        <w:rPr>
          <w:color w:val="auto"/>
          <w:lang w:val="cs-CZ"/>
        </w:rPr>
        <w:t>metoklopramid</w:t>
      </w:r>
      <w:proofErr w:type="spellEnd"/>
      <w:r w:rsidRPr="00CF2582">
        <w:rPr>
          <w:color w:val="auto"/>
          <w:lang w:val="cs-CZ"/>
        </w:rPr>
        <w:t>), protože by mohl snížit inhibiční účinky prolaktinu. Viz také bod Kontraindikace.</w:t>
      </w:r>
    </w:p>
    <w:p w:rsidR="00117CBC" w:rsidRDefault="00117CBC" w:rsidP="00117CBC">
      <w:pPr>
        <w:pStyle w:val="LOQblauw"/>
        <w:rPr>
          <w:rFonts w:ascii="Times New Roman" w:hAnsi="Times New Roman" w:cs="Times New Roman"/>
          <w:color w:val="auto"/>
          <w:lang w:val="cs-CZ"/>
        </w:rPr>
      </w:pPr>
      <w:r w:rsidRPr="00CF2582">
        <w:rPr>
          <w:rFonts w:ascii="Times New Roman" w:hAnsi="Times New Roman" w:cs="Times New Roman"/>
          <w:color w:val="auto"/>
          <w:lang w:val="cs-CZ"/>
        </w:rPr>
        <w:t xml:space="preserve">Vzhledem k tomu, že </w:t>
      </w:r>
      <w:proofErr w:type="spellStart"/>
      <w:r w:rsidRPr="00CF2582">
        <w:rPr>
          <w:rFonts w:ascii="Times New Roman" w:hAnsi="Times New Roman" w:cs="Times New Roman"/>
          <w:color w:val="auto"/>
          <w:lang w:val="cs-CZ"/>
        </w:rPr>
        <w:t>kabergolin</w:t>
      </w:r>
      <w:proofErr w:type="spellEnd"/>
      <w:r w:rsidRPr="00CF2582">
        <w:rPr>
          <w:rFonts w:ascii="Times New Roman" w:hAnsi="Times New Roman" w:cs="Times New Roman"/>
          <w:color w:val="auto"/>
          <w:lang w:val="cs-CZ"/>
        </w:rPr>
        <w:t xml:space="preserve"> může vyvolat přechodnou hypotenzi (nízký krevní tlak), přípravek se nesmí používat u zvířat současně léčených léky na hypotenzi (léky na snížení krevního tlaku). Viz také bod Nežádoucí účinky.</w:t>
      </w:r>
    </w:p>
    <w:p w:rsidR="00064D7A" w:rsidRPr="00CF2582" w:rsidRDefault="00064D7A" w:rsidP="00117CBC">
      <w:pPr>
        <w:pStyle w:val="LOQblauw"/>
        <w:rPr>
          <w:rFonts w:ascii="Times New Roman" w:hAnsi="Times New Roman" w:cs="Times New Roman"/>
          <w:color w:val="auto"/>
          <w:lang w:val="cs-CZ"/>
        </w:rPr>
      </w:pPr>
    </w:p>
    <w:p w:rsidR="00117CBC" w:rsidRPr="003F53EB" w:rsidRDefault="00117CBC" w:rsidP="00117CBC">
      <w:pPr>
        <w:pStyle w:val="Nadpis2"/>
        <w:ind w:left="-5" w:right="0"/>
        <w:rPr>
          <w:b w:val="0"/>
          <w:color w:val="auto"/>
          <w:u w:val="single"/>
          <w:lang w:val="cs-CZ"/>
        </w:rPr>
      </w:pPr>
      <w:r w:rsidRPr="003F53EB">
        <w:rPr>
          <w:b w:val="0"/>
          <w:bCs/>
          <w:color w:val="auto"/>
          <w:u w:val="single"/>
          <w:lang w:val="cs-CZ"/>
        </w:rPr>
        <w:t xml:space="preserve">Předávkování (symptomy, první pomoc, </w:t>
      </w:r>
      <w:proofErr w:type="spellStart"/>
      <w:r w:rsidRPr="003F53EB">
        <w:rPr>
          <w:b w:val="0"/>
          <w:bCs/>
          <w:color w:val="auto"/>
          <w:u w:val="single"/>
          <w:lang w:val="cs-CZ"/>
        </w:rPr>
        <w:t>antidota</w:t>
      </w:r>
      <w:proofErr w:type="spellEnd"/>
      <w:r w:rsidRPr="003F53EB">
        <w:rPr>
          <w:b w:val="0"/>
          <w:bCs/>
          <w:color w:val="auto"/>
          <w:u w:val="single"/>
          <w:lang w:val="cs-CZ"/>
        </w:rPr>
        <w:t>)</w:t>
      </w:r>
      <w:r w:rsidR="00064D7A">
        <w:rPr>
          <w:b w:val="0"/>
          <w:bCs/>
          <w:color w:val="auto"/>
          <w:u w:val="single"/>
          <w:lang w:val="cs-CZ"/>
        </w:rPr>
        <w:t>:</w:t>
      </w:r>
    </w:p>
    <w:p w:rsidR="00117CBC" w:rsidRPr="00CF2582" w:rsidRDefault="00117CBC" w:rsidP="00117CBC">
      <w:pPr>
        <w:spacing w:after="7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Experimentální údaje ukazují, že jedna nadměrná dávka </w:t>
      </w:r>
      <w:proofErr w:type="spellStart"/>
      <w:r w:rsidRPr="00CF2582">
        <w:rPr>
          <w:color w:val="auto"/>
          <w:lang w:val="cs-CZ"/>
        </w:rPr>
        <w:t>kabergolinu</w:t>
      </w:r>
      <w:proofErr w:type="spellEnd"/>
      <w:r w:rsidRPr="00CF2582">
        <w:rPr>
          <w:color w:val="auto"/>
          <w:lang w:val="cs-CZ"/>
        </w:rPr>
        <w:t xml:space="preserve"> může mít za následek zvýšenou pravděpodobnost zvracení po léčbě a případně zvýšení hypotenze po léčbě.</w:t>
      </w:r>
    </w:p>
    <w:p w:rsidR="00117CBC" w:rsidRDefault="00117CBC" w:rsidP="00117CBC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K odstranění neabsorbovaného léku je třeba provést celková podpůrná opatření a, je-li to nutné, udržovat krevní tlak. Za </w:t>
      </w:r>
      <w:proofErr w:type="spellStart"/>
      <w:r w:rsidRPr="00CF2582">
        <w:rPr>
          <w:color w:val="auto"/>
          <w:lang w:val="cs-CZ"/>
        </w:rPr>
        <w:t>antidotum</w:t>
      </w:r>
      <w:proofErr w:type="spellEnd"/>
      <w:r w:rsidRPr="00CF2582">
        <w:rPr>
          <w:color w:val="auto"/>
          <w:lang w:val="cs-CZ"/>
        </w:rPr>
        <w:t xml:space="preserve"> lze považovat parenterální podání dopamin-antagonistických léků, například </w:t>
      </w:r>
      <w:proofErr w:type="spellStart"/>
      <w:r w:rsidRPr="00CF2582">
        <w:rPr>
          <w:color w:val="auto"/>
          <w:lang w:val="cs-CZ"/>
        </w:rPr>
        <w:t>metoklopramidu</w:t>
      </w:r>
      <w:proofErr w:type="spellEnd"/>
      <w:r w:rsidRPr="00CF2582">
        <w:rPr>
          <w:color w:val="auto"/>
          <w:lang w:val="cs-CZ"/>
        </w:rPr>
        <w:t>.</w:t>
      </w:r>
    </w:p>
    <w:p w:rsidR="00064D7A" w:rsidRPr="00CF2582" w:rsidRDefault="00064D7A" w:rsidP="00117CBC">
      <w:pPr>
        <w:spacing w:after="0" w:line="259" w:lineRule="auto"/>
        <w:ind w:left="0" w:firstLine="0"/>
        <w:rPr>
          <w:color w:val="auto"/>
          <w:lang w:val="cs-CZ"/>
        </w:rPr>
      </w:pPr>
    </w:p>
    <w:p w:rsidR="00117CBC" w:rsidRPr="003F53EB" w:rsidRDefault="00117CBC" w:rsidP="00117CBC">
      <w:pPr>
        <w:tabs>
          <w:tab w:val="center" w:pos="1361"/>
        </w:tabs>
        <w:spacing w:line="251" w:lineRule="auto"/>
        <w:ind w:left="-15" w:firstLine="0"/>
        <w:rPr>
          <w:color w:val="auto"/>
          <w:u w:val="single"/>
          <w:lang w:val="cs-CZ"/>
        </w:rPr>
      </w:pPr>
      <w:r w:rsidRPr="003F53EB">
        <w:rPr>
          <w:bCs/>
          <w:color w:val="auto"/>
          <w:u w:val="single"/>
          <w:lang w:val="cs-CZ"/>
        </w:rPr>
        <w:t>Inkompatibility</w:t>
      </w:r>
      <w:r w:rsidR="00064D7A">
        <w:rPr>
          <w:bCs/>
          <w:color w:val="auto"/>
          <w:u w:val="single"/>
          <w:lang w:val="cs-CZ"/>
        </w:rPr>
        <w:t>:</w:t>
      </w:r>
      <w:r w:rsidRPr="003F53EB">
        <w:rPr>
          <w:color w:val="auto"/>
          <w:u w:val="single"/>
          <w:lang w:val="cs-CZ"/>
        </w:rPr>
        <w:t xml:space="preserve"> </w:t>
      </w:r>
    </w:p>
    <w:p w:rsidR="00117CBC" w:rsidRDefault="00117CBC" w:rsidP="00117CBC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>Tento veterinární léčivý přípravek nesmí být mísen s jinými vodnými roztoky (např. mlékem).</w:t>
      </w:r>
    </w:p>
    <w:p w:rsidR="00796636" w:rsidRPr="00796636" w:rsidRDefault="00796636" w:rsidP="00117CBC">
      <w:pPr>
        <w:spacing w:after="0" w:line="259" w:lineRule="auto"/>
        <w:ind w:left="0" w:firstLine="0"/>
        <w:rPr>
          <w:color w:val="auto"/>
          <w:lang w:val="cs-CZ"/>
        </w:rPr>
      </w:pPr>
      <w:r w:rsidRPr="00796636">
        <w:rPr>
          <w:color w:val="auto"/>
          <w:lang w:val="cs-CZ"/>
        </w:rPr>
        <w:t>Studie kompatibility nejsou k dispozici, a proto tento veterinární léčivý přípravek nesmí být mísen s žádnými dalšími veterinárními léčivými přípravky</w:t>
      </w:r>
      <w:r>
        <w:rPr>
          <w:color w:val="auto"/>
          <w:lang w:val="cs-CZ"/>
        </w:rPr>
        <w:t>.</w:t>
      </w:r>
    </w:p>
    <w:p w:rsidR="00117CBC" w:rsidRPr="00CF2582" w:rsidRDefault="00117CBC" w:rsidP="00117CBC">
      <w:pPr>
        <w:spacing w:after="15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 </w:t>
      </w:r>
    </w:p>
    <w:p w:rsidR="00117CBC" w:rsidRPr="00CF2582" w:rsidRDefault="00117CBC" w:rsidP="00117CBC">
      <w:pPr>
        <w:pStyle w:val="Nadpis1"/>
        <w:ind w:left="553" w:right="0" w:hanging="568"/>
        <w:rPr>
          <w:color w:val="auto"/>
          <w:lang w:val="cs-CZ"/>
        </w:rPr>
      </w:pPr>
      <w:r w:rsidRPr="003F53EB">
        <w:rPr>
          <w:bCs/>
          <w:color w:val="auto"/>
          <w:highlight w:val="lightGray"/>
          <w:lang w:val="cs-CZ"/>
        </w:rPr>
        <w:t>13.</w:t>
      </w:r>
      <w:r w:rsidRPr="00CF2582">
        <w:rPr>
          <w:b w:val="0"/>
          <w:color w:val="auto"/>
          <w:lang w:val="cs-CZ"/>
        </w:rPr>
        <w:tab/>
      </w:r>
      <w:r w:rsidRPr="00CF2582">
        <w:rPr>
          <w:bCs/>
          <w:color w:val="auto"/>
          <w:lang w:val="cs-CZ"/>
        </w:rPr>
        <w:t>ZVLÁŠTNÍ OPATŘENÍ PRO ZNEŠKODŇOVÁNÍ NEPOUŽITÝCH PŘÍPRAVKŮ NEBO ODPADU, POKUD JE JICH TŘEBA</w:t>
      </w:r>
      <w:r w:rsidRPr="00CF2582">
        <w:rPr>
          <w:b w:val="0"/>
          <w:color w:val="auto"/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 </w:t>
      </w:r>
    </w:p>
    <w:p w:rsidR="00796636" w:rsidRPr="00796636" w:rsidRDefault="00796636" w:rsidP="00796636">
      <w:pPr>
        <w:ind w:left="-5"/>
        <w:rPr>
          <w:color w:val="auto"/>
          <w:lang w:val="cs-CZ"/>
        </w:rPr>
      </w:pPr>
      <w:r w:rsidRPr="00796636">
        <w:rPr>
          <w:color w:val="auto"/>
          <w:lang w:val="cs-CZ"/>
        </w:rPr>
        <w:t>Léčivé přípravky se nesmí likvidovat prostřednictvím odpadní vody či domovního odpadu.</w:t>
      </w:r>
    </w:p>
    <w:p w:rsidR="00117CBC" w:rsidRDefault="00796636" w:rsidP="00117CBC">
      <w:pPr>
        <w:spacing w:after="15" w:line="259" w:lineRule="auto"/>
        <w:ind w:left="0" w:firstLine="0"/>
        <w:rPr>
          <w:color w:val="auto"/>
          <w:lang w:val="cs-CZ"/>
        </w:rPr>
      </w:pPr>
      <w:r w:rsidRPr="00796636">
        <w:rPr>
          <w:color w:val="auto"/>
          <w:lang w:val="cs-CZ"/>
        </w:rPr>
        <w:t>O možnostech likvidace nepotřebných léčivých přípravků se poraďte s vaším veterinárním lékařem. Tato opatření napomáhají chránit životní prostředí.</w:t>
      </w:r>
      <w:r w:rsidR="00117CBC" w:rsidRPr="00CF2582">
        <w:rPr>
          <w:color w:val="auto"/>
          <w:lang w:val="cs-CZ"/>
        </w:rPr>
        <w:t xml:space="preserve"> </w:t>
      </w:r>
    </w:p>
    <w:p w:rsidR="00064D7A" w:rsidRPr="00CF2582" w:rsidRDefault="00064D7A" w:rsidP="00117CBC">
      <w:pPr>
        <w:spacing w:after="15" w:line="259" w:lineRule="auto"/>
        <w:ind w:left="0" w:firstLine="0"/>
        <w:rPr>
          <w:color w:val="auto"/>
          <w:lang w:val="cs-CZ"/>
        </w:rPr>
      </w:pPr>
    </w:p>
    <w:p w:rsidR="00117CBC" w:rsidRPr="00CF2582" w:rsidRDefault="00117CBC" w:rsidP="00117CBC">
      <w:pPr>
        <w:tabs>
          <w:tab w:val="left" w:pos="567"/>
          <w:tab w:val="center" w:pos="4098"/>
        </w:tabs>
        <w:spacing w:line="251" w:lineRule="auto"/>
        <w:ind w:left="-15" w:firstLine="0"/>
        <w:rPr>
          <w:color w:val="auto"/>
          <w:lang w:val="cs-CZ"/>
        </w:rPr>
      </w:pPr>
      <w:r w:rsidRPr="003F53EB">
        <w:rPr>
          <w:b/>
          <w:bCs/>
          <w:color w:val="auto"/>
          <w:highlight w:val="lightGray"/>
          <w:lang w:val="cs-CZ"/>
        </w:rPr>
        <w:t>14.</w:t>
      </w:r>
      <w:r w:rsidRPr="00CF2582">
        <w:rPr>
          <w:color w:val="auto"/>
          <w:lang w:val="cs-CZ"/>
        </w:rPr>
        <w:tab/>
      </w:r>
      <w:r w:rsidRPr="00CF2582">
        <w:rPr>
          <w:b/>
          <w:bCs/>
          <w:color w:val="auto"/>
          <w:lang w:val="cs-CZ"/>
        </w:rPr>
        <w:t>DATUM POSLEDNÍ REVIZE PŘÍBALOVÉ INFORMACE</w:t>
      </w:r>
      <w:r w:rsidRPr="00CF2582">
        <w:rPr>
          <w:color w:val="auto"/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 </w:t>
      </w:r>
    </w:p>
    <w:p w:rsidR="00117CBC" w:rsidRDefault="00321649" w:rsidP="00117CBC">
      <w:pPr>
        <w:spacing w:after="0" w:line="259" w:lineRule="auto"/>
        <w:ind w:left="0" w:firstLine="0"/>
        <w:rPr>
          <w:color w:val="auto"/>
          <w:lang w:val="cs-CZ"/>
        </w:rPr>
      </w:pPr>
      <w:r>
        <w:rPr>
          <w:color w:val="auto"/>
          <w:lang w:val="cs-CZ"/>
        </w:rPr>
        <w:t>Červen</w:t>
      </w:r>
      <w:r w:rsidR="00610E71">
        <w:rPr>
          <w:color w:val="auto"/>
          <w:lang w:val="cs-CZ"/>
        </w:rPr>
        <w:t>ec</w:t>
      </w:r>
      <w:bookmarkStart w:id="0" w:name="_GoBack"/>
      <w:bookmarkEnd w:id="0"/>
      <w:r>
        <w:rPr>
          <w:color w:val="auto"/>
          <w:lang w:val="cs-CZ"/>
        </w:rPr>
        <w:t xml:space="preserve"> 2021</w:t>
      </w:r>
    </w:p>
    <w:p w:rsidR="00064D7A" w:rsidRPr="00CF2582" w:rsidRDefault="00064D7A" w:rsidP="00117CBC">
      <w:pPr>
        <w:spacing w:after="0" w:line="259" w:lineRule="auto"/>
        <w:ind w:left="0" w:firstLine="0"/>
        <w:rPr>
          <w:color w:val="auto"/>
          <w:lang w:val="cs-CZ"/>
        </w:rPr>
      </w:pPr>
    </w:p>
    <w:p w:rsidR="00117CBC" w:rsidRPr="00CF2582" w:rsidRDefault="00117CBC" w:rsidP="00117CBC">
      <w:pPr>
        <w:pStyle w:val="Nadpis1"/>
        <w:tabs>
          <w:tab w:val="left" w:pos="567"/>
          <w:tab w:val="center" w:pos="1807"/>
        </w:tabs>
        <w:ind w:left="-15" w:right="0" w:firstLine="0"/>
        <w:rPr>
          <w:color w:val="auto"/>
          <w:lang w:val="cs-CZ"/>
        </w:rPr>
      </w:pPr>
      <w:r w:rsidRPr="003F53EB">
        <w:rPr>
          <w:bCs/>
          <w:color w:val="auto"/>
          <w:highlight w:val="lightGray"/>
          <w:lang w:val="cs-CZ"/>
        </w:rPr>
        <w:t>15.</w:t>
      </w:r>
      <w:r w:rsidRPr="00CF2582">
        <w:rPr>
          <w:b w:val="0"/>
          <w:color w:val="auto"/>
          <w:lang w:val="cs-CZ"/>
        </w:rPr>
        <w:tab/>
      </w:r>
      <w:r w:rsidRPr="00CF2582">
        <w:rPr>
          <w:bCs/>
          <w:color w:val="auto"/>
          <w:lang w:val="cs-CZ"/>
        </w:rPr>
        <w:t>DALŠÍ INFORMACE</w:t>
      </w:r>
      <w:r w:rsidRPr="00CF2582">
        <w:rPr>
          <w:b w:val="0"/>
          <w:color w:val="auto"/>
          <w:lang w:val="cs-CZ"/>
        </w:rPr>
        <w:t xml:space="preserve"> </w:t>
      </w:r>
    </w:p>
    <w:p w:rsidR="00117CBC" w:rsidRPr="00CF2582" w:rsidRDefault="00117CBC" w:rsidP="00117CBC">
      <w:pPr>
        <w:pStyle w:val="LOQblauw"/>
        <w:rPr>
          <w:rFonts w:ascii="Times New Roman" w:hAnsi="Times New Roman" w:cs="Times New Roman"/>
          <w:color w:val="auto"/>
          <w:lang w:val="cs-CZ"/>
        </w:rPr>
      </w:pPr>
    </w:p>
    <w:p w:rsidR="00703D5F" w:rsidRPr="00FF7017" w:rsidRDefault="00703D5F" w:rsidP="00703D5F">
      <w:pPr>
        <w:rPr>
          <w:lang w:val="cs-CZ"/>
        </w:rPr>
      </w:pPr>
      <w:r w:rsidRPr="00FF7017">
        <w:rPr>
          <w:lang w:val="cs-CZ"/>
        </w:rPr>
        <w:t>Pouze pro zvířata.</w:t>
      </w:r>
    </w:p>
    <w:p w:rsidR="00703D5F" w:rsidRPr="00FF7017" w:rsidRDefault="00703D5F" w:rsidP="00703D5F">
      <w:pPr>
        <w:rPr>
          <w:lang w:val="cs-CZ"/>
        </w:rPr>
      </w:pPr>
      <w:r w:rsidRPr="00FF7017">
        <w:rPr>
          <w:lang w:val="cs-CZ"/>
        </w:rPr>
        <w:t>Veterinární léčivý přípravek je vydáván pouze na předpis.</w:t>
      </w:r>
    </w:p>
    <w:p w:rsidR="00117CBC" w:rsidRPr="00CF2582" w:rsidRDefault="00117CBC" w:rsidP="00117CBC">
      <w:pPr>
        <w:pStyle w:val="LOQblauw"/>
        <w:rPr>
          <w:rFonts w:ascii="Times New Roman" w:hAnsi="Times New Roman" w:cs="Times New Roman"/>
          <w:color w:val="auto"/>
          <w:lang w:val="cs-CZ"/>
        </w:rPr>
      </w:pPr>
    </w:p>
    <w:p w:rsidR="00117CBC" w:rsidRPr="00CF2582" w:rsidRDefault="00117CBC" w:rsidP="00117CBC">
      <w:pPr>
        <w:pStyle w:val="LOQblauw"/>
        <w:rPr>
          <w:rFonts w:ascii="Times New Roman" w:hAnsi="Times New Roman" w:cs="Times New Roman"/>
          <w:color w:val="auto"/>
          <w:lang w:val="cs-CZ"/>
        </w:rPr>
      </w:pPr>
      <w:r w:rsidRPr="00CF2582">
        <w:rPr>
          <w:rFonts w:ascii="Times New Roman" w:hAnsi="Times New Roman" w:cs="Times New Roman"/>
          <w:color w:val="auto"/>
          <w:lang w:val="cs-CZ"/>
        </w:rPr>
        <w:t xml:space="preserve">3ml (v lahvičce o </w:t>
      </w:r>
      <w:r w:rsidR="0044570D">
        <w:rPr>
          <w:rFonts w:ascii="Times New Roman" w:hAnsi="Times New Roman" w:cs="Times New Roman"/>
          <w:color w:val="auto"/>
          <w:lang w:val="cs-CZ"/>
        </w:rPr>
        <w:t>objemu</w:t>
      </w:r>
      <w:r w:rsidR="0044570D" w:rsidRPr="00CF2582">
        <w:rPr>
          <w:rFonts w:ascii="Times New Roman" w:hAnsi="Times New Roman" w:cs="Times New Roman"/>
          <w:color w:val="auto"/>
          <w:lang w:val="cs-CZ"/>
        </w:rPr>
        <w:t xml:space="preserve"> </w:t>
      </w:r>
      <w:r w:rsidRPr="00CF2582">
        <w:rPr>
          <w:rFonts w:ascii="Times New Roman" w:hAnsi="Times New Roman" w:cs="Times New Roman"/>
          <w:color w:val="auto"/>
          <w:lang w:val="cs-CZ"/>
        </w:rPr>
        <w:t>5 ml), 10ml, 15ml, 25ml a 50ml lahvička z hnědého skla typu III</w:t>
      </w:r>
      <w:r w:rsidR="00CA57B3">
        <w:rPr>
          <w:rFonts w:ascii="Times New Roman" w:hAnsi="Times New Roman" w:cs="Times New Roman"/>
          <w:color w:val="auto"/>
          <w:lang w:val="cs-CZ"/>
        </w:rPr>
        <w:t>,</w:t>
      </w:r>
      <w:r w:rsidRPr="00CF2582">
        <w:rPr>
          <w:rFonts w:ascii="Times New Roman" w:hAnsi="Times New Roman" w:cs="Times New Roman"/>
          <w:color w:val="auto"/>
          <w:lang w:val="cs-CZ"/>
        </w:rPr>
        <w:t xml:space="preserve"> uzavřen</w:t>
      </w:r>
      <w:r w:rsidR="00CA57B3">
        <w:rPr>
          <w:rFonts w:ascii="Times New Roman" w:hAnsi="Times New Roman" w:cs="Times New Roman"/>
          <w:color w:val="auto"/>
          <w:lang w:val="cs-CZ"/>
        </w:rPr>
        <w:t>á</w:t>
      </w:r>
      <w:r w:rsidRPr="00CF2582">
        <w:rPr>
          <w:rFonts w:ascii="Times New Roman" w:hAnsi="Times New Roman" w:cs="Times New Roman"/>
          <w:color w:val="auto"/>
          <w:lang w:val="cs-CZ"/>
        </w:rPr>
        <w:t xml:space="preserve"> kuželovým adaptérem</w:t>
      </w:r>
      <w:r w:rsidR="00CA57B3">
        <w:rPr>
          <w:rFonts w:ascii="Times New Roman" w:hAnsi="Times New Roman" w:cs="Times New Roman"/>
          <w:color w:val="auto"/>
          <w:lang w:val="cs-CZ"/>
        </w:rPr>
        <w:t xml:space="preserve"> </w:t>
      </w:r>
      <w:r w:rsidR="00CA57B3" w:rsidRPr="00CA57B3">
        <w:rPr>
          <w:rFonts w:ascii="Times New Roman" w:hAnsi="Times New Roman" w:cs="Times New Roman"/>
          <w:color w:val="auto"/>
          <w:lang w:val="cs-CZ"/>
        </w:rPr>
        <w:t>perorálního aplikátoru</w:t>
      </w:r>
      <w:r w:rsidRPr="00CF2582">
        <w:rPr>
          <w:rFonts w:ascii="Times New Roman" w:hAnsi="Times New Roman" w:cs="Times New Roman"/>
          <w:color w:val="auto"/>
          <w:lang w:val="cs-CZ"/>
        </w:rPr>
        <w:t xml:space="preserve"> ‚</w:t>
      </w:r>
      <w:proofErr w:type="spellStart"/>
      <w:r w:rsidRPr="00CF2582">
        <w:rPr>
          <w:rFonts w:ascii="Times New Roman" w:hAnsi="Times New Roman" w:cs="Times New Roman"/>
          <w:color w:val="auto"/>
          <w:lang w:val="cs-CZ"/>
        </w:rPr>
        <w:t>Luer</w:t>
      </w:r>
      <w:proofErr w:type="spellEnd"/>
      <w:r w:rsidRPr="00CF2582">
        <w:rPr>
          <w:rFonts w:ascii="Times New Roman" w:hAnsi="Times New Roman" w:cs="Times New Roman"/>
          <w:color w:val="auto"/>
          <w:lang w:val="cs-CZ"/>
        </w:rPr>
        <w:t xml:space="preserve"> slip‘ (</w:t>
      </w:r>
      <w:proofErr w:type="spellStart"/>
      <w:r w:rsidRPr="00CF2582">
        <w:rPr>
          <w:rFonts w:ascii="Times New Roman" w:hAnsi="Times New Roman" w:cs="Times New Roman"/>
          <w:color w:val="auto"/>
          <w:lang w:val="cs-CZ"/>
        </w:rPr>
        <w:t>polyet</w:t>
      </w:r>
      <w:r w:rsidR="00CA57B3">
        <w:rPr>
          <w:rFonts w:ascii="Times New Roman" w:hAnsi="Times New Roman" w:cs="Times New Roman"/>
          <w:color w:val="auto"/>
          <w:lang w:val="cs-CZ"/>
        </w:rPr>
        <w:t>h</w:t>
      </w:r>
      <w:r w:rsidRPr="00CF2582">
        <w:rPr>
          <w:rFonts w:ascii="Times New Roman" w:hAnsi="Times New Roman" w:cs="Times New Roman"/>
          <w:color w:val="auto"/>
          <w:lang w:val="cs-CZ"/>
        </w:rPr>
        <w:t>ylen</w:t>
      </w:r>
      <w:proofErr w:type="spellEnd"/>
      <w:r w:rsidRPr="00CF2582">
        <w:rPr>
          <w:rFonts w:ascii="Times New Roman" w:hAnsi="Times New Roman" w:cs="Times New Roman"/>
          <w:color w:val="auto"/>
          <w:lang w:val="cs-CZ"/>
        </w:rPr>
        <w:t xml:space="preserve"> s nízkou hustotou) a šroubovacím</w:t>
      </w:r>
      <w:r w:rsidR="00A733A1">
        <w:rPr>
          <w:rFonts w:ascii="Times New Roman" w:hAnsi="Times New Roman" w:cs="Times New Roman"/>
          <w:color w:val="auto"/>
          <w:lang w:val="cs-CZ"/>
        </w:rPr>
        <w:t xml:space="preserve"> </w:t>
      </w:r>
      <w:r w:rsidR="00CA57B3">
        <w:rPr>
          <w:rFonts w:ascii="Times New Roman" w:hAnsi="Times New Roman" w:cs="Times New Roman"/>
          <w:color w:val="auto"/>
          <w:lang w:val="cs-CZ"/>
        </w:rPr>
        <w:t>uzávěrem</w:t>
      </w:r>
      <w:r w:rsidR="00CA57B3" w:rsidRPr="00CF2582">
        <w:rPr>
          <w:rFonts w:ascii="Times New Roman" w:hAnsi="Times New Roman" w:cs="Times New Roman"/>
          <w:color w:val="auto"/>
          <w:lang w:val="cs-CZ"/>
        </w:rPr>
        <w:t xml:space="preserve"> </w:t>
      </w:r>
      <w:r w:rsidRPr="00CF2582">
        <w:rPr>
          <w:rFonts w:ascii="Times New Roman" w:hAnsi="Times New Roman" w:cs="Times New Roman"/>
          <w:color w:val="auto"/>
          <w:lang w:val="cs-CZ"/>
        </w:rPr>
        <w:t>(</w:t>
      </w:r>
      <w:proofErr w:type="spellStart"/>
      <w:r w:rsidRPr="00CF2582">
        <w:rPr>
          <w:rFonts w:ascii="Times New Roman" w:hAnsi="Times New Roman" w:cs="Times New Roman"/>
          <w:color w:val="auto"/>
          <w:lang w:val="cs-CZ"/>
        </w:rPr>
        <w:t>polyet</w:t>
      </w:r>
      <w:r w:rsidR="00CA57B3">
        <w:rPr>
          <w:rFonts w:ascii="Times New Roman" w:hAnsi="Times New Roman" w:cs="Times New Roman"/>
          <w:color w:val="auto"/>
          <w:lang w:val="cs-CZ"/>
        </w:rPr>
        <w:t>h</w:t>
      </w:r>
      <w:r w:rsidRPr="00CF2582">
        <w:rPr>
          <w:rFonts w:ascii="Times New Roman" w:hAnsi="Times New Roman" w:cs="Times New Roman"/>
          <w:color w:val="auto"/>
          <w:lang w:val="cs-CZ"/>
        </w:rPr>
        <w:t>ylen</w:t>
      </w:r>
      <w:proofErr w:type="spellEnd"/>
      <w:r w:rsidRPr="00CF2582">
        <w:rPr>
          <w:rFonts w:ascii="Times New Roman" w:hAnsi="Times New Roman" w:cs="Times New Roman"/>
          <w:color w:val="auto"/>
          <w:lang w:val="cs-CZ"/>
        </w:rPr>
        <w:t xml:space="preserve"> s vysokou hustotou). Lahvičky jsou baleny v</w:t>
      </w:r>
      <w:r w:rsidR="00CA57B3">
        <w:rPr>
          <w:rFonts w:ascii="Times New Roman" w:hAnsi="Times New Roman" w:cs="Times New Roman"/>
          <w:color w:val="auto"/>
          <w:lang w:val="cs-CZ"/>
        </w:rPr>
        <w:t xml:space="preserve"> papírové </w:t>
      </w:r>
      <w:r w:rsidRPr="00CF2582">
        <w:rPr>
          <w:rFonts w:ascii="Times New Roman" w:hAnsi="Times New Roman" w:cs="Times New Roman"/>
          <w:color w:val="auto"/>
          <w:lang w:val="cs-CZ"/>
        </w:rPr>
        <w:t xml:space="preserve">krabičce. </w:t>
      </w:r>
    </w:p>
    <w:p w:rsidR="00117CBC" w:rsidRPr="00CF2582" w:rsidRDefault="00CA57B3" w:rsidP="00117CBC">
      <w:pPr>
        <w:pStyle w:val="LOQblauw"/>
        <w:rPr>
          <w:rFonts w:ascii="Times New Roman" w:hAnsi="Times New Roman" w:cs="Times New Roman"/>
          <w:color w:val="auto"/>
          <w:lang w:val="cs-CZ"/>
        </w:rPr>
      </w:pPr>
      <w:r w:rsidRPr="00CF2582">
        <w:rPr>
          <w:rFonts w:ascii="Times New Roman" w:hAnsi="Times New Roman" w:cs="Times New Roman"/>
          <w:color w:val="auto"/>
          <w:lang w:val="cs-CZ"/>
        </w:rPr>
        <w:t xml:space="preserve">1ml a </w:t>
      </w:r>
      <w:r w:rsidR="00321649">
        <w:rPr>
          <w:rFonts w:ascii="Times New Roman" w:hAnsi="Times New Roman" w:cs="Times New Roman"/>
          <w:color w:val="auto"/>
          <w:lang w:val="cs-CZ"/>
        </w:rPr>
        <w:t>3</w:t>
      </w:r>
      <w:r w:rsidRPr="00CF2582">
        <w:rPr>
          <w:rFonts w:ascii="Times New Roman" w:hAnsi="Times New Roman" w:cs="Times New Roman"/>
          <w:color w:val="auto"/>
          <w:lang w:val="cs-CZ"/>
        </w:rPr>
        <w:t xml:space="preserve">ml </w:t>
      </w:r>
      <w:r>
        <w:rPr>
          <w:rFonts w:ascii="Times New Roman" w:hAnsi="Times New Roman" w:cs="Times New Roman"/>
          <w:color w:val="auto"/>
          <w:lang w:val="cs-CZ"/>
        </w:rPr>
        <w:t>p</w:t>
      </w:r>
      <w:r w:rsidR="00117CBC" w:rsidRPr="00CF2582">
        <w:rPr>
          <w:rFonts w:ascii="Times New Roman" w:hAnsi="Times New Roman" w:cs="Times New Roman"/>
          <w:color w:val="auto"/>
          <w:lang w:val="cs-CZ"/>
        </w:rPr>
        <w:t>lastové</w:t>
      </w:r>
      <w:r w:rsidR="00EA5E88">
        <w:rPr>
          <w:rFonts w:ascii="Times New Roman" w:hAnsi="Times New Roman" w:cs="Times New Roman"/>
          <w:color w:val="auto"/>
          <w:lang w:val="cs-CZ"/>
        </w:rPr>
        <w:t xml:space="preserve"> </w:t>
      </w:r>
      <w:r w:rsidR="00EA5E88" w:rsidRPr="00EA5E88">
        <w:rPr>
          <w:rFonts w:ascii="Times New Roman" w:hAnsi="Times New Roman" w:cs="Times New Roman"/>
          <w:color w:val="auto"/>
          <w:lang w:val="cs-CZ"/>
        </w:rPr>
        <w:t>perorální</w:t>
      </w:r>
      <w:r w:rsidR="00117CBC" w:rsidRPr="00CF2582">
        <w:rPr>
          <w:rFonts w:ascii="Times New Roman" w:hAnsi="Times New Roman" w:cs="Times New Roman"/>
          <w:color w:val="auto"/>
          <w:lang w:val="cs-CZ"/>
        </w:rPr>
        <w:t xml:space="preserve"> </w:t>
      </w:r>
      <w:r>
        <w:rPr>
          <w:rFonts w:ascii="Times New Roman" w:hAnsi="Times New Roman" w:cs="Times New Roman"/>
          <w:color w:val="auto"/>
          <w:lang w:val="cs-CZ"/>
        </w:rPr>
        <w:t>aplikátory</w:t>
      </w:r>
      <w:r w:rsidR="00117CBC" w:rsidRPr="00CF2582">
        <w:rPr>
          <w:rFonts w:ascii="Times New Roman" w:hAnsi="Times New Roman" w:cs="Times New Roman"/>
          <w:color w:val="auto"/>
          <w:lang w:val="cs-CZ"/>
        </w:rPr>
        <w:t xml:space="preserve"> jsou součástí všech velikostí balení.</w:t>
      </w:r>
    </w:p>
    <w:p w:rsidR="00117CBC" w:rsidRPr="00CF2582" w:rsidRDefault="00117CBC" w:rsidP="00117CBC">
      <w:pPr>
        <w:pStyle w:val="LOQblauw"/>
        <w:rPr>
          <w:rFonts w:ascii="Times New Roman" w:hAnsi="Times New Roman" w:cs="Times New Roman"/>
          <w:color w:val="auto"/>
          <w:lang w:val="cs-CZ"/>
        </w:rPr>
      </w:pPr>
    </w:p>
    <w:p w:rsidR="00117CBC" w:rsidRPr="00CF2582" w:rsidRDefault="00117CBC" w:rsidP="00117CBC">
      <w:pPr>
        <w:pStyle w:val="LOQblauw"/>
        <w:rPr>
          <w:rFonts w:ascii="Times New Roman" w:hAnsi="Times New Roman" w:cs="Times New Roman"/>
          <w:color w:val="auto"/>
          <w:lang w:val="cs-CZ"/>
        </w:rPr>
      </w:pPr>
      <w:r w:rsidRPr="00CF2582">
        <w:rPr>
          <w:rFonts w:ascii="Times New Roman" w:hAnsi="Times New Roman" w:cs="Times New Roman"/>
          <w:color w:val="auto"/>
          <w:lang w:val="cs-CZ"/>
        </w:rPr>
        <w:t>Na trhu nemusí být všechny velikosti balení.</w:t>
      </w:r>
    </w:p>
    <w:p w:rsidR="00117CBC" w:rsidRPr="00CF2582" w:rsidRDefault="00117CBC" w:rsidP="00117CBC">
      <w:pPr>
        <w:pStyle w:val="LOQblauw"/>
        <w:rPr>
          <w:rFonts w:ascii="Times New Roman" w:hAnsi="Times New Roman" w:cs="Times New Roman"/>
          <w:color w:val="auto"/>
          <w:lang w:val="cs-CZ"/>
        </w:rPr>
      </w:pPr>
    </w:p>
    <w:p w:rsidR="00117CBC" w:rsidRPr="00CF2582" w:rsidRDefault="00117CBC" w:rsidP="00117CBC">
      <w:pPr>
        <w:ind w:left="-5"/>
        <w:rPr>
          <w:color w:val="auto"/>
          <w:lang w:val="cs-CZ"/>
        </w:rPr>
      </w:pPr>
    </w:p>
    <w:p w:rsidR="00117CBC" w:rsidRPr="00CF2582" w:rsidRDefault="00117CBC" w:rsidP="00117CBC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  </w:t>
      </w:r>
    </w:p>
    <w:p w:rsidR="00117CBC" w:rsidRPr="00CF2582" w:rsidRDefault="00117CBC" w:rsidP="00117CBC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 </w:t>
      </w:r>
    </w:p>
    <w:p w:rsidR="00117CBC" w:rsidRPr="00CF2582" w:rsidRDefault="00117CBC" w:rsidP="00117CBC">
      <w:pPr>
        <w:spacing w:after="0" w:line="259" w:lineRule="auto"/>
        <w:ind w:left="0" w:firstLine="0"/>
        <w:rPr>
          <w:color w:val="auto"/>
          <w:lang w:val="cs-CZ"/>
        </w:rPr>
      </w:pPr>
      <w:r w:rsidRPr="00CF2582">
        <w:rPr>
          <w:color w:val="auto"/>
          <w:lang w:val="cs-CZ"/>
        </w:rPr>
        <w:t xml:space="preserve"> </w:t>
      </w:r>
    </w:p>
    <w:p w:rsidR="00B10D85" w:rsidRPr="00FF7017" w:rsidRDefault="00B10D85">
      <w:pPr>
        <w:rPr>
          <w:lang w:val="cs-CZ"/>
        </w:rPr>
      </w:pPr>
    </w:p>
    <w:sectPr w:rsidR="00B10D85" w:rsidRPr="00FF7017" w:rsidSect="002052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9" w:right="1411" w:bottom="1146" w:left="1418" w:header="72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F74" w:rsidRDefault="004C5F74">
      <w:pPr>
        <w:spacing w:after="0" w:line="240" w:lineRule="auto"/>
      </w:pPr>
      <w:r>
        <w:separator/>
      </w:r>
    </w:p>
  </w:endnote>
  <w:endnote w:type="continuationSeparator" w:id="0">
    <w:p w:rsidR="004C5F74" w:rsidRDefault="004C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FE2" w:rsidRDefault="00117CBC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FE2" w:rsidRDefault="00117CBC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472F" w:rsidRPr="0040472F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FE2" w:rsidRDefault="00117CBC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F74" w:rsidRDefault="004C5F74">
      <w:pPr>
        <w:spacing w:after="0" w:line="240" w:lineRule="auto"/>
      </w:pPr>
      <w:r>
        <w:separator/>
      </w:r>
    </w:p>
  </w:footnote>
  <w:footnote w:type="continuationSeparator" w:id="0">
    <w:p w:rsidR="004C5F74" w:rsidRDefault="004C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866" w:rsidRDefault="004E38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ED3" w:rsidRPr="003F53EB" w:rsidRDefault="00597ED3" w:rsidP="003F53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866" w:rsidRDefault="004E38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1A6B"/>
    <w:multiLevelType w:val="hybridMultilevel"/>
    <w:tmpl w:val="5576072C"/>
    <w:lvl w:ilvl="0" w:tplc="77509682">
      <w:start w:val="9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8943E">
      <w:start w:val="1"/>
      <w:numFmt w:val="lowerLetter"/>
      <w:lvlText w:val="%2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16DB96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14BA1C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8F7F2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56464E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CA16FE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DA1AD6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A2ADBA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E82DE8"/>
    <w:multiLevelType w:val="hybridMultilevel"/>
    <w:tmpl w:val="62945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E00EB"/>
    <w:multiLevelType w:val="hybridMultilevel"/>
    <w:tmpl w:val="44C0E1D0"/>
    <w:lvl w:ilvl="0" w:tplc="1898039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91"/>
    <w:rsid w:val="00064D7A"/>
    <w:rsid w:val="00070894"/>
    <w:rsid w:val="000D5299"/>
    <w:rsid w:val="000E1812"/>
    <w:rsid w:val="0011001F"/>
    <w:rsid w:val="00117CBC"/>
    <w:rsid w:val="00132844"/>
    <w:rsid w:val="001C0515"/>
    <w:rsid w:val="001D0BBF"/>
    <w:rsid w:val="002333C5"/>
    <w:rsid w:val="00255F44"/>
    <w:rsid w:val="00287E74"/>
    <w:rsid w:val="002B4CE2"/>
    <w:rsid w:val="002B6E39"/>
    <w:rsid w:val="00321649"/>
    <w:rsid w:val="003551F4"/>
    <w:rsid w:val="003C69DF"/>
    <w:rsid w:val="003F53EB"/>
    <w:rsid w:val="0040472F"/>
    <w:rsid w:val="0044570D"/>
    <w:rsid w:val="004C5F74"/>
    <w:rsid w:val="004E3866"/>
    <w:rsid w:val="005358E8"/>
    <w:rsid w:val="00597ED3"/>
    <w:rsid w:val="005A22D9"/>
    <w:rsid w:val="005D2B5B"/>
    <w:rsid w:val="00610E71"/>
    <w:rsid w:val="00703D5F"/>
    <w:rsid w:val="0076595B"/>
    <w:rsid w:val="00796636"/>
    <w:rsid w:val="008B4F36"/>
    <w:rsid w:val="008C4356"/>
    <w:rsid w:val="008F4C86"/>
    <w:rsid w:val="00900E14"/>
    <w:rsid w:val="009E0CB5"/>
    <w:rsid w:val="00A733A1"/>
    <w:rsid w:val="00AA002D"/>
    <w:rsid w:val="00AD6F1C"/>
    <w:rsid w:val="00B10D85"/>
    <w:rsid w:val="00B17EDE"/>
    <w:rsid w:val="00B7459D"/>
    <w:rsid w:val="00BF6B8B"/>
    <w:rsid w:val="00C158FE"/>
    <w:rsid w:val="00C84017"/>
    <w:rsid w:val="00CA57B3"/>
    <w:rsid w:val="00DD0033"/>
    <w:rsid w:val="00EA5E88"/>
    <w:rsid w:val="00EC781A"/>
    <w:rsid w:val="00F13AE9"/>
    <w:rsid w:val="00F27F0D"/>
    <w:rsid w:val="00F653AF"/>
    <w:rsid w:val="00FA7414"/>
    <w:rsid w:val="00FE4A91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F9AC"/>
  <w15:docId w15:val="{9D306479-9B4F-4BBC-9273-058E7CEE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7CBC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000000"/>
      <w:lang w:val="en-GB" w:eastAsia="en-GB"/>
    </w:rPr>
  </w:style>
  <w:style w:type="paragraph" w:styleId="Nadpis1">
    <w:name w:val="heading 1"/>
    <w:next w:val="Normln"/>
    <w:link w:val="Nadpis1Char"/>
    <w:uiPriority w:val="9"/>
    <w:unhideWhenUsed/>
    <w:qFormat/>
    <w:rsid w:val="00117CBC"/>
    <w:pPr>
      <w:keepNext/>
      <w:keepLines/>
      <w:spacing w:after="4" w:line="251" w:lineRule="auto"/>
      <w:ind w:left="10" w:right="1" w:hanging="10"/>
      <w:outlineLvl w:val="0"/>
    </w:pPr>
    <w:rPr>
      <w:rFonts w:ascii="Times New Roman" w:eastAsia="Times New Roman" w:hAnsi="Times New Roman" w:cs="Times New Roman"/>
      <w:b/>
      <w:color w:val="000000"/>
      <w:lang w:val="en-GB" w:eastAsia="en-GB"/>
    </w:rPr>
  </w:style>
  <w:style w:type="paragraph" w:styleId="Nadpis2">
    <w:name w:val="heading 2"/>
    <w:next w:val="Normln"/>
    <w:link w:val="Nadpis2Char"/>
    <w:uiPriority w:val="9"/>
    <w:unhideWhenUsed/>
    <w:qFormat/>
    <w:rsid w:val="00117CBC"/>
    <w:pPr>
      <w:keepNext/>
      <w:keepLines/>
      <w:spacing w:after="4" w:line="251" w:lineRule="auto"/>
      <w:ind w:left="10" w:right="1" w:hanging="10"/>
      <w:outlineLvl w:val="1"/>
    </w:pPr>
    <w:rPr>
      <w:rFonts w:ascii="Times New Roman" w:eastAsia="Times New Roman" w:hAnsi="Times New Roman" w:cs="Times New Roman"/>
      <w:b/>
      <w:color w:val="00000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7CBC"/>
    <w:rPr>
      <w:rFonts w:ascii="Times New Roman" w:eastAsia="Times New Roman" w:hAnsi="Times New Roman" w:cs="Times New Roman"/>
      <w:b/>
      <w:color w:val="000000"/>
      <w:lang w:val="en-GB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117CBC"/>
    <w:rPr>
      <w:rFonts w:ascii="Times New Roman" w:eastAsia="Times New Roman" w:hAnsi="Times New Roman" w:cs="Times New Roman"/>
      <w:b/>
      <w:color w:val="000000"/>
      <w:lang w:val="en-GB" w:eastAsia="en-GB"/>
    </w:rPr>
  </w:style>
  <w:style w:type="paragraph" w:customStyle="1" w:styleId="LOQblauw">
    <w:name w:val="LOQ blauw"/>
    <w:basedOn w:val="Normln"/>
    <w:link w:val="LOQblauwChar"/>
    <w:qFormat/>
    <w:rsid w:val="00117CBC"/>
    <w:pPr>
      <w:autoSpaceDE w:val="0"/>
      <w:autoSpaceDN w:val="0"/>
      <w:adjustRightInd w:val="0"/>
      <w:spacing w:after="0" w:line="240" w:lineRule="auto"/>
      <w:ind w:left="0" w:firstLine="0"/>
    </w:pPr>
    <w:rPr>
      <w:rFonts w:ascii="Times-Roman" w:hAnsi="Times-Roman" w:cs="Times-Roman"/>
      <w:color w:val="353EF9"/>
      <w:lang w:val="en-US" w:eastAsia="en-US"/>
    </w:rPr>
  </w:style>
  <w:style w:type="character" w:customStyle="1" w:styleId="LOQblauwChar">
    <w:name w:val="LOQ blauw Char"/>
    <w:link w:val="LOQblauw"/>
    <w:rsid w:val="00117CBC"/>
    <w:rPr>
      <w:rFonts w:ascii="Times-Roman" w:eastAsia="Times New Roman" w:hAnsi="Times-Roman" w:cs="Times-Roman"/>
      <w:color w:val="353EF9"/>
      <w:lang w:val="en-US"/>
    </w:rPr>
  </w:style>
  <w:style w:type="paragraph" w:styleId="Odstavecseseznamem">
    <w:name w:val="List Paragraph"/>
    <w:basedOn w:val="Normln"/>
    <w:uiPriority w:val="34"/>
    <w:qFormat/>
    <w:rsid w:val="00117CBC"/>
    <w:pPr>
      <w:spacing w:after="0" w:line="240" w:lineRule="auto"/>
      <w:ind w:left="720" w:firstLine="0"/>
    </w:pPr>
    <w:rPr>
      <w:rFonts w:ascii="Calibri" w:eastAsiaTheme="minorHAnsi" w:hAnsi="Calibri"/>
      <w:color w:val="auto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9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7ED3"/>
    <w:rPr>
      <w:rFonts w:ascii="Times New Roman" w:eastAsia="Times New Roman" w:hAnsi="Times New Roman" w:cs="Times New Roman"/>
      <w:color w:val="000000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D5F"/>
    <w:rPr>
      <w:rFonts w:ascii="Tahoma" w:eastAsia="Times New Roman" w:hAnsi="Tahoma" w:cs="Tahoma"/>
      <w:color w:val="000000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0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1107</Words>
  <Characters>6533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Hana</dc:creator>
  <cp:keywords/>
  <dc:description/>
  <cp:lastModifiedBy>Wojtylová Jana</cp:lastModifiedBy>
  <cp:revision>5</cp:revision>
  <cp:lastPrinted>2016-03-16T12:28:00Z</cp:lastPrinted>
  <dcterms:created xsi:type="dcterms:W3CDTF">2021-06-16T12:06:00Z</dcterms:created>
  <dcterms:modified xsi:type="dcterms:W3CDTF">2021-07-08T12:10:00Z</dcterms:modified>
</cp:coreProperties>
</file>