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C4" w:rsidRPr="0055390E" w:rsidRDefault="000517C4" w:rsidP="0055390E">
      <w:pPr>
        <w:spacing w:line="360" w:lineRule="auto"/>
        <w:jc w:val="center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b/>
          <w:sz w:val="24"/>
          <w:lang w:val="cs-CZ"/>
        </w:rPr>
        <w:t>PŘÍBALOVÁ INFORMACE</w:t>
      </w:r>
    </w:p>
    <w:p w:rsidR="000517C4" w:rsidRPr="0055390E" w:rsidRDefault="001E2E11" w:rsidP="0055390E">
      <w:pPr>
        <w:spacing w:line="360" w:lineRule="auto"/>
        <w:jc w:val="center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ROXACIN 100 mg/ml injekční roztok</w:t>
      </w:r>
    </w:p>
    <w:p w:rsidR="00EB1C7C" w:rsidRPr="0055390E" w:rsidRDefault="00EB1C7C" w:rsidP="0055390E">
      <w:pPr>
        <w:pStyle w:val="Zhlav"/>
        <w:tabs>
          <w:tab w:val="clear" w:pos="4252"/>
          <w:tab w:val="clear" w:pos="8504"/>
        </w:tabs>
        <w:spacing w:line="360" w:lineRule="auto"/>
        <w:jc w:val="center"/>
        <w:rPr>
          <w:lang w:val="cs-CZ"/>
        </w:rPr>
      </w:pPr>
      <w:r w:rsidRPr="0055390E">
        <w:rPr>
          <w:lang w:val="cs-CZ"/>
        </w:rPr>
        <w:t>Přípravek s indikačním omezením</w:t>
      </w:r>
    </w:p>
    <w:p w:rsidR="00EB1C7C" w:rsidRPr="0055390E" w:rsidRDefault="00EB1C7C" w:rsidP="0055390E">
      <w:pPr>
        <w:spacing w:line="360" w:lineRule="auto"/>
        <w:jc w:val="center"/>
        <w:rPr>
          <w:rFonts w:ascii="Times New Roman" w:hAnsi="Times New Roman" w:cs="Times New Roman"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b/>
          <w:sz w:val="24"/>
          <w:lang w:val="cs-CZ"/>
        </w:rPr>
      </w:pPr>
      <w:r w:rsidRPr="0055390E">
        <w:rPr>
          <w:rFonts w:ascii="Times New Roman" w:hAnsi="Times New Roman" w:cs="Times New Roman"/>
          <w:b/>
          <w:sz w:val="24"/>
          <w:lang w:val="cs-CZ"/>
        </w:rPr>
        <w:t>1.</w:t>
      </w:r>
      <w:r w:rsidRPr="0055390E">
        <w:rPr>
          <w:rFonts w:ascii="Times New Roman" w:hAnsi="Times New Roman" w:cs="Times New Roman"/>
          <w:b/>
          <w:sz w:val="24"/>
          <w:lang w:val="cs-CZ"/>
        </w:rPr>
        <w:tab/>
        <w:t>JMÉNO A ADRESA DRŽITELE ROZHODNUTÍ O REGISTRACI A DRŽITELE POVOLENÍ K VÝROBĚ ODPOVĚDNÉHO ZA UVOLNĚNÍ ŠARŽE, POKUD SE NESHODUJE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b/>
          <w:sz w:val="24"/>
          <w:lang w:val="cs-CZ"/>
        </w:rPr>
      </w:pPr>
    </w:p>
    <w:p w:rsidR="00BE4A90" w:rsidRDefault="000517C4" w:rsidP="00BE4A90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caps/>
          <w:sz w:val="24"/>
          <w:lang w:val="cs-CZ"/>
        </w:rPr>
        <w:t>Laboratorios Calier</w:t>
      </w:r>
      <w:r w:rsidRPr="0055390E">
        <w:rPr>
          <w:rFonts w:ascii="Times New Roman" w:hAnsi="Times New Roman" w:cs="Times New Roman"/>
          <w:sz w:val="24"/>
          <w:lang w:val="cs-CZ"/>
        </w:rPr>
        <w:t xml:space="preserve"> </w:t>
      </w:r>
      <w:proofErr w:type="gramStart"/>
      <w:r w:rsidRPr="0055390E">
        <w:rPr>
          <w:rFonts w:ascii="Times New Roman" w:hAnsi="Times New Roman" w:cs="Times New Roman"/>
          <w:sz w:val="24"/>
          <w:lang w:val="cs-CZ"/>
        </w:rPr>
        <w:t>S.A.</w:t>
      </w:r>
      <w:proofErr w:type="gramEnd"/>
      <w:r w:rsidRPr="0055390E">
        <w:rPr>
          <w:rFonts w:ascii="Times New Roman" w:hAnsi="Times New Roman" w:cs="Times New Roman"/>
          <w:sz w:val="24"/>
          <w:lang w:val="cs-CZ"/>
        </w:rPr>
        <w:t xml:space="preserve"> </w:t>
      </w:r>
    </w:p>
    <w:p w:rsidR="00BE4A90" w:rsidRDefault="000517C4" w:rsidP="00BE4A90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C/</w:t>
      </w:r>
      <w:proofErr w:type="spellStart"/>
      <w:r w:rsidRPr="0055390E">
        <w:rPr>
          <w:rFonts w:ascii="Times New Roman" w:hAnsi="Times New Roman" w:cs="Times New Roman"/>
          <w:sz w:val="24"/>
          <w:lang w:val="cs-CZ"/>
        </w:rPr>
        <w:t>Barcelones</w:t>
      </w:r>
      <w:proofErr w:type="spellEnd"/>
      <w:r w:rsidRPr="0055390E">
        <w:rPr>
          <w:rFonts w:ascii="Times New Roman" w:hAnsi="Times New Roman" w:cs="Times New Roman"/>
          <w:sz w:val="24"/>
          <w:lang w:val="cs-CZ"/>
        </w:rPr>
        <w:t>, 26 (</w:t>
      </w:r>
      <w:proofErr w:type="spellStart"/>
      <w:r w:rsidRPr="0055390E">
        <w:rPr>
          <w:rFonts w:ascii="Times New Roman" w:hAnsi="Times New Roman" w:cs="Times New Roman"/>
          <w:sz w:val="24"/>
          <w:lang w:val="cs-CZ"/>
        </w:rPr>
        <w:t>Pla</w:t>
      </w:r>
      <w:proofErr w:type="spellEnd"/>
      <w:r w:rsidRPr="0055390E">
        <w:rPr>
          <w:rFonts w:ascii="Times New Roman" w:hAnsi="Times New Roman" w:cs="Times New Roman"/>
          <w:sz w:val="24"/>
          <w:lang w:val="cs-CZ"/>
        </w:rPr>
        <w:t xml:space="preserve"> </w:t>
      </w:r>
      <w:proofErr w:type="spellStart"/>
      <w:r w:rsidRPr="0055390E">
        <w:rPr>
          <w:rFonts w:ascii="Times New Roman" w:hAnsi="Times New Roman" w:cs="Times New Roman"/>
          <w:sz w:val="24"/>
          <w:lang w:val="cs-CZ"/>
        </w:rPr>
        <w:t>del</w:t>
      </w:r>
      <w:proofErr w:type="spellEnd"/>
      <w:r w:rsidRPr="0055390E">
        <w:rPr>
          <w:rFonts w:ascii="Times New Roman" w:hAnsi="Times New Roman" w:cs="Times New Roman"/>
          <w:sz w:val="24"/>
          <w:lang w:val="cs-CZ"/>
        </w:rPr>
        <w:t xml:space="preserve"> </w:t>
      </w:r>
      <w:proofErr w:type="spellStart"/>
      <w:r w:rsidRPr="0055390E">
        <w:rPr>
          <w:rFonts w:ascii="Times New Roman" w:hAnsi="Times New Roman" w:cs="Times New Roman"/>
          <w:sz w:val="24"/>
          <w:lang w:val="cs-CZ"/>
        </w:rPr>
        <w:t>Ramassa</w:t>
      </w:r>
      <w:proofErr w:type="spellEnd"/>
      <w:r w:rsidRPr="0055390E">
        <w:rPr>
          <w:rFonts w:ascii="Times New Roman" w:hAnsi="Times New Roman" w:cs="Times New Roman"/>
          <w:sz w:val="24"/>
          <w:lang w:val="cs-CZ"/>
        </w:rPr>
        <w:t>)</w:t>
      </w:r>
    </w:p>
    <w:p w:rsidR="00BE4A90" w:rsidRDefault="00BE4A90" w:rsidP="00BE4A90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Les</w:t>
      </w:r>
      <w:r w:rsidR="000517C4" w:rsidRPr="00BE4A90">
        <w:rPr>
          <w:rFonts w:ascii="Times New Roman" w:hAnsi="Times New Roman" w:cs="Times New Roman"/>
          <w:sz w:val="24"/>
          <w:lang w:val="cs-CZ"/>
        </w:rPr>
        <w:t xml:space="preserve"> </w:t>
      </w:r>
      <w:proofErr w:type="spellStart"/>
      <w:r w:rsidR="000517C4" w:rsidRPr="00BE4A90">
        <w:rPr>
          <w:rFonts w:ascii="Times New Roman" w:hAnsi="Times New Roman" w:cs="Times New Roman"/>
          <w:sz w:val="24"/>
          <w:lang w:val="cs-CZ"/>
        </w:rPr>
        <w:t>Franqueses</w:t>
      </w:r>
      <w:proofErr w:type="spellEnd"/>
      <w:r w:rsidR="000517C4" w:rsidRPr="00BE4A90">
        <w:rPr>
          <w:rFonts w:ascii="Times New Roman" w:hAnsi="Times New Roman" w:cs="Times New Roman"/>
          <w:sz w:val="24"/>
          <w:lang w:val="cs-CZ"/>
        </w:rPr>
        <w:t xml:space="preserve">  </w:t>
      </w:r>
      <w:proofErr w:type="spellStart"/>
      <w:r w:rsidR="000517C4" w:rsidRPr="00BE4A90">
        <w:rPr>
          <w:rFonts w:ascii="Times New Roman" w:hAnsi="Times New Roman" w:cs="Times New Roman"/>
          <w:sz w:val="24"/>
          <w:lang w:val="cs-CZ"/>
        </w:rPr>
        <w:t>del</w:t>
      </w:r>
      <w:proofErr w:type="spellEnd"/>
      <w:r w:rsidR="000517C4" w:rsidRPr="00BE4A90">
        <w:rPr>
          <w:rFonts w:ascii="Times New Roman" w:hAnsi="Times New Roman" w:cs="Times New Roman"/>
          <w:sz w:val="24"/>
          <w:lang w:val="cs-CZ"/>
        </w:rPr>
        <w:t xml:space="preserve"> </w:t>
      </w:r>
      <w:proofErr w:type="spellStart"/>
      <w:r w:rsidR="000517C4" w:rsidRPr="00BE4A90">
        <w:rPr>
          <w:rFonts w:ascii="Times New Roman" w:hAnsi="Times New Roman" w:cs="Times New Roman"/>
          <w:sz w:val="24"/>
          <w:lang w:val="cs-CZ"/>
        </w:rPr>
        <w:t>Valles</w:t>
      </w:r>
      <w:proofErr w:type="spellEnd"/>
      <w:r>
        <w:rPr>
          <w:rFonts w:ascii="Times New Roman" w:hAnsi="Times New Roman" w:cs="Times New Roman"/>
          <w:sz w:val="24"/>
          <w:lang w:val="cs-CZ"/>
        </w:rPr>
        <w:t>, Barcelona</w:t>
      </w:r>
    </w:p>
    <w:p w:rsidR="000517C4" w:rsidRPr="0055390E" w:rsidRDefault="000517C4" w:rsidP="00BE4A90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Špan</w:t>
      </w:r>
      <w:r w:rsidR="00BE4A90">
        <w:rPr>
          <w:rFonts w:ascii="Times New Roman" w:hAnsi="Times New Roman" w:cs="Times New Roman"/>
          <w:sz w:val="24"/>
          <w:lang w:val="cs-CZ"/>
        </w:rPr>
        <w:t>ě</w:t>
      </w:r>
      <w:r w:rsidRPr="0055390E">
        <w:rPr>
          <w:rFonts w:ascii="Times New Roman" w:hAnsi="Times New Roman" w:cs="Times New Roman"/>
          <w:sz w:val="24"/>
          <w:lang w:val="cs-CZ"/>
        </w:rPr>
        <w:t>lsko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b/>
          <w:sz w:val="24"/>
          <w:lang w:val="cs-CZ"/>
        </w:rPr>
      </w:pPr>
      <w:r w:rsidRPr="0055390E">
        <w:rPr>
          <w:rFonts w:ascii="Times New Roman" w:hAnsi="Times New Roman" w:cs="Times New Roman"/>
          <w:b/>
          <w:sz w:val="24"/>
          <w:lang w:val="cs-CZ"/>
        </w:rPr>
        <w:t>2.</w:t>
      </w:r>
      <w:r w:rsidRPr="0055390E">
        <w:rPr>
          <w:rFonts w:ascii="Times New Roman" w:hAnsi="Times New Roman" w:cs="Times New Roman"/>
          <w:b/>
          <w:sz w:val="24"/>
          <w:lang w:val="cs-CZ"/>
        </w:rPr>
        <w:tab/>
        <w:t>NÁZEV VETERINÁRNÍHO LÉČIVÉHO PŘÍPRAVKU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</w:p>
    <w:p w:rsidR="001E2E11" w:rsidRPr="0055390E" w:rsidRDefault="001E2E11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ROXACIN 100 mg/ml injekční roztok</w:t>
      </w:r>
    </w:p>
    <w:p w:rsidR="001E2E11" w:rsidRPr="0055390E" w:rsidRDefault="001E2E11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proofErr w:type="spellStart"/>
      <w:r w:rsidRPr="0055390E">
        <w:rPr>
          <w:rFonts w:ascii="Times New Roman" w:hAnsi="Times New Roman" w:cs="Times New Roman"/>
          <w:sz w:val="24"/>
          <w:lang w:val="cs-CZ"/>
        </w:rPr>
        <w:t>Enrofloxacinum</w:t>
      </w:r>
      <w:proofErr w:type="spellEnd"/>
    </w:p>
    <w:p w:rsidR="00EB1C7C" w:rsidRPr="0055390E" w:rsidRDefault="00EB1C7C" w:rsidP="0055390E">
      <w:pPr>
        <w:pStyle w:val="Zhlav"/>
        <w:tabs>
          <w:tab w:val="clear" w:pos="4252"/>
          <w:tab w:val="clear" w:pos="8504"/>
        </w:tabs>
        <w:spacing w:line="360" w:lineRule="auto"/>
        <w:rPr>
          <w:lang w:val="cs-CZ"/>
        </w:rPr>
      </w:pPr>
      <w:r w:rsidRPr="0055390E">
        <w:rPr>
          <w:lang w:val="cs-CZ"/>
        </w:rPr>
        <w:t>Přípravek s indikačním omezením</w:t>
      </w:r>
    </w:p>
    <w:p w:rsidR="000517C4" w:rsidRPr="0055390E" w:rsidRDefault="000517C4" w:rsidP="0055390E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b/>
          <w:sz w:val="24"/>
          <w:lang w:val="cs-CZ"/>
        </w:rPr>
      </w:pPr>
      <w:r w:rsidRPr="0055390E">
        <w:rPr>
          <w:rFonts w:ascii="Times New Roman" w:hAnsi="Times New Roman" w:cs="Times New Roman"/>
          <w:b/>
          <w:sz w:val="24"/>
          <w:lang w:val="cs-CZ"/>
        </w:rPr>
        <w:t>3.</w:t>
      </w:r>
      <w:r w:rsidRPr="0055390E">
        <w:rPr>
          <w:rFonts w:ascii="Times New Roman" w:hAnsi="Times New Roman" w:cs="Times New Roman"/>
          <w:b/>
          <w:sz w:val="24"/>
          <w:lang w:val="cs-CZ"/>
        </w:rPr>
        <w:tab/>
        <w:t>OBSAH LÉČIVÝCH A OSTATNÍCH LÁTEK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b/>
          <w:sz w:val="24"/>
          <w:lang w:val="cs-CZ"/>
        </w:rPr>
      </w:pPr>
    </w:p>
    <w:p w:rsidR="001E2E11" w:rsidRPr="0055390E" w:rsidRDefault="001E2E11" w:rsidP="0055390E">
      <w:pPr>
        <w:tabs>
          <w:tab w:val="right" w:leader="dot" w:pos="6237"/>
        </w:tabs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1 ml čirého, slabě nažloutlého injekčního roztoku obsahuje:</w:t>
      </w:r>
    </w:p>
    <w:p w:rsidR="001E2E11" w:rsidRPr="0055390E" w:rsidRDefault="001E2E11" w:rsidP="0055390E">
      <w:pPr>
        <w:tabs>
          <w:tab w:val="right" w:leader="dot" w:pos="6237"/>
        </w:tabs>
        <w:spacing w:line="360" w:lineRule="auto"/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55390E">
        <w:rPr>
          <w:rFonts w:ascii="Times New Roman" w:hAnsi="Times New Roman" w:cs="Times New Roman"/>
          <w:b/>
          <w:sz w:val="24"/>
          <w:lang w:val="cs-CZ"/>
        </w:rPr>
        <w:t>Léčivá látka</w:t>
      </w:r>
    </w:p>
    <w:p w:rsidR="001E2E11" w:rsidRPr="0055390E" w:rsidRDefault="001E2E11" w:rsidP="0055390E">
      <w:pPr>
        <w:tabs>
          <w:tab w:val="right" w:leader="dot" w:pos="6237"/>
        </w:tabs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proofErr w:type="spellStart"/>
      <w:r w:rsidRPr="0055390E">
        <w:rPr>
          <w:rFonts w:ascii="Times New Roman" w:hAnsi="Times New Roman" w:cs="Times New Roman"/>
          <w:sz w:val="24"/>
          <w:lang w:val="cs-CZ"/>
        </w:rPr>
        <w:t>Enrofloxacinum</w:t>
      </w:r>
      <w:proofErr w:type="spellEnd"/>
      <w:r w:rsidRPr="0055390E">
        <w:rPr>
          <w:rFonts w:ascii="Times New Roman" w:hAnsi="Times New Roman" w:cs="Times New Roman"/>
          <w:sz w:val="24"/>
          <w:lang w:val="cs-CZ"/>
        </w:rPr>
        <w:tab/>
      </w:r>
      <w:smartTag w:uri="urn:schemas-microsoft-com:office:smarttags" w:element="metricconverter">
        <w:smartTagPr>
          <w:attr w:name="ProductID" w:val="100 m"/>
        </w:smartTagPr>
        <w:r w:rsidRPr="0055390E">
          <w:rPr>
            <w:rFonts w:ascii="Times New Roman" w:hAnsi="Times New Roman" w:cs="Times New Roman"/>
            <w:sz w:val="24"/>
            <w:lang w:val="cs-CZ"/>
          </w:rPr>
          <w:t>100 m</w:t>
        </w:r>
      </w:smartTag>
      <w:r w:rsidRPr="0055390E">
        <w:rPr>
          <w:rFonts w:ascii="Times New Roman" w:hAnsi="Times New Roman" w:cs="Times New Roman"/>
          <w:sz w:val="24"/>
          <w:lang w:val="cs-CZ"/>
        </w:rPr>
        <w:t>g</w:t>
      </w:r>
    </w:p>
    <w:p w:rsidR="001E2E11" w:rsidRPr="0055390E" w:rsidRDefault="001E2E11" w:rsidP="0055390E">
      <w:pPr>
        <w:tabs>
          <w:tab w:val="right" w:leader="dot" w:pos="6237"/>
        </w:tabs>
        <w:spacing w:line="360" w:lineRule="auto"/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55390E">
        <w:rPr>
          <w:rFonts w:ascii="Times New Roman" w:hAnsi="Times New Roman" w:cs="Times New Roman"/>
          <w:b/>
          <w:sz w:val="24"/>
          <w:lang w:val="cs-CZ"/>
        </w:rPr>
        <w:t>Pomocné látky</w:t>
      </w:r>
    </w:p>
    <w:p w:rsidR="001E2E11" w:rsidRPr="0055390E" w:rsidRDefault="001E2E11" w:rsidP="0055390E">
      <w:pPr>
        <w:tabs>
          <w:tab w:val="right" w:leader="dot" w:pos="6237"/>
        </w:tabs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proofErr w:type="spellStart"/>
      <w:r w:rsidRPr="0055390E">
        <w:rPr>
          <w:rFonts w:ascii="Times New Roman" w:hAnsi="Times New Roman" w:cs="Times New Roman"/>
          <w:sz w:val="24"/>
          <w:lang w:val="cs-CZ"/>
        </w:rPr>
        <w:t>Benzylalkohol</w:t>
      </w:r>
      <w:proofErr w:type="spellEnd"/>
      <w:r w:rsidRPr="0055390E">
        <w:rPr>
          <w:rFonts w:ascii="Times New Roman" w:hAnsi="Times New Roman" w:cs="Times New Roman"/>
          <w:sz w:val="24"/>
          <w:lang w:val="cs-CZ"/>
        </w:rPr>
        <w:t xml:space="preserve"> </w:t>
      </w:r>
      <w:r w:rsidRPr="0055390E">
        <w:rPr>
          <w:rFonts w:ascii="Times New Roman" w:hAnsi="Times New Roman" w:cs="Times New Roman"/>
          <w:sz w:val="24"/>
          <w:lang w:val="cs-CZ"/>
        </w:rPr>
        <w:tab/>
        <w:t>7,8 mg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b/>
          <w:sz w:val="24"/>
          <w:lang w:val="cs-CZ"/>
        </w:rPr>
      </w:pPr>
      <w:r w:rsidRPr="0055390E">
        <w:rPr>
          <w:rFonts w:ascii="Times New Roman" w:hAnsi="Times New Roman" w:cs="Times New Roman"/>
          <w:b/>
          <w:sz w:val="24"/>
          <w:lang w:val="cs-CZ"/>
        </w:rPr>
        <w:t>4.</w:t>
      </w:r>
      <w:r w:rsidRPr="0055390E">
        <w:rPr>
          <w:rFonts w:ascii="Times New Roman" w:hAnsi="Times New Roman" w:cs="Times New Roman"/>
          <w:b/>
          <w:sz w:val="24"/>
          <w:lang w:val="cs-CZ"/>
        </w:rPr>
        <w:tab/>
        <w:t>INDIKACE</w:t>
      </w:r>
    </w:p>
    <w:p w:rsidR="000517C4" w:rsidRPr="0055390E" w:rsidRDefault="000517C4" w:rsidP="0055390E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cs-CZ"/>
        </w:rPr>
      </w:pPr>
    </w:p>
    <w:p w:rsidR="00EB1C7C" w:rsidRPr="0055390E" w:rsidRDefault="00EB1C7C" w:rsidP="0055390E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b/>
          <w:bCs/>
          <w:sz w:val="24"/>
          <w:lang w:val="cs-CZ"/>
        </w:rPr>
        <w:t>Prasata:</w:t>
      </w:r>
      <w:r w:rsidRPr="0055390E">
        <w:rPr>
          <w:rFonts w:ascii="Times New Roman" w:hAnsi="Times New Roman" w:cs="Times New Roman"/>
          <w:sz w:val="24"/>
          <w:lang w:val="cs-CZ"/>
        </w:rPr>
        <w:t xml:space="preserve">  Bakteriální enteritida, kolibacilóza a MMA syndrom.</w:t>
      </w:r>
    </w:p>
    <w:p w:rsidR="0055390E" w:rsidRPr="0055390E" w:rsidRDefault="00EB1C7C" w:rsidP="0055390E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lang w:val="cs-CZ"/>
        </w:rPr>
      </w:pPr>
      <w:r w:rsidRPr="0055390E">
        <w:rPr>
          <w:rFonts w:ascii="Times New Roman" w:hAnsi="Times New Roman" w:cs="Times New Roman"/>
          <w:b/>
          <w:bCs/>
          <w:sz w:val="24"/>
          <w:lang w:val="cs-CZ"/>
        </w:rPr>
        <w:t>Telata:</w:t>
      </w:r>
      <w:r w:rsidRPr="0055390E">
        <w:rPr>
          <w:rFonts w:ascii="Times New Roman" w:hAnsi="Times New Roman" w:cs="Times New Roman"/>
          <w:sz w:val="24"/>
          <w:lang w:val="cs-CZ"/>
        </w:rPr>
        <w:t xml:space="preserve"> </w:t>
      </w:r>
      <w:r w:rsidR="0055390E" w:rsidRPr="0055390E">
        <w:rPr>
          <w:rFonts w:ascii="Times New Roman" w:hAnsi="Times New Roman" w:cs="Times New Roman"/>
          <w:sz w:val="24"/>
          <w:lang w:val="cs-CZ"/>
        </w:rPr>
        <w:t>Bakteriální onemocnění respiratorního a trávicího traktu (</w:t>
      </w:r>
      <w:proofErr w:type="spellStart"/>
      <w:r w:rsidR="0055390E" w:rsidRPr="0055390E">
        <w:rPr>
          <w:rFonts w:ascii="Times New Roman" w:hAnsi="Times New Roman" w:cs="Times New Roman"/>
          <w:sz w:val="24"/>
          <w:lang w:val="cs-CZ"/>
        </w:rPr>
        <w:t>pasteurelóza</w:t>
      </w:r>
      <w:proofErr w:type="spellEnd"/>
      <w:r w:rsidR="0055390E" w:rsidRPr="0055390E">
        <w:rPr>
          <w:rFonts w:ascii="Times New Roman" w:hAnsi="Times New Roman" w:cs="Times New Roman"/>
          <w:sz w:val="24"/>
          <w:lang w:val="cs-CZ"/>
        </w:rPr>
        <w:t xml:space="preserve">, </w:t>
      </w:r>
      <w:proofErr w:type="spellStart"/>
      <w:r w:rsidR="0055390E" w:rsidRPr="0055390E">
        <w:rPr>
          <w:rFonts w:ascii="Times New Roman" w:hAnsi="Times New Roman" w:cs="Times New Roman"/>
          <w:sz w:val="24"/>
          <w:lang w:val="cs-CZ"/>
        </w:rPr>
        <w:t>mykoplasmóza</w:t>
      </w:r>
      <w:proofErr w:type="spellEnd"/>
      <w:r w:rsidR="0055390E" w:rsidRPr="0055390E">
        <w:rPr>
          <w:rFonts w:ascii="Times New Roman" w:hAnsi="Times New Roman" w:cs="Times New Roman"/>
          <w:sz w:val="24"/>
          <w:lang w:val="cs-CZ"/>
        </w:rPr>
        <w:t xml:space="preserve">, kolibacilóza, </w:t>
      </w:r>
      <w:proofErr w:type="spellStart"/>
      <w:r w:rsidR="0055390E" w:rsidRPr="0055390E">
        <w:rPr>
          <w:rFonts w:ascii="Times New Roman" w:hAnsi="Times New Roman" w:cs="Times New Roman"/>
          <w:sz w:val="24"/>
          <w:lang w:val="cs-CZ"/>
        </w:rPr>
        <w:t>koliseptikémie</w:t>
      </w:r>
      <w:proofErr w:type="spellEnd"/>
      <w:r w:rsidR="0055390E" w:rsidRPr="0055390E">
        <w:rPr>
          <w:rFonts w:ascii="Times New Roman" w:hAnsi="Times New Roman" w:cs="Times New Roman"/>
          <w:sz w:val="24"/>
          <w:lang w:val="cs-CZ"/>
        </w:rPr>
        <w:t>), včetně sekundárních bakteriálních infekcí.</w:t>
      </w:r>
    </w:p>
    <w:p w:rsidR="000517C4" w:rsidRPr="0055390E" w:rsidRDefault="000517C4" w:rsidP="0055390E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b/>
          <w:sz w:val="24"/>
          <w:lang w:val="cs-CZ"/>
        </w:rPr>
      </w:pPr>
      <w:r w:rsidRPr="0055390E">
        <w:rPr>
          <w:rFonts w:ascii="Times New Roman" w:hAnsi="Times New Roman" w:cs="Times New Roman"/>
          <w:b/>
          <w:sz w:val="24"/>
          <w:lang w:val="cs-CZ"/>
        </w:rPr>
        <w:lastRenderedPageBreak/>
        <w:t xml:space="preserve">5. </w:t>
      </w:r>
      <w:r w:rsidRPr="0055390E">
        <w:rPr>
          <w:rFonts w:ascii="Times New Roman" w:hAnsi="Times New Roman" w:cs="Times New Roman"/>
          <w:b/>
          <w:sz w:val="24"/>
          <w:lang w:val="cs-CZ"/>
        </w:rPr>
        <w:tab/>
        <w:t>KONTRAINDIKACE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</w:p>
    <w:p w:rsidR="00EB1C7C" w:rsidRPr="0055390E" w:rsidRDefault="00EB1C7C" w:rsidP="0055390E">
      <w:pPr>
        <w:pStyle w:val="Zkladntextodsazen"/>
        <w:tabs>
          <w:tab w:val="clear" w:pos="0"/>
        </w:tabs>
        <w:spacing w:line="360" w:lineRule="auto"/>
        <w:rPr>
          <w:rFonts w:ascii="Times New Roman" w:hAnsi="Times New Roman" w:cs="Times New Roman"/>
          <w:spacing w:val="-2"/>
          <w:sz w:val="24"/>
          <w:lang w:val="cs-CZ"/>
        </w:rPr>
      </w:pPr>
      <w:r w:rsidRPr="0055390E">
        <w:rPr>
          <w:rFonts w:ascii="Times New Roman" w:hAnsi="Times New Roman" w:cs="Times New Roman"/>
          <w:spacing w:val="-2"/>
          <w:sz w:val="24"/>
          <w:lang w:val="cs-CZ"/>
        </w:rPr>
        <w:t>Nepodávejte zvířatům:</w:t>
      </w:r>
    </w:p>
    <w:p w:rsidR="00EB1C7C" w:rsidRPr="0055390E" w:rsidRDefault="00EB1C7C" w:rsidP="0055390E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v případě alergických kožních reakcí</w:t>
      </w:r>
    </w:p>
    <w:p w:rsidR="00EB1C7C" w:rsidRPr="0055390E" w:rsidRDefault="00EB1C7C" w:rsidP="0055390E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v pří</w:t>
      </w:r>
      <w:r w:rsidR="0055390E" w:rsidRPr="0055390E">
        <w:rPr>
          <w:rFonts w:ascii="Times New Roman" w:hAnsi="Times New Roman" w:cs="Times New Roman"/>
          <w:sz w:val="24"/>
          <w:lang w:val="cs-CZ"/>
        </w:rPr>
        <w:t xml:space="preserve">padě známých rezistencí na </w:t>
      </w:r>
      <w:proofErr w:type="spellStart"/>
      <w:r w:rsidR="0055390E" w:rsidRPr="0055390E">
        <w:rPr>
          <w:rFonts w:ascii="Times New Roman" w:hAnsi="Times New Roman" w:cs="Times New Roman"/>
          <w:sz w:val="24"/>
          <w:lang w:val="cs-CZ"/>
        </w:rPr>
        <w:t>chino</w:t>
      </w:r>
      <w:r w:rsidRPr="0055390E">
        <w:rPr>
          <w:rFonts w:ascii="Times New Roman" w:hAnsi="Times New Roman" w:cs="Times New Roman"/>
          <w:sz w:val="24"/>
          <w:lang w:val="cs-CZ"/>
        </w:rPr>
        <w:t>lony</w:t>
      </w:r>
      <w:proofErr w:type="spellEnd"/>
      <w:r w:rsidRPr="0055390E">
        <w:rPr>
          <w:rFonts w:ascii="Times New Roman" w:hAnsi="Times New Roman" w:cs="Times New Roman"/>
          <w:sz w:val="24"/>
          <w:lang w:val="cs-CZ"/>
        </w:rPr>
        <w:t xml:space="preserve"> </w:t>
      </w:r>
    </w:p>
    <w:p w:rsidR="00EB1C7C" w:rsidRPr="0055390E" w:rsidRDefault="00EB1C7C" w:rsidP="0055390E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březím samicím</w:t>
      </w:r>
    </w:p>
    <w:p w:rsidR="00EB1C7C" w:rsidRPr="0055390E" w:rsidRDefault="00EB1C7C" w:rsidP="0055390E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s narušenou chrupavčitou tkáni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b/>
          <w:sz w:val="24"/>
          <w:lang w:val="cs-CZ"/>
        </w:rPr>
        <w:t>6.</w:t>
      </w:r>
      <w:r w:rsidRPr="0055390E">
        <w:rPr>
          <w:rFonts w:ascii="Times New Roman" w:hAnsi="Times New Roman" w:cs="Times New Roman"/>
          <w:b/>
          <w:sz w:val="24"/>
          <w:lang w:val="cs-CZ"/>
        </w:rPr>
        <w:tab/>
        <w:t>NEŽÁDOUCÍ ÚČINKY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V místě injekčního podání se mohou občas objevit tkáňové změny.</w:t>
      </w:r>
    </w:p>
    <w:p w:rsidR="0055390E" w:rsidRPr="0055390E" w:rsidRDefault="0055390E" w:rsidP="0055390E">
      <w:pPr>
        <w:pStyle w:val="Zkladntextodsazen"/>
        <w:spacing w:line="360" w:lineRule="auto"/>
        <w:ind w:hanging="11"/>
        <w:rPr>
          <w:rFonts w:ascii="Times New Roman" w:hAnsi="Times New Roman" w:cs="Times New Roman"/>
          <w:spacing w:val="-2"/>
          <w:sz w:val="24"/>
          <w:lang w:val="cs-CZ"/>
        </w:rPr>
      </w:pPr>
      <w:proofErr w:type="spellStart"/>
      <w:r w:rsidRPr="0055390E">
        <w:rPr>
          <w:rFonts w:ascii="Times New Roman" w:hAnsi="Times New Roman" w:cs="Times New Roman"/>
          <w:spacing w:val="-2"/>
          <w:sz w:val="24"/>
          <w:lang w:val="cs-CZ"/>
        </w:rPr>
        <w:t>Fotosenzitivita</w:t>
      </w:r>
      <w:proofErr w:type="spellEnd"/>
      <w:r w:rsidRPr="0055390E">
        <w:rPr>
          <w:rFonts w:ascii="Times New Roman" w:hAnsi="Times New Roman" w:cs="Times New Roman"/>
          <w:spacing w:val="-2"/>
          <w:sz w:val="24"/>
          <w:lang w:val="cs-CZ"/>
        </w:rPr>
        <w:t xml:space="preserve"> a vznik alergií doprovázených artralgií. Přerušte podávání a zaveďte symptomatickou léčbu.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b/>
          <w:sz w:val="24"/>
          <w:lang w:val="cs-CZ"/>
        </w:rPr>
        <w:t>7.</w:t>
      </w:r>
      <w:r w:rsidRPr="0055390E">
        <w:rPr>
          <w:rFonts w:ascii="Times New Roman" w:hAnsi="Times New Roman" w:cs="Times New Roman"/>
          <w:b/>
          <w:sz w:val="24"/>
          <w:lang w:val="cs-CZ"/>
        </w:rPr>
        <w:tab/>
        <w:t>CÍLOVÝ DRUH ZVÍŘAT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Prasata a telata skotu.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b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b/>
          <w:sz w:val="24"/>
          <w:lang w:val="cs-CZ"/>
        </w:rPr>
        <w:t>8.</w:t>
      </w:r>
      <w:r w:rsidRPr="0055390E">
        <w:rPr>
          <w:rFonts w:ascii="Times New Roman" w:hAnsi="Times New Roman" w:cs="Times New Roman"/>
          <w:b/>
          <w:sz w:val="24"/>
          <w:lang w:val="cs-CZ"/>
        </w:rPr>
        <w:tab/>
        <w:t>DÁVKOVÁNÍ PRO KAŽDÝ DRUH, CESTA(Y) A ZPŮSOB PODÁNÍ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</w:p>
    <w:p w:rsidR="00EB1C7C" w:rsidRPr="0055390E" w:rsidRDefault="00EB1C7C" w:rsidP="0055390E">
      <w:pPr>
        <w:pStyle w:val="Zkladntextodsazen"/>
        <w:tabs>
          <w:tab w:val="clear" w:pos="0"/>
        </w:tabs>
        <w:spacing w:line="360" w:lineRule="auto"/>
        <w:ind w:hanging="11"/>
        <w:rPr>
          <w:rFonts w:ascii="Times New Roman" w:hAnsi="Times New Roman" w:cs="Times New Roman"/>
          <w:spacing w:val="-2"/>
          <w:sz w:val="24"/>
          <w:lang w:val="cs-CZ"/>
        </w:rPr>
      </w:pPr>
      <w:r w:rsidRPr="0055390E">
        <w:rPr>
          <w:rFonts w:ascii="Times New Roman" w:hAnsi="Times New Roman" w:cs="Times New Roman"/>
          <w:spacing w:val="-2"/>
          <w:sz w:val="24"/>
          <w:lang w:val="cs-CZ"/>
        </w:rPr>
        <w:t>Intramuskulární podání:</w:t>
      </w:r>
    </w:p>
    <w:p w:rsidR="000517C4" w:rsidRPr="0055390E" w:rsidRDefault="000517C4" w:rsidP="0055390E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EB1C7C" w:rsidRPr="0055390E" w:rsidRDefault="00EB1C7C" w:rsidP="0055390E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b/>
          <w:bCs/>
          <w:sz w:val="24"/>
          <w:lang w:val="cs-CZ"/>
        </w:rPr>
        <w:t>Prasata:</w:t>
      </w:r>
      <w:r w:rsidRPr="0055390E">
        <w:rPr>
          <w:rFonts w:ascii="Times New Roman" w:hAnsi="Times New Roman" w:cs="Times New Roman"/>
          <w:sz w:val="24"/>
          <w:lang w:val="cs-CZ"/>
        </w:rPr>
        <w:t xml:space="preserve"> 25 mg </w:t>
      </w:r>
      <w:proofErr w:type="spellStart"/>
      <w:r w:rsidRPr="0055390E">
        <w:rPr>
          <w:rFonts w:ascii="Times New Roman" w:hAnsi="Times New Roman" w:cs="Times New Roman"/>
          <w:sz w:val="24"/>
          <w:lang w:val="cs-CZ"/>
        </w:rPr>
        <w:t>enrofloxacinu</w:t>
      </w:r>
      <w:proofErr w:type="spellEnd"/>
      <w:r w:rsidRPr="0055390E">
        <w:rPr>
          <w:rFonts w:ascii="Times New Roman" w:hAnsi="Times New Roman" w:cs="Times New Roman"/>
          <w:sz w:val="24"/>
          <w:lang w:val="cs-CZ"/>
        </w:rPr>
        <w:t xml:space="preserve"> / tj. 0,25 ml ROXACIN 100 mg/ml injekční roztok / </w:t>
      </w:r>
      <w:smartTag w:uri="urn:schemas-microsoft-com:office:smarttags" w:element="metricconverter">
        <w:smartTagPr>
          <w:attr w:name="ProductID" w:val="10 kg"/>
        </w:smartTagPr>
        <w:r w:rsidRPr="0055390E">
          <w:rPr>
            <w:rFonts w:ascii="Times New Roman" w:hAnsi="Times New Roman" w:cs="Times New Roman"/>
            <w:sz w:val="24"/>
            <w:lang w:val="cs-CZ"/>
          </w:rPr>
          <w:t>10 kg</w:t>
        </w:r>
      </w:smartTag>
      <w:r w:rsidRPr="0055390E">
        <w:rPr>
          <w:rFonts w:ascii="Times New Roman" w:hAnsi="Times New Roman" w:cs="Times New Roman"/>
          <w:sz w:val="24"/>
          <w:lang w:val="cs-CZ"/>
        </w:rPr>
        <w:t xml:space="preserve"> ž. hm. / den po dobu 3-5 dní </w:t>
      </w:r>
    </w:p>
    <w:p w:rsidR="00EB1C7C" w:rsidRDefault="00EB1C7C" w:rsidP="0055390E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b/>
          <w:bCs/>
          <w:sz w:val="24"/>
          <w:lang w:val="cs-CZ"/>
        </w:rPr>
        <w:t>Telata:</w:t>
      </w:r>
      <w:r w:rsidRPr="0055390E">
        <w:rPr>
          <w:rFonts w:ascii="Times New Roman" w:hAnsi="Times New Roman" w:cs="Times New Roman"/>
          <w:sz w:val="24"/>
          <w:lang w:val="cs-CZ"/>
        </w:rPr>
        <w:t xml:space="preserve"> 25 mg </w:t>
      </w:r>
      <w:proofErr w:type="spellStart"/>
      <w:r w:rsidRPr="0055390E">
        <w:rPr>
          <w:rFonts w:ascii="Times New Roman" w:hAnsi="Times New Roman" w:cs="Times New Roman"/>
          <w:sz w:val="24"/>
          <w:lang w:val="cs-CZ"/>
        </w:rPr>
        <w:t>enrofloxacinu</w:t>
      </w:r>
      <w:proofErr w:type="spellEnd"/>
      <w:r w:rsidRPr="0055390E">
        <w:rPr>
          <w:rFonts w:ascii="Times New Roman" w:hAnsi="Times New Roman" w:cs="Times New Roman"/>
          <w:sz w:val="24"/>
          <w:lang w:val="cs-CZ"/>
        </w:rPr>
        <w:t xml:space="preserve"> / tj. 0,25 ml ROXACIN 100 mg/ml injekční roztok / </w:t>
      </w:r>
      <w:smartTag w:uri="urn:schemas-microsoft-com:office:smarttags" w:element="metricconverter">
        <w:smartTagPr>
          <w:attr w:name="ProductID" w:val="10 kg"/>
        </w:smartTagPr>
        <w:r w:rsidRPr="0055390E">
          <w:rPr>
            <w:rFonts w:ascii="Times New Roman" w:hAnsi="Times New Roman" w:cs="Times New Roman"/>
            <w:sz w:val="24"/>
            <w:lang w:val="cs-CZ"/>
          </w:rPr>
          <w:t>10 kg</w:t>
        </w:r>
      </w:smartTag>
      <w:r w:rsidRPr="0055390E">
        <w:rPr>
          <w:rFonts w:ascii="Times New Roman" w:hAnsi="Times New Roman" w:cs="Times New Roman"/>
          <w:sz w:val="24"/>
          <w:lang w:val="cs-CZ"/>
        </w:rPr>
        <w:t xml:space="preserve"> ž. hm. / den po dobu 3 - 5 dní </w:t>
      </w:r>
    </w:p>
    <w:p w:rsidR="006E7A70" w:rsidRDefault="006E7A70" w:rsidP="0055390E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6E7A70" w:rsidRPr="00E35096" w:rsidRDefault="006E7A70" w:rsidP="006E7A70">
      <w:pPr>
        <w:pStyle w:val="Zkladntext"/>
        <w:spacing w:line="360" w:lineRule="auto"/>
        <w:rPr>
          <w:rFonts w:ascii="Times New Roman" w:hAnsi="Times New Roman" w:cs="Times New Roman"/>
          <w:b w:val="0"/>
          <w:bCs w:val="0"/>
          <w:lang w:val="cs-CZ"/>
        </w:rPr>
      </w:pPr>
      <w:r>
        <w:rPr>
          <w:rFonts w:ascii="Times New Roman" w:hAnsi="Times New Roman" w:cs="Times New Roman"/>
          <w:b w:val="0"/>
          <w:bCs w:val="0"/>
          <w:lang w:val="cs-CZ"/>
        </w:rPr>
        <w:t>Zátku lze propíchnout max. 10krát.</w:t>
      </w:r>
    </w:p>
    <w:p w:rsidR="00EB1C7C" w:rsidRPr="0055390E" w:rsidRDefault="00EB1C7C" w:rsidP="0055390E">
      <w:pPr>
        <w:pStyle w:val="Zkladntext"/>
        <w:spacing w:line="360" w:lineRule="auto"/>
        <w:rPr>
          <w:rFonts w:ascii="Times New Roman" w:hAnsi="Times New Roman" w:cs="Times New Roman"/>
          <w:b w:val="0"/>
          <w:bCs w:val="0"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55390E">
        <w:rPr>
          <w:rFonts w:ascii="Times New Roman" w:hAnsi="Times New Roman" w:cs="Times New Roman"/>
          <w:b/>
          <w:sz w:val="24"/>
          <w:lang w:val="cs-CZ"/>
        </w:rPr>
        <w:t>9.</w:t>
      </w:r>
      <w:r w:rsidRPr="0055390E">
        <w:rPr>
          <w:rFonts w:ascii="Times New Roman" w:hAnsi="Times New Roman" w:cs="Times New Roman"/>
          <w:b/>
          <w:sz w:val="24"/>
          <w:lang w:val="cs-CZ"/>
        </w:rPr>
        <w:tab/>
        <w:t>POKYNY PRO SPRÁVNÉ PODÁNÍ</w:t>
      </w:r>
    </w:p>
    <w:p w:rsidR="000517C4" w:rsidRPr="0055390E" w:rsidRDefault="000517C4" w:rsidP="0055390E">
      <w:pPr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EB1C7C" w:rsidRPr="0055390E" w:rsidRDefault="00EB1C7C" w:rsidP="0055390E">
      <w:pPr>
        <w:pStyle w:val="Zkladntext"/>
        <w:spacing w:line="360" w:lineRule="auto"/>
        <w:rPr>
          <w:rFonts w:ascii="Times New Roman" w:hAnsi="Times New Roman" w:cs="Times New Roman"/>
          <w:b w:val="0"/>
          <w:bCs w:val="0"/>
          <w:sz w:val="24"/>
          <w:lang w:val="cs-CZ"/>
        </w:rPr>
      </w:pPr>
      <w:r w:rsidRPr="0055390E">
        <w:rPr>
          <w:rFonts w:ascii="Times New Roman" w:hAnsi="Times New Roman" w:cs="Times New Roman"/>
          <w:b w:val="0"/>
          <w:bCs w:val="0"/>
          <w:sz w:val="24"/>
          <w:lang w:val="cs-CZ"/>
        </w:rPr>
        <w:t>Aby bylo zajištěno správné dávkování (včetně prevence podání nedostatečné dávky) je třeba určit s maximální možnou přesností živou hmotnost zvířete.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b/>
          <w:sz w:val="24"/>
          <w:lang w:val="cs-CZ"/>
        </w:rPr>
        <w:lastRenderedPageBreak/>
        <w:t>10.</w:t>
      </w:r>
      <w:r w:rsidRPr="0055390E">
        <w:rPr>
          <w:rFonts w:ascii="Times New Roman" w:hAnsi="Times New Roman" w:cs="Times New Roman"/>
          <w:b/>
          <w:sz w:val="24"/>
          <w:lang w:val="cs-CZ"/>
        </w:rPr>
        <w:tab/>
        <w:t xml:space="preserve">OCHRANNÁ LHŮTA 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iCs/>
          <w:sz w:val="24"/>
          <w:lang w:val="cs-CZ"/>
        </w:rPr>
      </w:pPr>
    </w:p>
    <w:p w:rsidR="004B1A6A" w:rsidRPr="0055390E" w:rsidRDefault="004B1A6A" w:rsidP="0055390E">
      <w:pPr>
        <w:tabs>
          <w:tab w:val="left" w:pos="-720"/>
        </w:tabs>
        <w:suppressAutoHyphens/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Maso telat: 14 dnů</w:t>
      </w:r>
    </w:p>
    <w:p w:rsidR="004B1A6A" w:rsidRPr="0055390E" w:rsidRDefault="004B1A6A" w:rsidP="0055390E">
      <w:pPr>
        <w:tabs>
          <w:tab w:val="left" w:pos="-720"/>
        </w:tabs>
        <w:suppressAutoHyphens/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Maso prasat: 11 dnů.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iCs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.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iCs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b/>
          <w:sz w:val="24"/>
          <w:lang w:val="cs-CZ"/>
        </w:rPr>
        <w:t>11.</w:t>
      </w:r>
      <w:r w:rsidRPr="0055390E">
        <w:rPr>
          <w:rFonts w:ascii="Times New Roman" w:hAnsi="Times New Roman" w:cs="Times New Roman"/>
          <w:b/>
          <w:sz w:val="24"/>
          <w:lang w:val="cs-CZ"/>
        </w:rPr>
        <w:tab/>
        <w:t>ZVLÁŠTNÍ OPATŘENÍ PRO UCHOVÁVÁNÍ</w:t>
      </w:r>
    </w:p>
    <w:p w:rsidR="00930C96" w:rsidRPr="0055390E" w:rsidRDefault="00930C96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</w:p>
    <w:p w:rsidR="000517C4" w:rsidRPr="0055390E" w:rsidRDefault="001E2E11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Uchovávat mimo dosah dětí</w:t>
      </w:r>
    </w:p>
    <w:p w:rsidR="00930C96" w:rsidRPr="0055390E" w:rsidRDefault="00930C96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</w:p>
    <w:p w:rsidR="001E2E11" w:rsidRPr="0055390E" w:rsidRDefault="001E2E11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Uchováve</w:t>
      </w:r>
      <w:r w:rsidR="00EF11C6">
        <w:rPr>
          <w:rFonts w:ascii="Times New Roman" w:hAnsi="Times New Roman" w:cs="Times New Roman"/>
          <w:sz w:val="24"/>
          <w:lang w:val="cs-CZ"/>
        </w:rPr>
        <w:t>j</w:t>
      </w:r>
      <w:bookmarkStart w:id="0" w:name="_GoBack"/>
      <w:bookmarkEnd w:id="0"/>
      <w:r w:rsidRPr="0055390E">
        <w:rPr>
          <w:rFonts w:ascii="Times New Roman" w:hAnsi="Times New Roman" w:cs="Times New Roman"/>
          <w:sz w:val="24"/>
          <w:lang w:val="cs-CZ"/>
        </w:rPr>
        <w:t xml:space="preserve">te při teplotě do </w:t>
      </w:r>
      <w:smartTag w:uri="urn:schemas-microsoft-com:office:smarttags" w:element="metricconverter">
        <w:smartTagPr>
          <w:attr w:name="ProductID" w:val="25 ﾰC"/>
        </w:smartTagPr>
        <w:r w:rsidRPr="0055390E">
          <w:rPr>
            <w:rFonts w:ascii="Times New Roman" w:hAnsi="Times New Roman" w:cs="Times New Roman"/>
            <w:sz w:val="24"/>
            <w:lang w:val="cs-CZ"/>
          </w:rPr>
          <w:t>25 °C</w:t>
        </w:r>
      </w:smartTag>
    </w:p>
    <w:p w:rsidR="001E2E11" w:rsidRPr="0055390E" w:rsidRDefault="001E2E11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Chraňte před světlem</w:t>
      </w:r>
    </w:p>
    <w:p w:rsidR="00930C96" w:rsidRPr="0055390E" w:rsidRDefault="00930C96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</w:p>
    <w:p w:rsidR="001E2E11" w:rsidRPr="0055390E" w:rsidRDefault="001E2E11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Nepoužívejte po uplynutí doby použitelnosti uvedené na obalu.</w:t>
      </w:r>
    </w:p>
    <w:p w:rsidR="001E2E11" w:rsidRPr="0055390E" w:rsidRDefault="001E2E11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Doba použitelnosti po prvním otevření obalu: 28 dní</w:t>
      </w:r>
    </w:p>
    <w:p w:rsidR="000517C4" w:rsidRPr="0055390E" w:rsidRDefault="000517C4" w:rsidP="0055390E">
      <w:pPr>
        <w:spacing w:line="360" w:lineRule="auto"/>
        <w:ind w:right="-318"/>
        <w:rPr>
          <w:rFonts w:ascii="Times New Roman" w:hAnsi="Times New Roman" w:cs="Times New Roman"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b/>
          <w:sz w:val="24"/>
          <w:lang w:val="cs-CZ"/>
        </w:rPr>
      </w:pPr>
      <w:r w:rsidRPr="0055390E">
        <w:rPr>
          <w:rFonts w:ascii="Times New Roman" w:hAnsi="Times New Roman" w:cs="Times New Roman"/>
          <w:b/>
          <w:sz w:val="24"/>
          <w:lang w:val="cs-CZ"/>
        </w:rPr>
        <w:t>12.</w:t>
      </w:r>
      <w:r w:rsidRPr="0055390E">
        <w:rPr>
          <w:rFonts w:ascii="Times New Roman" w:hAnsi="Times New Roman" w:cs="Times New Roman"/>
          <w:b/>
          <w:sz w:val="24"/>
          <w:lang w:val="cs-CZ"/>
        </w:rPr>
        <w:tab/>
        <w:t>ZVLÁŠTNÍ UPOZORNĚNÍ</w:t>
      </w:r>
    </w:p>
    <w:p w:rsidR="00F16463" w:rsidRPr="0055390E" w:rsidRDefault="00F16463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 xml:space="preserve">Při použití přípravku je nutno vzít v úvahu oficiální a místní pravidla antibiotické politiky. 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 xml:space="preserve">Doporučuje se ponechat </w:t>
      </w:r>
      <w:proofErr w:type="spellStart"/>
      <w:r w:rsidRPr="0055390E">
        <w:rPr>
          <w:rFonts w:ascii="Times New Roman" w:hAnsi="Times New Roman" w:cs="Times New Roman"/>
          <w:sz w:val="24"/>
          <w:lang w:val="cs-CZ"/>
        </w:rPr>
        <w:t>fluorochinolony</w:t>
      </w:r>
      <w:proofErr w:type="spellEnd"/>
      <w:r w:rsidRPr="0055390E">
        <w:rPr>
          <w:rFonts w:ascii="Times New Roman" w:hAnsi="Times New Roman" w:cs="Times New Roman"/>
          <w:sz w:val="24"/>
          <w:lang w:val="cs-CZ"/>
        </w:rPr>
        <w:t xml:space="preserve"> na léčbu klinických stavů, které měly slabou odezvu,</w:t>
      </w:r>
      <w:r w:rsidR="00EB1C7C" w:rsidRPr="0055390E">
        <w:rPr>
          <w:rFonts w:ascii="Times New Roman" w:hAnsi="Times New Roman" w:cs="Times New Roman"/>
          <w:sz w:val="24"/>
          <w:lang w:val="cs-CZ"/>
        </w:rPr>
        <w:t xml:space="preserve"> </w:t>
      </w:r>
      <w:r w:rsidRPr="0055390E">
        <w:rPr>
          <w:rFonts w:ascii="Times New Roman" w:hAnsi="Times New Roman" w:cs="Times New Roman"/>
          <w:sz w:val="24"/>
          <w:lang w:val="cs-CZ"/>
        </w:rPr>
        <w:t>nebo se očekává slabá odezva na ostatní skupiny antibiotik.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 xml:space="preserve">Použití </w:t>
      </w:r>
      <w:proofErr w:type="spellStart"/>
      <w:r w:rsidRPr="0055390E">
        <w:rPr>
          <w:rFonts w:ascii="Times New Roman" w:hAnsi="Times New Roman" w:cs="Times New Roman"/>
          <w:sz w:val="24"/>
          <w:lang w:val="cs-CZ"/>
        </w:rPr>
        <w:t>fluorochinolonů</w:t>
      </w:r>
      <w:proofErr w:type="spellEnd"/>
      <w:r w:rsidRPr="0055390E">
        <w:rPr>
          <w:rFonts w:ascii="Times New Roman" w:hAnsi="Times New Roman" w:cs="Times New Roman"/>
          <w:sz w:val="24"/>
          <w:lang w:val="cs-CZ"/>
        </w:rPr>
        <w:t xml:space="preserve"> by mělo být, pokud je to možné, založeno na výsledku testu citlivosti. 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 xml:space="preserve">Použití přípravku, které je odlišné od pokynů uvedených v tomto souhrnu údajů o přípravku (SPC), může zvýšit prevalenci bakterií rezistentních na </w:t>
      </w:r>
      <w:proofErr w:type="spellStart"/>
      <w:r w:rsidRPr="0055390E">
        <w:rPr>
          <w:rFonts w:ascii="Times New Roman" w:hAnsi="Times New Roman" w:cs="Times New Roman"/>
          <w:sz w:val="24"/>
          <w:lang w:val="cs-CZ"/>
        </w:rPr>
        <w:t>fluorochinolony</w:t>
      </w:r>
      <w:proofErr w:type="spellEnd"/>
      <w:r w:rsidRPr="0055390E">
        <w:rPr>
          <w:rFonts w:ascii="Times New Roman" w:hAnsi="Times New Roman" w:cs="Times New Roman"/>
          <w:sz w:val="24"/>
          <w:lang w:val="cs-CZ"/>
        </w:rPr>
        <w:t xml:space="preserve"> a snížit účinnost terapie ostatními </w:t>
      </w:r>
      <w:proofErr w:type="spellStart"/>
      <w:r w:rsidRPr="0055390E">
        <w:rPr>
          <w:rFonts w:ascii="Times New Roman" w:hAnsi="Times New Roman" w:cs="Times New Roman"/>
          <w:sz w:val="24"/>
          <w:lang w:val="cs-CZ"/>
        </w:rPr>
        <w:t>chinolony</w:t>
      </w:r>
      <w:proofErr w:type="spellEnd"/>
      <w:r w:rsidRPr="0055390E">
        <w:rPr>
          <w:rFonts w:ascii="Times New Roman" w:hAnsi="Times New Roman" w:cs="Times New Roman"/>
          <w:sz w:val="24"/>
          <w:lang w:val="cs-CZ"/>
        </w:rPr>
        <w:t xml:space="preserve"> z důvodu možné zkřížené rezistence.   </w:t>
      </w:r>
    </w:p>
    <w:p w:rsidR="000517C4" w:rsidRPr="0055390E" w:rsidRDefault="000517C4" w:rsidP="0055390E">
      <w:pPr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55390E" w:rsidDel="000517C4">
        <w:rPr>
          <w:rFonts w:ascii="Times New Roman" w:hAnsi="Times New Roman" w:cs="Times New Roman"/>
          <w:sz w:val="24"/>
          <w:lang w:val="cs-CZ"/>
        </w:rPr>
        <w:t xml:space="preserve"> </w:t>
      </w:r>
    </w:p>
    <w:p w:rsidR="009210CB" w:rsidRPr="0055390E" w:rsidRDefault="009210CB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 xml:space="preserve">Přípravek je alkalický roztok. Zabraňte kontaktu přípravku s pokožkou a očima. V případě zasažení pokožky nebo očí opláchněte exponovanou část ihned po expozici proudem pitné vody. </w:t>
      </w:r>
    </w:p>
    <w:p w:rsidR="009210CB" w:rsidRPr="0055390E" w:rsidRDefault="009210CB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lastRenderedPageBreak/>
        <w:t xml:space="preserve">Předcházejte náhodnému </w:t>
      </w:r>
      <w:proofErr w:type="spellStart"/>
      <w:r w:rsidRPr="0055390E">
        <w:rPr>
          <w:rFonts w:ascii="Times New Roman" w:hAnsi="Times New Roman" w:cs="Times New Roman"/>
          <w:sz w:val="24"/>
          <w:lang w:val="cs-CZ"/>
        </w:rPr>
        <w:t>samopodání</w:t>
      </w:r>
      <w:proofErr w:type="spellEnd"/>
      <w:r w:rsidRPr="0055390E">
        <w:rPr>
          <w:rFonts w:ascii="Times New Roman" w:hAnsi="Times New Roman" w:cs="Times New Roman"/>
          <w:sz w:val="24"/>
          <w:lang w:val="cs-CZ"/>
        </w:rPr>
        <w:t xml:space="preserve"> injekce. Chraňte jehlu až do okamžiku podání přípravku. V případě náhodného sebepoškození injekčně aplikovaným přípravkem, vyhledejte lékařskou pomoc a ukažte příbalovou informaci nebo etiketu praktickému lékaři.</w:t>
      </w:r>
    </w:p>
    <w:p w:rsidR="009210CB" w:rsidRPr="0055390E" w:rsidRDefault="009210CB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 xml:space="preserve">Lidé se známou přecitlivělostí na </w:t>
      </w:r>
      <w:proofErr w:type="spellStart"/>
      <w:r w:rsidRPr="0055390E">
        <w:rPr>
          <w:rFonts w:ascii="Times New Roman" w:hAnsi="Times New Roman" w:cs="Times New Roman"/>
          <w:sz w:val="24"/>
          <w:lang w:val="cs-CZ"/>
        </w:rPr>
        <w:t>fluorochinolony</w:t>
      </w:r>
      <w:proofErr w:type="spellEnd"/>
      <w:r w:rsidRPr="0055390E">
        <w:rPr>
          <w:rFonts w:ascii="Times New Roman" w:hAnsi="Times New Roman" w:cs="Times New Roman"/>
          <w:sz w:val="24"/>
          <w:lang w:val="cs-CZ"/>
        </w:rPr>
        <w:t xml:space="preserve"> by se měli vyhnout kontaktu s veterinárním léčivým přípravkem.</w:t>
      </w:r>
    </w:p>
    <w:p w:rsidR="009210CB" w:rsidRPr="0055390E" w:rsidRDefault="009210CB" w:rsidP="0055390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V průběhu aplikace přípravku nekuřte, nejezte a nepijte.</w:t>
      </w:r>
    </w:p>
    <w:p w:rsidR="001E2E11" w:rsidRPr="0055390E" w:rsidRDefault="001E2E11" w:rsidP="0055390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1E2E11" w:rsidRPr="0055390E" w:rsidRDefault="001E2E11" w:rsidP="0055390E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>Nemísit s jiným veterinárním léčivým přípravkem v jedné injekční stříkačce.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b/>
          <w:sz w:val="24"/>
          <w:lang w:val="cs-CZ"/>
        </w:rPr>
      </w:pPr>
      <w:r w:rsidRPr="0055390E">
        <w:rPr>
          <w:rFonts w:ascii="Times New Roman" w:hAnsi="Times New Roman" w:cs="Times New Roman"/>
          <w:b/>
          <w:sz w:val="24"/>
          <w:lang w:val="cs-CZ"/>
        </w:rPr>
        <w:t>13.</w:t>
      </w:r>
      <w:r w:rsidRPr="0055390E">
        <w:rPr>
          <w:rFonts w:ascii="Times New Roman" w:hAnsi="Times New Roman" w:cs="Times New Roman"/>
          <w:b/>
          <w:sz w:val="24"/>
          <w:lang w:val="cs-CZ"/>
        </w:rPr>
        <w:tab/>
        <w:t>ZVLÁŠTNÍ OPATŘENÍ PRO ZNEŠKODŇOVÁNÍ NEPOUŽITÝCH PŘÍPRAVKŮ NEBO ODPADU, POKUD JE JICH TŘEBA</w:t>
      </w:r>
    </w:p>
    <w:p w:rsidR="000517C4" w:rsidRPr="0055390E" w:rsidRDefault="000517C4" w:rsidP="0055390E">
      <w:pPr>
        <w:spacing w:line="360" w:lineRule="auto"/>
        <w:ind w:right="-318"/>
        <w:rPr>
          <w:rFonts w:ascii="Times New Roman" w:hAnsi="Times New Roman" w:cs="Times New Roman"/>
          <w:sz w:val="24"/>
          <w:lang w:val="cs-CZ"/>
        </w:rPr>
      </w:pPr>
    </w:p>
    <w:p w:rsidR="000517C4" w:rsidRPr="0055390E" w:rsidRDefault="009210CB" w:rsidP="0055390E">
      <w:pPr>
        <w:spacing w:line="360" w:lineRule="auto"/>
        <w:rPr>
          <w:rFonts w:ascii="Times New Roman" w:hAnsi="Times New Roman" w:cs="Times New Roman"/>
          <w:b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 xml:space="preserve">Všechen nepoužitý veterinární léčivý přípravek nebo odpad, který pochází z tohoto přípravku, musí být likvidován podle místních právních předpisů. </w:t>
      </w:r>
      <w:r w:rsidR="000517C4" w:rsidRPr="0055390E">
        <w:rPr>
          <w:rFonts w:ascii="Times New Roman" w:hAnsi="Times New Roman" w:cs="Times New Roman"/>
          <w:sz w:val="24"/>
          <w:lang w:val="cs-CZ"/>
        </w:rPr>
        <w:t>Léčivé přípravky se nesmí likvidovat prostřednictvím odpadní vody či domovního odpadu.</w:t>
      </w:r>
      <w:r w:rsidR="000517C4" w:rsidRPr="0055390E">
        <w:rPr>
          <w:rFonts w:ascii="Times New Roman" w:hAnsi="Times New Roman" w:cs="Times New Roman"/>
          <w:b/>
          <w:sz w:val="24"/>
          <w:lang w:val="cs-CZ"/>
        </w:rPr>
        <w:t xml:space="preserve"> </w:t>
      </w: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b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55390E">
        <w:rPr>
          <w:rFonts w:ascii="Times New Roman" w:hAnsi="Times New Roman" w:cs="Times New Roman"/>
          <w:b/>
          <w:sz w:val="24"/>
          <w:lang w:val="cs-CZ"/>
        </w:rPr>
        <w:t>14.</w:t>
      </w:r>
      <w:r w:rsidRPr="0055390E">
        <w:rPr>
          <w:rFonts w:ascii="Times New Roman" w:hAnsi="Times New Roman" w:cs="Times New Roman"/>
          <w:b/>
          <w:sz w:val="24"/>
          <w:lang w:val="cs-CZ"/>
        </w:rPr>
        <w:tab/>
        <w:t>DATUM POSLEDNÍ REVIZE PŘÍBALOVÉ INFORMACE</w:t>
      </w:r>
    </w:p>
    <w:p w:rsidR="000517C4" w:rsidRPr="0055390E" w:rsidRDefault="006E7A70" w:rsidP="0055390E">
      <w:pPr>
        <w:spacing w:line="360" w:lineRule="auto"/>
        <w:ind w:right="-318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Červenec 2021</w:t>
      </w:r>
    </w:p>
    <w:p w:rsidR="000517C4" w:rsidRPr="0055390E" w:rsidRDefault="000517C4" w:rsidP="0055390E">
      <w:pPr>
        <w:spacing w:line="360" w:lineRule="auto"/>
        <w:ind w:right="-318"/>
        <w:rPr>
          <w:rFonts w:ascii="Times New Roman" w:hAnsi="Times New Roman" w:cs="Times New Roman"/>
          <w:sz w:val="24"/>
          <w:lang w:val="cs-CZ"/>
        </w:rPr>
      </w:pPr>
    </w:p>
    <w:p w:rsidR="000517C4" w:rsidRPr="0055390E" w:rsidRDefault="000517C4" w:rsidP="0055390E">
      <w:pPr>
        <w:spacing w:line="360" w:lineRule="auto"/>
        <w:rPr>
          <w:rFonts w:ascii="Times New Roman" w:hAnsi="Times New Roman" w:cs="Times New Roman"/>
          <w:b/>
          <w:sz w:val="24"/>
          <w:lang w:val="cs-CZ"/>
        </w:rPr>
      </w:pPr>
      <w:r w:rsidRPr="0055390E">
        <w:rPr>
          <w:rFonts w:ascii="Times New Roman" w:hAnsi="Times New Roman" w:cs="Times New Roman"/>
          <w:b/>
          <w:sz w:val="24"/>
          <w:lang w:val="cs-CZ"/>
        </w:rPr>
        <w:t>15.</w:t>
      </w:r>
      <w:r w:rsidRPr="0055390E">
        <w:rPr>
          <w:rFonts w:ascii="Times New Roman" w:hAnsi="Times New Roman" w:cs="Times New Roman"/>
          <w:b/>
          <w:sz w:val="24"/>
          <w:lang w:val="cs-CZ"/>
        </w:rPr>
        <w:tab/>
        <w:t>DALŠÍ INFORMACE</w:t>
      </w:r>
    </w:p>
    <w:p w:rsidR="000517C4" w:rsidRPr="0055390E" w:rsidRDefault="000517C4" w:rsidP="0055390E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cs-CZ"/>
        </w:rPr>
      </w:pPr>
    </w:p>
    <w:p w:rsidR="0055390E" w:rsidRPr="0055390E" w:rsidRDefault="0055390E" w:rsidP="005539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lang w:val="cs-CZ"/>
        </w:rPr>
      </w:pPr>
      <w:r w:rsidRPr="0055390E">
        <w:rPr>
          <w:rFonts w:ascii="Times New Roman" w:hAnsi="Times New Roman" w:cs="Times New Roman"/>
          <w:sz w:val="24"/>
          <w:lang w:val="cs-CZ"/>
        </w:rPr>
        <w:t xml:space="preserve">Nepodávejte současně s tetracykliny vzhledem k možným antagonistickým účinkům, se </w:t>
      </w:r>
      <w:proofErr w:type="spellStart"/>
      <w:r w:rsidRPr="0055390E">
        <w:rPr>
          <w:rFonts w:ascii="Times New Roman" w:hAnsi="Times New Roman" w:cs="Times New Roman"/>
          <w:sz w:val="24"/>
          <w:lang w:val="cs-CZ"/>
        </w:rPr>
        <w:t>sulphametoxazolem</w:t>
      </w:r>
      <w:proofErr w:type="spellEnd"/>
      <w:r w:rsidRPr="0055390E">
        <w:rPr>
          <w:rFonts w:ascii="Times New Roman" w:hAnsi="Times New Roman" w:cs="Times New Roman"/>
          <w:sz w:val="24"/>
          <w:lang w:val="cs-CZ"/>
        </w:rPr>
        <w:t xml:space="preserve"> a </w:t>
      </w:r>
      <w:proofErr w:type="spellStart"/>
      <w:r w:rsidRPr="0055390E">
        <w:rPr>
          <w:rFonts w:ascii="Times New Roman" w:hAnsi="Times New Roman" w:cs="Times New Roman"/>
          <w:sz w:val="24"/>
          <w:lang w:val="cs-CZ"/>
        </w:rPr>
        <w:t>trimetoprimem</w:t>
      </w:r>
      <w:proofErr w:type="spellEnd"/>
      <w:r w:rsidRPr="0055390E">
        <w:rPr>
          <w:rFonts w:ascii="Times New Roman" w:hAnsi="Times New Roman" w:cs="Times New Roman"/>
          <w:sz w:val="24"/>
          <w:lang w:val="cs-CZ"/>
        </w:rPr>
        <w:t xml:space="preserve"> z toxických důvodů, </w:t>
      </w:r>
      <w:r w:rsidRPr="0055390E">
        <w:rPr>
          <w:rFonts w:ascii="Times New Roman" w:hAnsi="Times New Roman" w:cs="Times New Roman"/>
          <w:bCs/>
          <w:sz w:val="24"/>
          <w:lang w:val="cs-CZ"/>
        </w:rPr>
        <w:t xml:space="preserve">nebo s bivalentními  kovy(Mg) a </w:t>
      </w:r>
      <w:proofErr w:type="spellStart"/>
      <w:r w:rsidRPr="0055390E">
        <w:rPr>
          <w:rFonts w:ascii="Times New Roman" w:hAnsi="Times New Roman" w:cs="Times New Roman"/>
          <w:bCs/>
          <w:sz w:val="24"/>
          <w:lang w:val="cs-CZ"/>
        </w:rPr>
        <w:t>trivalentní</w:t>
      </w:r>
      <w:proofErr w:type="spellEnd"/>
      <w:r w:rsidRPr="0055390E">
        <w:rPr>
          <w:rFonts w:ascii="Times New Roman" w:hAnsi="Times New Roman" w:cs="Times New Roman"/>
          <w:bCs/>
          <w:sz w:val="24"/>
          <w:lang w:val="cs-CZ"/>
        </w:rPr>
        <w:t xml:space="preserve"> kovy (Al) z farmakokinetických důvodů - snížení absorpce. </w:t>
      </w:r>
    </w:p>
    <w:p w:rsidR="0055390E" w:rsidRPr="0055390E" w:rsidRDefault="0055390E" w:rsidP="0055390E">
      <w:pPr>
        <w:pStyle w:val="Zkladntext"/>
        <w:spacing w:line="360" w:lineRule="auto"/>
        <w:rPr>
          <w:rFonts w:ascii="Times New Roman" w:hAnsi="Times New Roman" w:cs="Times New Roman"/>
          <w:b w:val="0"/>
          <w:bCs w:val="0"/>
          <w:sz w:val="24"/>
          <w:lang w:val="cs-CZ"/>
        </w:rPr>
      </w:pPr>
      <w:r w:rsidRPr="0055390E">
        <w:rPr>
          <w:rFonts w:ascii="Times New Roman" w:hAnsi="Times New Roman" w:cs="Times New Roman"/>
          <w:b w:val="0"/>
          <w:bCs w:val="0"/>
          <w:sz w:val="24"/>
          <w:lang w:val="cs-CZ"/>
        </w:rPr>
        <w:t>Nepodávejte současně s nesteroidními antiflogistiky.</w:t>
      </w:r>
    </w:p>
    <w:p w:rsidR="0055390E" w:rsidRPr="0055390E" w:rsidRDefault="0055390E" w:rsidP="0055390E">
      <w:pPr>
        <w:pStyle w:val="Zkladntext"/>
        <w:spacing w:line="360" w:lineRule="auto"/>
        <w:rPr>
          <w:rFonts w:ascii="Times New Roman" w:hAnsi="Times New Roman" w:cs="Times New Roman"/>
          <w:b w:val="0"/>
          <w:bCs w:val="0"/>
          <w:sz w:val="24"/>
          <w:lang w:val="cs-CZ"/>
        </w:rPr>
      </w:pPr>
    </w:p>
    <w:p w:rsidR="0055390E" w:rsidRDefault="0055390E" w:rsidP="0055390E">
      <w:pPr>
        <w:pStyle w:val="Zkladntext"/>
        <w:spacing w:line="360" w:lineRule="auto"/>
        <w:rPr>
          <w:rFonts w:ascii="Times New Roman" w:hAnsi="Times New Roman" w:cs="Times New Roman"/>
          <w:b w:val="0"/>
          <w:bCs w:val="0"/>
          <w:sz w:val="24"/>
          <w:lang w:val="cs-CZ"/>
        </w:rPr>
      </w:pPr>
      <w:proofErr w:type="spellStart"/>
      <w:r w:rsidRPr="0055390E">
        <w:rPr>
          <w:rFonts w:ascii="Times New Roman" w:hAnsi="Times New Roman" w:cs="Times New Roman"/>
          <w:b w:val="0"/>
          <w:bCs w:val="0"/>
          <w:sz w:val="24"/>
          <w:lang w:val="cs-CZ"/>
        </w:rPr>
        <w:t>Enrofloxacin</w:t>
      </w:r>
      <w:proofErr w:type="spellEnd"/>
      <w:r w:rsidRPr="0055390E">
        <w:rPr>
          <w:rFonts w:ascii="Times New Roman" w:hAnsi="Times New Roman" w:cs="Times New Roman"/>
          <w:b w:val="0"/>
          <w:bCs w:val="0"/>
          <w:sz w:val="24"/>
          <w:lang w:val="cs-CZ"/>
        </w:rPr>
        <w:t xml:space="preserve"> se váže na plasmatické bílkoviny a nesmí být podáván společně s aspirinem, </w:t>
      </w:r>
      <w:proofErr w:type="spellStart"/>
      <w:r w:rsidRPr="0055390E">
        <w:rPr>
          <w:rFonts w:ascii="Times New Roman" w:hAnsi="Times New Roman" w:cs="Times New Roman"/>
          <w:b w:val="0"/>
          <w:bCs w:val="0"/>
          <w:sz w:val="24"/>
          <w:lang w:val="cs-CZ"/>
        </w:rPr>
        <w:t>hydrokortisony</w:t>
      </w:r>
      <w:proofErr w:type="spellEnd"/>
      <w:r w:rsidRPr="0055390E">
        <w:rPr>
          <w:rFonts w:ascii="Times New Roman" w:hAnsi="Times New Roman" w:cs="Times New Roman"/>
          <w:b w:val="0"/>
          <w:bCs w:val="0"/>
          <w:sz w:val="24"/>
          <w:lang w:val="cs-CZ"/>
        </w:rPr>
        <w:t xml:space="preserve">, </w:t>
      </w:r>
      <w:proofErr w:type="spellStart"/>
      <w:r w:rsidRPr="0055390E">
        <w:rPr>
          <w:rFonts w:ascii="Times New Roman" w:hAnsi="Times New Roman" w:cs="Times New Roman"/>
          <w:b w:val="0"/>
          <w:bCs w:val="0"/>
          <w:sz w:val="24"/>
          <w:lang w:val="cs-CZ"/>
        </w:rPr>
        <w:t>phenylbutazonem</w:t>
      </w:r>
      <w:proofErr w:type="spellEnd"/>
      <w:r w:rsidRPr="0055390E">
        <w:rPr>
          <w:rFonts w:ascii="Times New Roman" w:hAnsi="Times New Roman" w:cs="Times New Roman"/>
          <w:b w:val="0"/>
          <w:bCs w:val="0"/>
          <w:sz w:val="24"/>
          <w:lang w:val="cs-CZ"/>
        </w:rPr>
        <w:t xml:space="preserve">, </w:t>
      </w:r>
      <w:proofErr w:type="spellStart"/>
      <w:r w:rsidRPr="0055390E">
        <w:rPr>
          <w:rFonts w:ascii="Times New Roman" w:hAnsi="Times New Roman" w:cs="Times New Roman"/>
          <w:b w:val="0"/>
          <w:bCs w:val="0"/>
          <w:sz w:val="24"/>
          <w:lang w:val="cs-CZ"/>
        </w:rPr>
        <w:t>sulphonamidy</w:t>
      </w:r>
      <w:proofErr w:type="spellEnd"/>
      <w:r w:rsidRPr="0055390E">
        <w:rPr>
          <w:rFonts w:ascii="Times New Roman" w:hAnsi="Times New Roman" w:cs="Times New Roman"/>
          <w:b w:val="0"/>
          <w:bCs w:val="0"/>
          <w:sz w:val="24"/>
          <w:lang w:val="cs-CZ"/>
        </w:rPr>
        <w:t xml:space="preserve"> s ohledem na  jejich silnější vazbu na plasmatické bílkoviny. </w:t>
      </w:r>
    </w:p>
    <w:p w:rsidR="006E7A70" w:rsidRDefault="006E7A70" w:rsidP="0055390E">
      <w:pPr>
        <w:pStyle w:val="Zkladntext"/>
        <w:spacing w:line="360" w:lineRule="auto"/>
        <w:rPr>
          <w:rFonts w:ascii="Times New Roman" w:hAnsi="Times New Roman" w:cs="Times New Roman"/>
          <w:b w:val="0"/>
          <w:bCs w:val="0"/>
          <w:sz w:val="24"/>
          <w:lang w:val="cs-CZ"/>
        </w:rPr>
      </w:pPr>
    </w:p>
    <w:p w:rsidR="006E7A70" w:rsidRDefault="006E7A70" w:rsidP="0055390E">
      <w:pPr>
        <w:pStyle w:val="Zkladntext"/>
        <w:spacing w:line="360" w:lineRule="auto"/>
        <w:rPr>
          <w:rFonts w:ascii="Times New Roman" w:hAnsi="Times New Roman" w:cs="Times New Roman"/>
          <w:b w:val="0"/>
          <w:bCs w:val="0"/>
          <w:sz w:val="24"/>
          <w:lang w:val="cs-CZ"/>
        </w:rPr>
      </w:pPr>
      <w:r>
        <w:rPr>
          <w:rFonts w:ascii="Times New Roman" w:hAnsi="Times New Roman" w:cs="Times New Roman"/>
          <w:b w:val="0"/>
          <w:bCs w:val="0"/>
          <w:sz w:val="24"/>
          <w:lang w:val="cs-CZ"/>
        </w:rPr>
        <w:t>Velikosti balení:</w:t>
      </w:r>
    </w:p>
    <w:p w:rsidR="006E7A70" w:rsidRDefault="006E7A70" w:rsidP="0055390E">
      <w:pPr>
        <w:pStyle w:val="Zkladntext"/>
        <w:spacing w:line="360" w:lineRule="auto"/>
        <w:rPr>
          <w:rFonts w:ascii="Times New Roman" w:hAnsi="Times New Roman" w:cs="Times New Roman"/>
          <w:b w:val="0"/>
          <w:bCs w:val="0"/>
          <w:sz w:val="24"/>
          <w:lang w:val="cs-CZ"/>
        </w:rPr>
      </w:pPr>
      <w:r>
        <w:rPr>
          <w:rFonts w:ascii="Times New Roman" w:hAnsi="Times New Roman" w:cs="Times New Roman"/>
          <w:b w:val="0"/>
          <w:bCs w:val="0"/>
          <w:sz w:val="24"/>
          <w:lang w:val="cs-CZ"/>
        </w:rPr>
        <w:t>1x injekční lahvička o objemu 100 ml v papírové skládačce</w:t>
      </w:r>
    </w:p>
    <w:p w:rsidR="006E7A70" w:rsidRDefault="006E7A70" w:rsidP="0055390E">
      <w:pPr>
        <w:pStyle w:val="Zkladntext"/>
        <w:spacing w:line="360" w:lineRule="auto"/>
        <w:rPr>
          <w:rFonts w:ascii="Times New Roman" w:hAnsi="Times New Roman" w:cs="Times New Roman"/>
          <w:b w:val="0"/>
          <w:bCs w:val="0"/>
          <w:sz w:val="24"/>
          <w:lang w:val="cs-CZ"/>
        </w:rPr>
      </w:pPr>
      <w:r>
        <w:rPr>
          <w:rFonts w:ascii="Times New Roman" w:hAnsi="Times New Roman" w:cs="Times New Roman"/>
          <w:b w:val="0"/>
          <w:bCs w:val="0"/>
          <w:sz w:val="24"/>
          <w:lang w:val="cs-CZ"/>
        </w:rPr>
        <w:t>1x injekční lahvička o objemu 250 ml v papírové skládačce</w:t>
      </w:r>
    </w:p>
    <w:p w:rsidR="006E7A70" w:rsidRPr="0055390E" w:rsidRDefault="006E7A70" w:rsidP="0055390E">
      <w:pPr>
        <w:pStyle w:val="Zkladntext"/>
        <w:spacing w:line="360" w:lineRule="auto"/>
        <w:rPr>
          <w:rFonts w:ascii="Times New Roman" w:hAnsi="Times New Roman" w:cs="Times New Roman"/>
          <w:b w:val="0"/>
          <w:bCs w:val="0"/>
          <w:sz w:val="24"/>
          <w:lang w:val="cs-CZ"/>
        </w:rPr>
      </w:pPr>
      <w:r>
        <w:rPr>
          <w:rFonts w:ascii="Times New Roman" w:hAnsi="Times New Roman" w:cs="Times New Roman"/>
          <w:b w:val="0"/>
          <w:bCs w:val="0"/>
          <w:sz w:val="24"/>
          <w:lang w:val="cs-CZ"/>
        </w:rPr>
        <w:lastRenderedPageBreak/>
        <w:t xml:space="preserve">Na trhu nemusí být všechny velikosti balení. </w:t>
      </w:r>
    </w:p>
    <w:p w:rsidR="000517C4" w:rsidRPr="0055390E" w:rsidRDefault="000517C4" w:rsidP="0055390E">
      <w:pPr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</w:p>
    <w:sectPr w:rsidR="000517C4" w:rsidRPr="00553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D05CE7"/>
    <w:multiLevelType w:val="multilevel"/>
    <w:tmpl w:val="C16610DC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35"/>
  </w:num>
  <w:num w:numId="6">
    <w:abstractNumId w:val="34"/>
  </w:num>
  <w:num w:numId="7">
    <w:abstractNumId w:val="12"/>
  </w:num>
  <w:num w:numId="8">
    <w:abstractNumId w:val="22"/>
  </w:num>
  <w:num w:numId="9">
    <w:abstractNumId w:val="21"/>
  </w:num>
  <w:num w:numId="10">
    <w:abstractNumId w:val="7"/>
  </w:num>
  <w:num w:numId="11">
    <w:abstractNumId w:val="32"/>
  </w:num>
  <w:num w:numId="12">
    <w:abstractNumId w:val="33"/>
  </w:num>
  <w:num w:numId="13">
    <w:abstractNumId w:val="17"/>
  </w:num>
  <w:num w:numId="14">
    <w:abstractNumId w:val="14"/>
  </w:num>
  <w:num w:numId="15">
    <w:abstractNumId w:val="3"/>
  </w:num>
  <w:num w:numId="16">
    <w:abstractNumId w:val="31"/>
  </w:num>
  <w:num w:numId="17">
    <w:abstractNumId w:val="19"/>
  </w:num>
  <w:num w:numId="18">
    <w:abstractNumId w:val="36"/>
  </w:num>
  <w:num w:numId="19">
    <w:abstractNumId w:val="8"/>
  </w:num>
  <w:num w:numId="20">
    <w:abstractNumId w:val="2"/>
  </w:num>
  <w:num w:numId="21">
    <w:abstractNumId w:val="18"/>
  </w:num>
  <w:num w:numId="22">
    <w:abstractNumId w:val="4"/>
  </w:num>
  <w:num w:numId="23">
    <w:abstractNumId w:val="6"/>
  </w:num>
  <w:num w:numId="24">
    <w:abstractNumId w:val="25"/>
  </w:num>
  <w:num w:numId="25">
    <w:abstractNumId w:val="11"/>
  </w:num>
  <w:num w:numId="26">
    <w:abstractNumId w:val="30"/>
  </w:num>
  <w:num w:numId="27">
    <w:abstractNumId w:val="24"/>
  </w:num>
  <w:num w:numId="28">
    <w:abstractNumId w:val="13"/>
  </w:num>
  <w:num w:numId="29">
    <w:abstractNumId w:val="10"/>
  </w:num>
  <w:num w:numId="30">
    <w:abstractNumId w:val="20"/>
  </w:num>
  <w:num w:numId="31">
    <w:abstractNumId w:val="23"/>
  </w:num>
  <w:num w:numId="32">
    <w:abstractNumId w:val="15"/>
  </w:num>
  <w:num w:numId="33">
    <w:abstractNumId w:val="9"/>
  </w:num>
  <w:num w:numId="34">
    <w:abstractNumId w:val="28"/>
  </w:num>
  <w:num w:numId="35">
    <w:abstractNumId w:val="29"/>
  </w:num>
  <w:num w:numId="36">
    <w:abstractNumId w:val="27"/>
  </w:num>
  <w:num w:numId="37">
    <w:abstractNumId w:val="16"/>
  </w:num>
  <w:num w:numId="38">
    <w:abstractNumId w:val="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C4"/>
    <w:rsid w:val="000517C4"/>
    <w:rsid w:val="001756CC"/>
    <w:rsid w:val="001E2E11"/>
    <w:rsid w:val="004B1A6A"/>
    <w:rsid w:val="0055390E"/>
    <w:rsid w:val="00642AE7"/>
    <w:rsid w:val="006E7A70"/>
    <w:rsid w:val="009210CB"/>
    <w:rsid w:val="00930C96"/>
    <w:rsid w:val="00BE4A90"/>
    <w:rsid w:val="00D45582"/>
    <w:rsid w:val="00EB1C7C"/>
    <w:rsid w:val="00EF11C6"/>
    <w:rsid w:val="00F1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  <w:sz w:val="22"/>
      <w:szCs w:val="24"/>
      <w:lang w:val="es-ES" w:eastAsia="es-E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tabs>
        <w:tab w:val="left" w:pos="-720"/>
        <w:tab w:val="left" w:pos="0"/>
      </w:tabs>
      <w:suppressAutoHyphens/>
      <w:jc w:val="both"/>
    </w:pPr>
    <w:rPr>
      <w:snapToGrid w:val="0"/>
      <w:lang w:val="en-GB"/>
    </w:rPr>
  </w:style>
  <w:style w:type="paragraph" w:styleId="Zkladntext">
    <w:name w:val="Body Text"/>
    <w:basedOn w:val="Normln"/>
    <w:pPr>
      <w:tabs>
        <w:tab w:val="left" w:pos="-720"/>
      </w:tabs>
      <w:suppressAutoHyphens/>
      <w:jc w:val="both"/>
    </w:pPr>
    <w:rPr>
      <w:b/>
      <w:bCs/>
      <w:snapToGrid w:val="0"/>
      <w:lang w:val="en-GB"/>
    </w:rPr>
  </w:style>
  <w:style w:type="paragraph" w:customStyle="1" w:styleId="Bullet">
    <w:name w:val="Bullet"/>
    <w:basedOn w:val="Normln"/>
    <w:pPr>
      <w:numPr>
        <w:numId w:val="3"/>
      </w:numPr>
    </w:pPr>
    <w:rPr>
      <w:szCs w:val="20"/>
      <w:lang w:val="cs-CZ" w:eastAsia="en-US"/>
    </w:rPr>
  </w:style>
  <w:style w:type="paragraph" w:customStyle="1" w:styleId="AHeader1">
    <w:name w:val="AHeader 1"/>
    <w:basedOn w:val="Normln"/>
    <w:pPr>
      <w:numPr>
        <w:numId w:val="33"/>
      </w:numPr>
      <w:spacing w:after="120"/>
    </w:pPr>
    <w:rPr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2">
    <w:name w:val="Body Text 2"/>
    <w:basedOn w:val="Normln"/>
    <w:rPr>
      <w:lang w:val="cs-CZ"/>
    </w:rPr>
  </w:style>
  <w:style w:type="paragraph" w:styleId="Zkladntext3">
    <w:name w:val="Body Text 3"/>
    <w:basedOn w:val="Normln"/>
    <w:pPr>
      <w:jc w:val="both"/>
    </w:pPr>
    <w:rPr>
      <w:b/>
      <w:bCs/>
      <w:color w:val="FF0000"/>
    </w:rPr>
  </w:style>
  <w:style w:type="paragraph" w:styleId="Nzev">
    <w:name w:val="Title"/>
    <w:basedOn w:val="Normln"/>
    <w:qFormat/>
    <w:pPr>
      <w:jc w:val="center"/>
    </w:pPr>
    <w:rPr>
      <w:b/>
      <w:sz w:val="28"/>
      <w:szCs w:val="20"/>
      <w:lang w:val="en-GB"/>
    </w:rPr>
  </w:style>
  <w:style w:type="paragraph" w:styleId="Textbubliny">
    <w:name w:val="Balloon Text"/>
    <w:basedOn w:val="Normln"/>
    <w:semiHidden/>
    <w:rsid w:val="001E2E1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B1C7C"/>
    <w:pPr>
      <w:tabs>
        <w:tab w:val="center" w:pos="4252"/>
        <w:tab w:val="right" w:pos="8504"/>
      </w:tabs>
    </w:pPr>
    <w:rPr>
      <w:rFonts w:ascii="Times New Roman" w:hAnsi="Times New Roman" w:cs="Times New Roman"/>
      <w:snapToGrid w:val="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  <w:sz w:val="22"/>
      <w:szCs w:val="24"/>
      <w:lang w:val="es-ES" w:eastAsia="es-E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tabs>
        <w:tab w:val="left" w:pos="-720"/>
        <w:tab w:val="left" w:pos="0"/>
      </w:tabs>
      <w:suppressAutoHyphens/>
      <w:jc w:val="both"/>
    </w:pPr>
    <w:rPr>
      <w:snapToGrid w:val="0"/>
      <w:lang w:val="en-GB"/>
    </w:rPr>
  </w:style>
  <w:style w:type="paragraph" w:styleId="Zkladntext">
    <w:name w:val="Body Text"/>
    <w:basedOn w:val="Normln"/>
    <w:pPr>
      <w:tabs>
        <w:tab w:val="left" w:pos="-720"/>
      </w:tabs>
      <w:suppressAutoHyphens/>
      <w:jc w:val="both"/>
    </w:pPr>
    <w:rPr>
      <w:b/>
      <w:bCs/>
      <w:snapToGrid w:val="0"/>
      <w:lang w:val="en-GB"/>
    </w:rPr>
  </w:style>
  <w:style w:type="paragraph" w:customStyle="1" w:styleId="Bullet">
    <w:name w:val="Bullet"/>
    <w:basedOn w:val="Normln"/>
    <w:pPr>
      <w:numPr>
        <w:numId w:val="3"/>
      </w:numPr>
    </w:pPr>
    <w:rPr>
      <w:szCs w:val="20"/>
      <w:lang w:val="cs-CZ" w:eastAsia="en-US"/>
    </w:rPr>
  </w:style>
  <w:style w:type="paragraph" w:customStyle="1" w:styleId="AHeader1">
    <w:name w:val="AHeader 1"/>
    <w:basedOn w:val="Normln"/>
    <w:pPr>
      <w:numPr>
        <w:numId w:val="33"/>
      </w:numPr>
      <w:spacing w:after="120"/>
    </w:pPr>
    <w:rPr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2">
    <w:name w:val="Body Text 2"/>
    <w:basedOn w:val="Normln"/>
    <w:rPr>
      <w:lang w:val="cs-CZ"/>
    </w:rPr>
  </w:style>
  <w:style w:type="paragraph" w:styleId="Zkladntext3">
    <w:name w:val="Body Text 3"/>
    <w:basedOn w:val="Normln"/>
    <w:pPr>
      <w:jc w:val="both"/>
    </w:pPr>
    <w:rPr>
      <w:b/>
      <w:bCs/>
      <w:color w:val="FF0000"/>
    </w:rPr>
  </w:style>
  <w:style w:type="paragraph" w:styleId="Nzev">
    <w:name w:val="Title"/>
    <w:basedOn w:val="Normln"/>
    <w:qFormat/>
    <w:pPr>
      <w:jc w:val="center"/>
    </w:pPr>
    <w:rPr>
      <w:b/>
      <w:sz w:val="28"/>
      <w:szCs w:val="20"/>
      <w:lang w:val="en-GB"/>
    </w:rPr>
  </w:style>
  <w:style w:type="paragraph" w:styleId="Textbubliny">
    <w:name w:val="Balloon Text"/>
    <w:basedOn w:val="Normln"/>
    <w:semiHidden/>
    <w:rsid w:val="001E2E1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B1C7C"/>
    <w:pPr>
      <w:tabs>
        <w:tab w:val="center" w:pos="4252"/>
        <w:tab w:val="right" w:pos="8504"/>
      </w:tabs>
    </w:pPr>
    <w:rPr>
      <w:rFonts w:ascii="Times New Roman" w:hAnsi="Times New Roman" w:cs="Times New Roman"/>
      <w:snapToGrid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PŘÍBALOVÁ INFORMACE</vt:lpstr>
    </vt:vector>
  </TitlesOfParts>
  <Company>ÚSKVBL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</dc:title>
  <dc:creator>X.Mercader</dc:creator>
  <cp:lastModifiedBy>Šťastná Hana</cp:lastModifiedBy>
  <cp:revision>5</cp:revision>
  <cp:lastPrinted>2021-07-22T11:55:00Z</cp:lastPrinted>
  <dcterms:created xsi:type="dcterms:W3CDTF">2021-07-14T09:06:00Z</dcterms:created>
  <dcterms:modified xsi:type="dcterms:W3CDTF">2021-07-22T11:55:00Z</dcterms:modified>
</cp:coreProperties>
</file>