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B24EB" w14:textId="77777777" w:rsidR="005E27B6" w:rsidRDefault="005E27B6" w:rsidP="005E27B6">
      <w:pPr>
        <w:tabs>
          <w:tab w:val="clear" w:pos="567"/>
          <w:tab w:val="left" w:pos="708"/>
        </w:tabs>
        <w:ind w:right="-318"/>
        <w:jc w:val="both"/>
        <w:rPr>
          <w:rFonts w:eastAsia="Times New Roman"/>
          <w:szCs w:val="24"/>
          <w:highlight w:val="yellow"/>
          <w:lang w:val="cs-CZ" w:eastAsia="cs-CZ"/>
        </w:rPr>
      </w:pPr>
    </w:p>
    <w:p w14:paraId="674BE44C" w14:textId="77777777" w:rsidR="009F67BD" w:rsidRDefault="009F67BD" w:rsidP="009F67BD">
      <w:pPr>
        <w:jc w:val="center"/>
        <w:outlineLvl w:val="0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PŘÍBALOVÁ INFORMACE</w:t>
      </w:r>
    </w:p>
    <w:p w14:paraId="65823869" w14:textId="77777777" w:rsidR="009F67BD" w:rsidRDefault="009F67BD" w:rsidP="009F67BD">
      <w:pPr>
        <w:rPr>
          <w:sz w:val="22"/>
          <w:szCs w:val="22"/>
          <w:lang w:val="cs-CZ"/>
        </w:rPr>
      </w:pPr>
    </w:p>
    <w:p w14:paraId="4FBAF733" w14:textId="77777777" w:rsidR="009F67BD" w:rsidRDefault="009F67BD" w:rsidP="009F67BD">
      <w:pPr>
        <w:pStyle w:val="spc2"/>
        <w:ind w:left="0"/>
        <w:jc w:val="center"/>
        <w:rPr>
          <w:b/>
          <w:szCs w:val="22"/>
          <w:lang w:val="cs-CZ"/>
        </w:rPr>
      </w:pPr>
      <w:proofErr w:type="spellStart"/>
      <w:r>
        <w:rPr>
          <w:b/>
          <w:szCs w:val="22"/>
          <w:lang w:val="cs-CZ"/>
        </w:rPr>
        <w:t>Porcilis</w:t>
      </w:r>
      <w:proofErr w:type="spellEnd"/>
      <w:r>
        <w:rPr>
          <w:b/>
          <w:szCs w:val="22"/>
          <w:lang w:val="cs-CZ"/>
        </w:rPr>
        <w:t xml:space="preserve"> </w:t>
      </w:r>
      <w:proofErr w:type="spellStart"/>
      <w:r>
        <w:rPr>
          <w:b/>
          <w:szCs w:val="22"/>
          <w:lang w:val="cs-CZ"/>
        </w:rPr>
        <w:t>Ery+Parvo+Lepto</w:t>
      </w:r>
      <w:proofErr w:type="spellEnd"/>
      <w:r>
        <w:rPr>
          <w:b/>
          <w:szCs w:val="22"/>
          <w:lang w:val="cs-CZ"/>
        </w:rPr>
        <w:t xml:space="preserve">  injekční suspenze pro prasata</w:t>
      </w:r>
    </w:p>
    <w:p w14:paraId="52AA3E50" w14:textId="77777777" w:rsidR="009F67BD" w:rsidRDefault="009F67BD" w:rsidP="009F67BD">
      <w:pPr>
        <w:jc w:val="center"/>
        <w:outlineLvl w:val="0"/>
        <w:rPr>
          <w:b/>
          <w:sz w:val="22"/>
          <w:szCs w:val="22"/>
          <w:lang w:val="cs-CZ"/>
        </w:rPr>
      </w:pPr>
    </w:p>
    <w:p w14:paraId="68255448" w14:textId="77777777" w:rsidR="009F67BD" w:rsidRDefault="009F67BD" w:rsidP="009F67BD">
      <w:pPr>
        <w:rPr>
          <w:sz w:val="22"/>
          <w:szCs w:val="22"/>
          <w:lang w:val="cs-CZ"/>
        </w:rPr>
      </w:pPr>
    </w:p>
    <w:p w14:paraId="7B1F4A76" w14:textId="77777777" w:rsidR="009F67BD" w:rsidRDefault="009F67BD" w:rsidP="009F67BD">
      <w:pPr>
        <w:pStyle w:val="spc1"/>
        <w:rPr>
          <w:szCs w:val="22"/>
          <w:lang w:val="cs-CZ"/>
        </w:rPr>
      </w:pPr>
      <w:r>
        <w:rPr>
          <w:szCs w:val="22"/>
          <w:highlight w:val="lightGray"/>
          <w:lang w:val="cs-CZ"/>
        </w:rPr>
        <w:t>1.</w:t>
      </w:r>
      <w:r>
        <w:rPr>
          <w:szCs w:val="22"/>
          <w:lang w:val="cs-CZ"/>
        </w:rPr>
        <w:tab/>
        <w:t>JMÉNO A ADRESA DRŽITELE ROZHODNUTÍ O REGISTRACI A DRŽITELE POVOLENÍ K VÝROBĚ ODPOVĚDNÉHO ZA UVOLNĚNÍ ŠARŽE, POKUD SE NESHODUJE</w:t>
      </w:r>
    </w:p>
    <w:p w14:paraId="7A7877D1" w14:textId="77777777" w:rsidR="009F67BD" w:rsidRDefault="009F67BD" w:rsidP="009F67BD">
      <w:pPr>
        <w:pStyle w:val="spc1"/>
        <w:rPr>
          <w:szCs w:val="22"/>
          <w:lang w:val="cs-CZ"/>
        </w:rPr>
      </w:pPr>
    </w:p>
    <w:p w14:paraId="7A997CF1" w14:textId="77777777" w:rsidR="009F67BD" w:rsidRDefault="009F67BD" w:rsidP="009F67BD">
      <w:pPr>
        <w:pStyle w:val="spc1"/>
        <w:rPr>
          <w:b w:val="0"/>
          <w:iCs/>
          <w:szCs w:val="22"/>
          <w:u w:val="single"/>
          <w:lang w:val="cs-CZ"/>
        </w:rPr>
      </w:pPr>
      <w:r>
        <w:rPr>
          <w:b w:val="0"/>
          <w:iCs/>
          <w:szCs w:val="22"/>
          <w:u w:val="single"/>
          <w:lang w:val="cs-CZ"/>
        </w:rPr>
        <w:t>Držitel rozhodnutí o registraci a výrobce odpovědný za uvolnění šarže:</w:t>
      </w:r>
    </w:p>
    <w:p w14:paraId="6D5B18AB" w14:textId="77777777" w:rsidR="009F67BD" w:rsidRDefault="009F67BD" w:rsidP="009F67BD">
      <w:pPr>
        <w:pStyle w:val="spc1"/>
        <w:rPr>
          <w:b w:val="0"/>
          <w:szCs w:val="22"/>
          <w:lang w:val="cs-CZ"/>
        </w:rPr>
      </w:pPr>
      <w:proofErr w:type="spellStart"/>
      <w:r>
        <w:rPr>
          <w:b w:val="0"/>
          <w:szCs w:val="22"/>
          <w:lang w:val="cs-CZ"/>
        </w:rPr>
        <w:t>Intervet</w:t>
      </w:r>
      <w:proofErr w:type="spellEnd"/>
      <w:r>
        <w:rPr>
          <w:b w:val="0"/>
          <w:szCs w:val="22"/>
          <w:lang w:val="cs-CZ"/>
        </w:rPr>
        <w:t xml:space="preserve"> International BV</w:t>
      </w:r>
    </w:p>
    <w:p w14:paraId="5ACE4058" w14:textId="77777777" w:rsidR="009F67BD" w:rsidRDefault="009F67BD" w:rsidP="009F67BD">
      <w:pPr>
        <w:pStyle w:val="spc1"/>
        <w:rPr>
          <w:b w:val="0"/>
          <w:szCs w:val="22"/>
          <w:lang w:val="cs-CZ"/>
        </w:rPr>
      </w:pPr>
      <w:proofErr w:type="spellStart"/>
      <w:r>
        <w:rPr>
          <w:b w:val="0"/>
          <w:szCs w:val="22"/>
          <w:lang w:val="cs-CZ"/>
        </w:rPr>
        <w:t>Wim</w:t>
      </w:r>
      <w:proofErr w:type="spellEnd"/>
      <w:r>
        <w:rPr>
          <w:b w:val="0"/>
          <w:szCs w:val="22"/>
          <w:lang w:val="cs-CZ"/>
        </w:rPr>
        <w:t xml:space="preserve"> de </w:t>
      </w:r>
      <w:proofErr w:type="spellStart"/>
      <w:r>
        <w:rPr>
          <w:b w:val="0"/>
          <w:szCs w:val="22"/>
          <w:lang w:val="cs-CZ"/>
        </w:rPr>
        <w:t>Körverstraat</w:t>
      </w:r>
      <w:proofErr w:type="spellEnd"/>
      <w:r>
        <w:rPr>
          <w:b w:val="0"/>
          <w:szCs w:val="22"/>
          <w:lang w:val="cs-CZ"/>
        </w:rPr>
        <w:t xml:space="preserve"> 35</w:t>
      </w:r>
    </w:p>
    <w:p w14:paraId="35876349" w14:textId="77777777" w:rsidR="009F67BD" w:rsidRDefault="009F67BD" w:rsidP="009F67BD">
      <w:pPr>
        <w:pStyle w:val="spc1"/>
        <w:rPr>
          <w:b w:val="0"/>
          <w:szCs w:val="22"/>
          <w:lang w:val="cs-CZ"/>
        </w:rPr>
      </w:pPr>
      <w:r>
        <w:rPr>
          <w:b w:val="0"/>
          <w:szCs w:val="22"/>
          <w:lang w:val="cs-CZ"/>
        </w:rPr>
        <w:t xml:space="preserve">5831 AN </w:t>
      </w:r>
      <w:proofErr w:type="spellStart"/>
      <w:r>
        <w:rPr>
          <w:b w:val="0"/>
          <w:szCs w:val="22"/>
          <w:lang w:val="cs-CZ"/>
        </w:rPr>
        <w:t>Boxmeer</w:t>
      </w:r>
      <w:proofErr w:type="spellEnd"/>
    </w:p>
    <w:p w14:paraId="25F8AFE7" w14:textId="77777777" w:rsidR="009F67BD" w:rsidRDefault="009F67BD" w:rsidP="009F67BD">
      <w:pPr>
        <w:pStyle w:val="spc1"/>
        <w:rPr>
          <w:b w:val="0"/>
          <w:szCs w:val="22"/>
          <w:lang w:val="cs-CZ"/>
        </w:rPr>
      </w:pPr>
      <w:r>
        <w:rPr>
          <w:b w:val="0"/>
          <w:szCs w:val="22"/>
          <w:lang w:val="cs-CZ"/>
        </w:rPr>
        <w:t>Nizozemsko</w:t>
      </w:r>
    </w:p>
    <w:p w14:paraId="5080F63A" w14:textId="77777777" w:rsidR="009F67BD" w:rsidRDefault="009F67BD" w:rsidP="009F67BD">
      <w:pPr>
        <w:pStyle w:val="spc1"/>
        <w:rPr>
          <w:b w:val="0"/>
          <w:szCs w:val="22"/>
          <w:lang w:val="cs-CZ"/>
        </w:rPr>
      </w:pPr>
    </w:p>
    <w:p w14:paraId="7E72E995" w14:textId="77777777" w:rsidR="009F67BD" w:rsidRDefault="009F67BD" w:rsidP="009F67BD">
      <w:pPr>
        <w:pStyle w:val="spc1"/>
        <w:rPr>
          <w:szCs w:val="22"/>
          <w:lang w:val="cs-CZ"/>
        </w:rPr>
      </w:pPr>
      <w:r>
        <w:rPr>
          <w:szCs w:val="22"/>
          <w:highlight w:val="lightGray"/>
          <w:lang w:val="cs-CZ"/>
        </w:rPr>
        <w:t>2.</w:t>
      </w:r>
      <w:r>
        <w:rPr>
          <w:szCs w:val="22"/>
          <w:lang w:val="cs-CZ"/>
        </w:rPr>
        <w:tab/>
        <w:t>NÁZEV VETERINÁRNÍHO LÉČIVÉHO PŘÍPRAVKU</w:t>
      </w:r>
    </w:p>
    <w:p w14:paraId="1977E328" w14:textId="77777777" w:rsidR="009F67BD" w:rsidRDefault="009F67BD" w:rsidP="009F67BD">
      <w:pPr>
        <w:pStyle w:val="spc2"/>
        <w:ind w:left="0"/>
        <w:rPr>
          <w:szCs w:val="22"/>
          <w:lang w:val="cs-CZ"/>
        </w:rPr>
      </w:pPr>
    </w:p>
    <w:p w14:paraId="275229E8" w14:textId="77777777" w:rsidR="009F67BD" w:rsidRDefault="009F67BD" w:rsidP="009F67BD">
      <w:pPr>
        <w:pStyle w:val="spc2"/>
        <w:ind w:left="0"/>
        <w:rPr>
          <w:szCs w:val="22"/>
          <w:lang w:val="cs-CZ"/>
        </w:rPr>
      </w:pPr>
      <w:proofErr w:type="spellStart"/>
      <w:r>
        <w:rPr>
          <w:szCs w:val="22"/>
          <w:lang w:val="cs-CZ"/>
        </w:rPr>
        <w:t>Porcilis</w:t>
      </w:r>
      <w:proofErr w:type="spellEnd"/>
      <w:r>
        <w:rPr>
          <w:szCs w:val="22"/>
          <w:lang w:val="cs-CZ"/>
        </w:rPr>
        <w:t xml:space="preserve"> </w:t>
      </w:r>
      <w:proofErr w:type="spellStart"/>
      <w:r>
        <w:rPr>
          <w:szCs w:val="22"/>
          <w:lang w:val="cs-CZ"/>
        </w:rPr>
        <w:t>Ery+Parvo+Lepto</w:t>
      </w:r>
      <w:proofErr w:type="spellEnd"/>
      <w:r>
        <w:rPr>
          <w:szCs w:val="22"/>
          <w:lang w:val="cs-CZ"/>
        </w:rPr>
        <w:t xml:space="preserve">  injekční suspenze pro prasata</w:t>
      </w:r>
    </w:p>
    <w:p w14:paraId="161E81D9" w14:textId="77777777" w:rsidR="009F67BD" w:rsidRDefault="009F67BD" w:rsidP="009F67BD">
      <w:pPr>
        <w:pStyle w:val="spc2"/>
        <w:rPr>
          <w:szCs w:val="22"/>
          <w:lang w:val="cs-CZ"/>
        </w:rPr>
      </w:pPr>
    </w:p>
    <w:p w14:paraId="2B683022" w14:textId="77777777" w:rsidR="009F67BD" w:rsidRDefault="009F67BD" w:rsidP="009F67BD">
      <w:pPr>
        <w:pStyle w:val="spc1"/>
        <w:rPr>
          <w:szCs w:val="22"/>
          <w:lang w:val="cs-CZ"/>
        </w:rPr>
      </w:pPr>
      <w:r>
        <w:rPr>
          <w:szCs w:val="22"/>
          <w:highlight w:val="lightGray"/>
          <w:lang w:val="cs-CZ"/>
        </w:rPr>
        <w:t>3.</w:t>
      </w:r>
      <w:r>
        <w:rPr>
          <w:szCs w:val="22"/>
          <w:lang w:val="cs-CZ"/>
        </w:rPr>
        <w:tab/>
        <w:t>OBSAH LÉČIVÝCH A OSTATNÍCH LÁTEK</w:t>
      </w:r>
    </w:p>
    <w:p w14:paraId="570B5B12" w14:textId="77777777" w:rsidR="009F67BD" w:rsidRDefault="009F67BD" w:rsidP="009F67BD">
      <w:pPr>
        <w:pStyle w:val="spc2"/>
        <w:ind w:left="0"/>
        <w:rPr>
          <w:szCs w:val="22"/>
          <w:lang w:val="cs-CZ"/>
        </w:rPr>
      </w:pPr>
    </w:p>
    <w:p w14:paraId="69B1AFC2" w14:textId="77777777" w:rsidR="009F67BD" w:rsidRDefault="009F67BD" w:rsidP="009F67BD">
      <w:pPr>
        <w:pStyle w:val="spc2"/>
        <w:ind w:left="0"/>
        <w:rPr>
          <w:szCs w:val="22"/>
          <w:lang w:val="cs-CZ"/>
        </w:rPr>
      </w:pPr>
      <w:r>
        <w:rPr>
          <w:szCs w:val="22"/>
          <w:lang w:val="cs-CZ"/>
        </w:rPr>
        <w:t>Každá dávka 2 ml obsahuje:</w:t>
      </w:r>
    </w:p>
    <w:p w14:paraId="60B086BB" w14:textId="77777777" w:rsidR="009F67BD" w:rsidRDefault="009F67BD" w:rsidP="009F67BD">
      <w:pPr>
        <w:pStyle w:val="spc2"/>
        <w:ind w:left="0"/>
        <w:outlineLvl w:val="0"/>
        <w:rPr>
          <w:szCs w:val="22"/>
          <w:lang w:val="cs-CZ"/>
        </w:rPr>
      </w:pPr>
    </w:p>
    <w:p w14:paraId="6F2DAB4B" w14:textId="77777777" w:rsidR="009F67BD" w:rsidRDefault="009F67BD" w:rsidP="009F67BD">
      <w:pPr>
        <w:pStyle w:val="spc2"/>
        <w:ind w:left="0"/>
        <w:outlineLvl w:val="0"/>
        <w:rPr>
          <w:b/>
          <w:szCs w:val="22"/>
          <w:lang w:val="cs-CZ"/>
        </w:rPr>
      </w:pPr>
      <w:r>
        <w:rPr>
          <w:b/>
          <w:szCs w:val="22"/>
          <w:lang w:val="cs-CZ"/>
        </w:rPr>
        <w:t>Léčivé látky:</w:t>
      </w:r>
    </w:p>
    <w:p w14:paraId="461143A6" w14:textId="77777777" w:rsidR="009F67BD" w:rsidRDefault="009F67BD" w:rsidP="009F67BD">
      <w:pPr>
        <w:pStyle w:val="spc2"/>
        <w:ind w:left="0"/>
        <w:outlineLvl w:val="0"/>
        <w:rPr>
          <w:spacing w:val="-2"/>
          <w:szCs w:val="22"/>
          <w:lang w:val="cs-CZ"/>
        </w:rPr>
      </w:pPr>
      <w:r>
        <w:rPr>
          <w:spacing w:val="-2"/>
          <w:szCs w:val="22"/>
          <w:lang w:val="cs-CZ"/>
        </w:rPr>
        <w:t xml:space="preserve">Inaktivované kmeny:    </w:t>
      </w:r>
    </w:p>
    <w:p w14:paraId="1F5D0442" w14:textId="77777777" w:rsidR="009F67BD" w:rsidRDefault="009F67BD" w:rsidP="009F67BD">
      <w:pPr>
        <w:pStyle w:val="spc2"/>
        <w:ind w:left="0"/>
        <w:outlineLvl w:val="0"/>
        <w:rPr>
          <w:szCs w:val="22"/>
          <w:lang w:val="cs-CZ"/>
        </w:rPr>
      </w:pPr>
      <w:proofErr w:type="spellStart"/>
      <w:r>
        <w:rPr>
          <w:rFonts w:cs="Arial"/>
          <w:i/>
          <w:szCs w:val="22"/>
          <w:lang w:val="en-GB"/>
        </w:rPr>
        <w:t>Erysipelothrix</w:t>
      </w:r>
      <w:proofErr w:type="spellEnd"/>
      <w:r>
        <w:rPr>
          <w:i/>
          <w:szCs w:val="22"/>
          <w:lang w:val="en-GB"/>
        </w:rPr>
        <w:t xml:space="preserve"> </w:t>
      </w:r>
      <w:proofErr w:type="spellStart"/>
      <w:r>
        <w:rPr>
          <w:i/>
          <w:spacing w:val="-2"/>
          <w:szCs w:val="22"/>
          <w:lang w:val="cs-CZ"/>
        </w:rPr>
        <w:t>rhusiopathiae</w:t>
      </w:r>
      <w:proofErr w:type="spellEnd"/>
      <w:r>
        <w:rPr>
          <w:spacing w:val="-2"/>
          <w:szCs w:val="22"/>
          <w:lang w:val="cs-CZ"/>
        </w:rPr>
        <w:t xml:space="preserve">, sérotyp 2 (kmen M2)                                                          </w:t>
      </w:r>
      <w:r>
        <w:rPr>
          <w:lang w:val="cs-CZ"/>
        </w:rPr>
        <w:sym w:font="Symbol" w:char="F0B3"/>
      </w:r>
      <w:r>
        <w:rPr>
          <w:color w:val="000000"/>
          <w:szCs w:val="22"/>
          <w:lang w:val="cs-CZ"/>
        </w:rPr>
        <w:t xml:space="preserve"> 1 ppd</w:t>
      </w:r>
      <w:r>
        <w:rPr>
          <w:vertAlign w:val="superscript"/>
          <w:lang w:val="cs-CZ"/>
        </w:rPr>
        <w:t>1</w:t>
      </w:r>
    </w:p>
    <w:p w14:paraId="4E79205B" w14:textId="77777777" w:rsidR="009F67BD" w:rsidRDefault="009F67BD" w:rsidP="009F67BD">
      <w:pPr>
        <w:pStyle w:val="spc2"/>
        <w:ind w:left="0"/>
        <w:rPr>
          <w:vertAlign w:val="superscript"/>
          <w:lang w:val="cs-CZ"/>
        </w:rPr>
      </w:pPr>
      <w:proofErr w:type="spellStart"/>
      <w:r>
        <w:rPr>
          <w:iCs/>
          <w:szCs w:val="22"/>
          <w:lang w:val="cs-CZ"/>
        </w:rPr>
        <w:t>Parvovirus</w:t>
      </w:r>
      <w:proofErr w:type="spellEnd"/>
      <w:r>
        <w:rPr>
          <w:iCs/>
          <w:szCs w:val="22"/>
          <w:lang w:val="cs-CZ"/>
        </w:rPr>
        <w:t xml:space="preserve"> </w:t>
      </w:r>
      <w:proofErr w:type="spellStart"/>
      <w:r>
        <w:rPr>
          <w:iCs/>
          <w:szCs w:val="22"/>
          <w:lang w:val="cs-CZ"/>
        </w:rPr>
        <w:t>suis</w:t>
      </w:r>
      <w:proofErr w:type="spellEnd"/>
      <w:r>
        <w:rPr>
          <w:iCs/>
          <w:szCs w:val="22"/>
          <w:lang w:val="cs-CZ"/>
        </w:rPr>
        <w:t xml:space="preserve"> </w:t>
      </w:r>
      <w:r>
        <w:rPr>
          <w:szCs w:val="22"/>
          <w:lang w:val="cs-CZ"/>
        </w:rPr>
        <w:t xml:space="preserve">(kmen 014)                                     </w:t>
      </w:r>
      <w:r>
        <w:rPr>
          <w:lang w:val="cs-CZ"/>
        </w:rPr>
        <w:t xml:space="preserve">                                                       </w:t>
      </w:r>
      <w:r>
        <w:rPr>
          <w:lang w:val="cs-CZ"/>
        </w:rPr>
        <w:sym w:font="Symbol" w:char="F0B3"/>
      </w:r>
      <w:r>
        <w:rPr>
          <w:lang w:val="cs-CZ"/>
        </w:rPr>
        <w:t xml:space="preserve"> 130 U</w:t>
      </w:r>
      <w:r>
        <w:rPr>
          <w:vertAlign w:val="superscript"/>
          <w:lang w:val="cs-CZ"/>
        </w:rPr>
        <w:t>2</w:t>
      </w:r>
    </w:p>
    <w:p w14:paraId="17DB2EBC" w14:textId="77777777" w:rsidR="009F67BD" w:rsidRDefault="009F67BD" w:rsidP="009F67BD">
      <w:pPr>
        <w:pStyle w:val="spc2"/>
        <w:ind w:left="0"/>
        <w:rPr>
          <w:lang w:val="cs-CZ"/>
        </w:rPr>
      </w:pPr>
      <w:proofErr w:type="spellStart"/>
      <w:r>
        <w:rPr>
          <w:i/>
          <w:szCs w:val="22"/>
        </w:rPr>
        <w:t>Leptospira</w:t>
      </w:r>
      <w:proofErr w:type="spellEnd"/>
      <w:r>
        <w:rPr>
          <w:i/>
          <w:lang w:val="cs-CZ"/>
        </w:rPr>
        <w:t>.</w:t>
      </w:r>
      <w:proofErr w:type="spellStart"/>
      <w:r>
        <w:rPr>
          <w:i/>
          <w:lang w:val="cs-CZ"/>
        </w:rPr>
        <w:t>interrogans</w:t>
      </w:r>
      <w:proofErr w:type="spellEnd"/>
      <w:r>
        <w:rPr>
          <w:lang w:val="cs-CZ"/>
        </w:rPr>
        <w:t xml:space="preserve"> sérová skupina </w:t>
      </w:r>
      <w:proofErr w:type="spellStart"/>
      <w:r>
        <w:rPr>
          <w:lang w:val="cs-CZ"/>
        </w:rPr>
        <w:t>Canicola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sérovar</w:t>
      </w:r>
      <w:proofErr w:type="spellEnd"/>
      <w:r>
        <w:rPr>
          <w:lang w:val="cs-CZ"/>
        </w:rPr>
        <w:t xml:space="preserve"> Portland-</w:t>
      </w:r>
      <w:proofErr w:type="spellStart"/>
      <w:r>
        <w:rPr>
          <w:lang w:val="cs-CZ"/>
        </w:rPr>
        <w:t>Vere</w:t>
      </w:r>
      <w:proofErr w:type="spellEnd"/>
      <w:r>
        <w:rPr>
          <w:lang w:val="cs-CZ"/>
        </w:rPr>
        <w:t xml:space="preserve"> </w:t>
      </w:r>
    </w:p>
    <w:p w14:paraId="4E9C9672" w14:textId="77777777" w:rsidR="009F67BD" w:rsidRDefault="009F67BD" w:rsidP="009F67BD">
      <w:pPr>
        <w:pStyle w:val="spc2"/>
        <w:ind w:left="0"/>
        <w:rPr>
          <w:lang w:val="cs-CZ"/>
        </w:rPr>
      </w:pPr>
      <w:r>
        <w:rPr>
          <w:lang w:val="cs-CZ"/>
        </w:rPr>
        <w:t xml:space="preserve">(kmen Ca-12-000)                                                                                                           </w:t>
      </w:r>
      <w:r>
        <w:rPr>
          <w:lang w:val="cs-CZ"/>
        </w:rPr>
        <w:sym w:font="Symbol" w:char="F0B3"/>
      </w:r>
      <w:r>
        <w:rPr>
          <w:lang w:val="cs-CZ"/>
        </w:rPr>
        <w:t xml:space="preserve"> 2816 U</w:t>
      </w:r>
      <w:r>
        <w:rPr>
          <w:vertAlign w:val="superscript"/>
          <w:lang w:val="cs-CZ"/>
        </w:rPr>
        <w:t>2</w:t>
      </w:r>
    </w:p>
    <w:p w14:paraId="68447D6F" w14:textId="77777777" w:rsidR="009F67BD" w:rsidRDefault="009F67BD" w:rsidP="009F67BD">
      <w:pPr>
        <w:pStyle w:val="spc2"/>
        <w:ind w:left="0"/>
        <w:rPr>
          <w:lang w:val="cs-CZ"/>
        </w:rPr>
      </w:pPr>
      <w:proofErr w:type="spellStart"/>
      <w:r>
        <w:rPr>
          <w:i/>
          <w:szCs w:val="22"/>
        </w:rPr>
        <w:t>Leptospira</w:t>
      </w:r>
      <w:proofErr w:type="spellEnd"/>
      <w:r>
        <w:rPr>
          <w:i/>
          <w:lang w:val="cs-CZ"/>
        </w:rPr>
        <w:t>.</w:t>
      </w:r>
      <w:proofErr w:type="spellStart"/>
      <w:r>
        <w:rPr>
          <w:i/>
          <w:lang w:val="cs-CZ"/>
        </w:rPr>
        <w:t>interrogans</w:t>
      </w:r>
      <w:proofErr w:type="spellEnd"/>
      <w:r>
        <w:rPr>
          <w:lang w:val="cs-CZ"/>
        </w:rPr>
        <w:t xml:space="preserve"> sérová skupina </w:t>
      </w:r>
      <w:proofErr w:type="spellStart"/>
      <w:r>
        <w:rPr>
          <w:lang w:val="cs-CZ"/>
        </w:rPr>
        <w:t>Icterohaemorrhagiae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sérovar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Copenhageni</w:t>
      </w:r>
      <w:proofErr w:type="spellEnd"/>
    </w:p>
    <w:p w14:paraId="268D0C5A" w14:textId="77777777" w:rsidR="009F67BD" w:rsidRDefault="009F67BD" w:rsidP="009F67BD">
      <w:pPr>
        <w:pStyle w:val="spc2"/>
        <w:ind w:left="0"/>
        <w:rPr>
          <w:lang w:val="cs-CZ"/>
        </w:rPr>
      </w:pPr>
      <w:r>
        <w:rPr>
          <w:lang w:val="cs-CZ"/>
        </w:rPr>
        <w:t xml:space="preserve">(kmen Ic-02-001)                                                                                                            </w:t>
      </w:r>
      <w:r>
        <w:rPr>
          <w:lang w:val="cs-CZ"/>
        </w:rPr>
        <w:sym w:font="Symbol" w:char="F0B3"/>
      </w:r>
      <w:r>
        <w:rPr>
          <w:lang w:val="cs-CZ"/>
        </w:rPr>
        <w:t xml:space="preserve"> 210 U</w:t>
      </w:r>
      <w:r>
        <w:rPr>
          <w:vertAlign w:val="superscript"/>
          <w:lang w:val="cs-CZ"/>
        </w:rPr>
        <w:t>2</w:t>
      </w:r>
    </w:p>
    <w:p w14:paraId="0C1FAA4C" w14:textId="77777777" w:rsidR="009F67BD" w:rsidRDefault="009F67BD" w:rsidP="009F67BD">
      <w:pPr>
        <w:pStyle w:val="spc2"/>
        <w:ind w:left="0"/>
        <w:outlineLvl w:val="0"/>
        <w:rPr>
          <w:lang w:val="cs-CZ"/>
        </w:rPr>
      </w:pPr>
      <w:proofErr w:type="spellStart"/>
      <w:r>
        <w:rPr>
          <w:i/>
          <w:szCs w:val="22"/>
        </w:rPr>
        <w:t>Leptospira</w:t>
      </w:r>
      <w:proofErr w:type="spellEnd"/>
      <w:r>
        <w:rPr>
          <w:i/>
          <w:lang w:val="cs-CZ"/>
        </w:rPr>
        <w:t>.</w:t>
      </w:r>
      <w:proofErr w:type="spellStart"/>
      <w:r>
        <w:rPr>
          <w:i/>
          <w:lang w:val="cs-CZ"/>
        </w:rPr>
        <w:t>interrogans</w:t>
      </w:r>
      <w:proofErr w:type="spellEnd"/>
      <w:r>
        <w:rPr>
          <w:lang w:val="cs-CZ"/>
        </w:rPr>
        <w:t xml:space="preserve"> sérová skupina </w:t>
      </w:r>
      <w:proofErr w:type="spellStart"/>
      <w:r>
        <w:rPr>
          <w:lang w:val="cs-CZ"/>
        </w:rPr>
        <w:t>Australis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sérovar</w:t>
      </w:r>
      <w:proofErr w:type="spellEnd"/>
      <w:r>
        <w:rPr>
          <w:lang w:val="cs-CZ"/>
        </w:rPr>
        <w:t xml:space="preserve"> Bratislava </w:t>
      </w:r>
    </w:p>
    <w:p w14:paraId="35D4D1AB" w14:textId="77777777" w:rsidR="009F67BD" w:rsidRDefault="009F67BD" w:rsidP="009F67BD">
      <w:pPr>
        <w:pStyle w:val="spc2"/>
        <w:ind w:left="0"/>
        <w:outlineLvl w:val="0"/>
        <w:rPr>
          <w:lang w:val="cs-CZ"/>
        </w:rPr>
      </w:pPr>
      <w:r>
        <w:rPr>
          <w:lang w:val="cs-CZ"/>
        </w:rPr>
        <w:t xml:space="preserve">(kmen As-05-073)                                                                                                           </w:t>
      </w:r>
      <w:r>
        <w:rPr>
          <w:lang w:val="cs-CZ"/>
        </w:rPr>
        <w:sym w:font="Symbol" w:char="F0B3"/>
      </w:r>
      <w:r>
        <w:rPr>
          <w:lang w:val="cs-CZ"/>
        </w:rPr>
        <w:t xml:space="preserve"> 1310 U</w:t>
      </w:r>
      <w:r>
        <w:rPr>
          <w:vertAlign w:val="superscript"/>
          <w:lang w:val="cs-CZ"/>
        </w:rPr>
        <w:t>2</w:t>
      </w:r>
    </w:p>
    <w:p w14:paraId="407C5F78" w14:textId="77777777" w:rsidR="009F67BD" w:rsidRDefault="009F67BD" w:rsidP="009F67BD">
      <w:pPr>
        <w:pStyle w:val="spc2"/>
        <w:ind w:left="0"/>
        <w:outlineLvl w:val="0"/>
        <w:rPr>
          <w:spacing w:val="-2"/>
          <w:szCs w:val="22"/>
          <w:lang w:val="cs-CZ"/>
        </w:rPr>
      </w:pPr>
      <w:proofErr w:type="spellStart"/>
      <w:r>
        <w:rPr>
          <w:i/>
          <w:szCs w:val="22"/>
        </w:rPr>
        <w:t>Leptospira</w:t>
      </w:r>
      <w:proofErr w:type="spellEnd"/>
      <w:r>
        <w:rPr>
          <w:i/>
          <w:spacing w:val="-2"/>
          <w:szCs w:val="22"/>
          <w:lang w:val="cs-CZ"/>
        </w:rPr>
        <w:t xml:space="preserve">. </w:t>
      </w:r>
      <w:proofErr w:type="spellStart"/>
      <w:r>
        <w:rPr>
          <w:i/>
          <w:spacing w:val="-2"/>
          <w:szCs w:val="22"/>
          <w:lang w:val="cs-CZ"/>
        </w:rPr>
        <w:t>kirschneri</w:t>
      </w:r>
      <w:proofErr w:type="spellEnd"/>
      <w:r>
        <w:rPr>
          <w:spacing w:val="-2"/>
          <w:szCs w:val="22"/>
          <w:lang w:val="cs-CZ"/>
        </w:rPr>
        <w:t xml:space="preserve"> sérová skupina </w:t>
      </w:r>
      <w:proofErr w:type="spellStart"/>
      <w:r>
        <w:rPr>
          <w:spacing w:val="-2"/>
          <w:szCs w:val="22"/>
          <w:lang w:val="cs-CZ"/>
        </w:rPr>
        <w:t>Grippotyphosa</w:t>
      </w:r>
      <w:proofErr w:type="spellEnd"/>
      <w:r>
        <w:rPr>
          <w:spacing w:val="-2"/>
          <w:szCs w:val="22"/>
          <w:lang w:val="cs-CZ"/>
        </w:rPr>
        <w:t xml:space="preserve"> </w:t>
      </w:r>
      <w:proofErr w:type="spellStart"/>
      <w:r>
        <w:rPr>
          <w:spacing w:val="-2"/>
          <w:szCs w:val="22"/>
          <w:lang w:val="cs-CZ"/>
        </w:rPr>
        <w:t>sérovar</w:t>
      </w:r>
      <w:proofErr w:type="spellEnd"/>
      <w:r>
        <w:rPr>
          <w:spacing w:val="-2"/>
          <w:szCs w:val="22"/>
          <w:lang w:val="cs-CZ"/>
        </w:rPr>
        <w:t xml:space="preserve"> </w:t>
      </w:r>
      <w:proofErr w:type="spellStart"/>
      <w:r>
        <w:rPr>
          <w:spacing w:val="-2"/>
          <w:szCs w:val="22"/>
          <w:lang w:val="cs-CZ"/>
        </w:rPr>
        <w:t>Dadas</w:t>
      </w:r>
      <w:proofErr w:type="spellEnd"/>
      <w:r>
        <w:rPr>
          <w:spacing w:val="-2"/>
          <w:szCs w:val="22"/>
          <w:lang w:val="cs-CZ"/>
        </w:rPr>
        <w:t xml:space="preserve"> </w:t>
      </w:r>
    </w:p>
    <w:p w14:paraId="7E6749F8" w14:textId="77777777" w:rsidR="009F67BD" w:rsidRDefault="009F67BD" w:rsidP="009F67BD">
      <w:pPr>
        <w:pStyle w:val="spc2"/>
        <w:ind w:left="0"/>
        <w:outlineLvl w:val="0"/>
        <w:rPr>
          <w:spacing w:val="-2"/>
          <w:szCs w:val="22"/>
          <w:lang w:val="cs-CZ"/>
        </w:rPr>
      </w:pPr>
      <w:r>
        <w:rPr>
          <w:spacing w:val="-2"/>
          <w:szCs w:val="22"/>
          <w:lang w:val="cs-CZ"/>
        </w:rPr>
        <w:t xml:space="preserve">(kmen Gr-01-005)                                                                                                                </w:t>
      </w:r>
      <w:r>
        <w:rPr>
          <w:lang w:val="cs-CZ"/>
        </w:rPr>
        <w:sym w:font="Symbol" w:char="F0B3"/>
      </w:r>
      <w:r>
        <w:rPr>
          <w:lang w:val="cs-CZ"/>
        </w:rPr>
        <w:t xml:space="preserve"> 648 U</w:t>
      </w:r>
      <w:r>
        <w:rPr>
          <w:vertAlign w:val="superscript"/>
          <w:lang w:val="cs-CZ"/>
        </w:rPr>
        <w:t>2</w:t>
      </w:r>
    </w:p>
    <w:p w14:paraId="5B8DA4F4" w14:textId="77777777" w:rsidR="009F67BD" w:rsidRDefault="009F67BD" w:rsidP="009F67BD">
      <w:pPr>
        <w:pStyle w:val="spc2"/>
        <w:ind w:left="0"/>
        <w:outlineLvl w:val="0"/>
        <w:rPr>
          <w:lang w:val="cs-CZ"/>
        </w:rPr>
      </w:pPr>
      <w:proofErr w:type="spellStart"/>
      <w:r>
        <w:rPr>
          <w:i/>
          <w:szCs w:val="22"/>
        </w:rPr>
        <w:t>Leptospira</w:t>
      </w:r>
      <w:proofErr w:type="spellEnd"/>
      <w:r>
        <w:rPr>
          <w:i/>
          <w:lang w:val="cs-CZ"/>
        </w:rPr>
        <w:t>.</w:t>
      </w:r>
      <w:proofErr w:type="spellStart"/>
      <w:r>
        <w:rPr>
          <w:i/>
          <w:lang w:val="cs-CZ"/>
        </w:rPr>
        <w:t>interrogans</w:t>
      </w:r>
      <w:proofErr w:type="spellEnd"/>
      <w:r>
        <w:rPr>
          <w:lang w:val="cs-CZ"/>
        </w:rPr>
        <w:t xml:space="preserve"> sérová skupina </w:t>
      </w:r>
      <w:proofErr w:type="spellStart"/>
      <w:r>
        <w:rPr>
          <w:lang w:val="cs-CZ"/>
        </w:rPr>
        <w:t>Pomona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sérovar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Pomona</w:t>
      </w:r>
      <w:proofErr w:type="spellEnd"/>
      <w:r>
        <w:rPr>
          <w:lang w:val="cs-CZ"/>
        </w:rPr>
        <w:t xml:space="preserve"> </w:t>
      </w:r>
    </w:p>
    <w:p w14:paraId="63FE1A34" w14:textId="77777777" w:rsidR="009F67BD" w:rsidRDefault="009F67BD" w:rsidP="009F67BD">
      <w:pPr>
        <w:pStyle w:val="spc2"/>
        <w:ind w:left="0"/>
        <w:outlineLvl w:val="0"/>
        <w:rPr>
          <w:lang w:val="cs-CZ"/>
        </w:rPr>
      </w:pPr>
      <w:r>
        <w:rPr>
          <w:lang w:val="cs-CZ"/>
        </w:rPr>
        <w:t xml:space="preserve">(kmen Po-01-000)                                                                                                           </w:t>
      </w:r>
      <w:r>
        <w:rPr>
          <w:lang w:val="cs-CZ"/>
        </w:rPr>
        <w:sym w:font="Symbol" w:char="F0B3"/>
      </w:r>
      <w:r>
        <w:rPr>
          <w:lang w:val="cs-CZ"/>
        </w:rPr>
        <w:t xml:space="preserve"> 166 U</w:t>
      </w:r>
      <w:r>
        <w:rPr>
          <w:vertAlign w:val="superscript"/>
          <w:lang w:val="cs-CZ"/>
        </w:rPr>
        <w:t>2</w:t>
      </w:r>
    </w:p>
    <w:p w14:paraId="26401682" w14:textId="77777777" w:rsidR="009F67BD" w:rsidRDefault="009F67BD" w:rsidP="009F67BD">
      <w:pPr>
        <w:pStyle w:val="spc2"/>
        <w:ind w:left="0"/>
        <w:outlineLvl w:val="0"/>
        <w:rPr>
          <w:spacing w:val="-2"/>
          <w:szCs w:val="22"/>
          <w:lang w:val="cs-CZ"/>
        </w:rPr>
      </w:pPr>
      <w:proofErr w:type="spellStart"/>
      <w:r>
        <w:rPr>
          <w:i/>
          <w:szCs w:val="22"/>
        </w:rPr>
        <w:t>Leptospira</w:t>
      </w:r>
      <w:proofErr w:type="spellEnd"/>
      <w:r>
        <w:rPr>
          <w:i/>
          <w:spacing w:val="-2"/>
          <w:szCs w:val="22"/>
          <w:lang w:val="cs-CZ"/>
        </w:rPr>
        <w:t xml:space="preserve"> </w:t>
      </w:r>
      <w:proofErr w:type="spellStart"/>
      <w:r>
        <w:rPr>
          <w:i/>
          <w:spacing w:val="-2"/>
          <w:szCs w:val="22"/>
          <w:lang w:val="cs-CZ"/>
        </w:rPr>
        <w:t>santarosai</w:t>
      </w:r>
      <w:proofErr w:type="spellEnd"/>
      <w:r>
        <w:rPr>
          <w:spacing w:val="-2"/>
          <w:szCs w:val="22"/>
          <w:lang w:val="cs-CZ"/>
        </w:rPr>
        <w:t xml:space="preserve"> sérová skupina </w:t>
      </w:r>
      <w:proofErr w:type="spellStart"/>
      <w:r>
        <w:rPr>
          <w:spacing w:val="-2"/>
          <w:szCs w:val="22"/>
          <w:lang w:val="cs-CZ"/>
        </w:rPr>
        <w:t>Tarassovi</w:t>
      </w:r>
      <w:proofErr w:type="spellEnd"/>
      <w:r>
        <w:rPr>
          <w:spacing w:val="-2"/>
          <w:szCs w:val="22"/>
          <w:lang w:val="cs-CZ"/>
        </w:rPr>
        <w:t xml:space="preserve"> </w:t>
      </w:r>
      <w:proofErr w:type="spellStart"/>
      <w:r>
        <w:rPr>
          <w:spacing w:val="-2"/>
          <w:szCs w:val="22"/>
          <w:lang w:val="cs-CZ"/>
        </w:rPr>
        <w:t>sérovar</w:t>
      </w:r>
      <w:proofErr w:type="spellEnd"/>
      <w:r>
        <w:rPr>
          <w:spacing w:val="-2"/>
          <w:szCs w:val="22"/>
          <w:lang w:val="cs-CZ"/>
        </w:rPr>
        <w:t xml:space="preserve"> </w:t>
      </w:r>
      <w:proofErr w:type="spellStart"/>
      <w:r>
        <w:rPr>
          <w:spacing w:val="-2"/>
          <w:szCs w:val="22"/>
          <w:lang w:val="cs-CZ"/>
        </w:rPr>
        <w:t>Gatuni</w:t>
      </w:r>
      <w:proofErr w:type="spellEnd"/>
      <w:r>
        <w:rPr>
          <w:spacing w:val="-2"/>
          <w:szCs w:val="22"/>
          <w:lang w:val="cs-CZ"/>
        </w:rPr>
        <w:t xml:space="preserve"> </w:t>
      </w:r>
    </w:p>
    <w:p w14:paraId="03AC35FF" w14:textId="77777777" w:rsidR="009F67BD" w:rsidRDefault="009F67BD" w:rsidP="009F67BD">
      <w:pPr>
        <w:pStyle w:val="spc2"/>
        <w:ind w:left="0"/>
        <w:outlineLvl w:val="0"/>
        <w:rPr>
          <w:spacing w:val="-2"/>
          <w:szCs w:val="22"/>
          <w:lang w:val="cs-CZ"/>
        </w:rPr>
      </w:pPr>
      <w:r>
        <w:rPr>
          <w:spacing w:val="-2"/>
          <w:szCs w:val="22"/>
          <w:lang w:val="cs-CZ"/>
        </w:rPr>
        <w:t xml:space="preserve">(kmen S1148/02)                                                                                                                 </w:t>
      </w:r>
      <w:r>
        <w:rPr>
          <w:lang w:val="cs-CZ"/>
        </w:rPr>
        <w:sym w:font="Symbol" w:char="F0B3"/>
      </w:r>
      <w:r>
        <w:rPr>
          <w:lang w:val="cs-CZ"/>
        </w:rPr>
        <w:t xml:space="preserve"> 276 U</w:t>
      </w:r>
      <w:r>
        <w:rPr>
          <w:vertAlign w:val="superscript"/>
          <w:lang w:val="cs-CZ"/>
        </w:rPr>
        <w:t>2</w:t>
      </w:r>
    </w:p>
    <w:p w14:paraId="00A03708" w14:textId="77777777" w:rsidR="009F67BD" w:rsidRDefault="009F67BD" w:rsidP="009F67BD">
      <w:pPr>
        <w:pStyle w:val="spc2"/>
        <w:ind w:left="0"/>
        <w:outlineLvl w:val="0"/>
        <w:rPr>
          <w:b/>
          <w:szCs w:val="22"/>
          <w:lang w:val="cs-CZ"/>
        </w:rPr>
      </w:pPr>
    </w:p>
    <w:p w14:paraId="1D6BD4A6" w14:textId="77777777" w:rsidR="009F67BD" w:rsidRDefault="009F67BD" w:rsidP="009F67BD">
      <w:pPr>
        <w:pStyle w:val="spc2"/>
        <w:ind w:left="0"/>
        <w:outlineLvl w:val="0"/>
        <w:rPr>
          <w:szCs w:val="22"/>
          <w:lang w:val="cs-CZ"/>
        </w:rPr>
      </w:pPr>
      <w:r>
        <w:rPr>
          <w:b/>
          <w:szCs w:val="22"/>
          <w:lang w:val="cs-CZ"/>
        </w:rPr>
        <w:t>Adjuvans:</w:t>
      </w:r>
    </w:p>
    <w:p w14:paraId="4CC99442" w14:textId="77777777" w:rsidR="009F67BD" w:rsidRDefault="009F67BD" w:rsidP="009F67BD">
      <w:pPr>
        <w:pStyle w:val="spc2"/>
        <w:ind w:left="0"/>
        <w:outlineLvl w:val="0"/>
        <w:rPr>
          <w:szCs w:val="22"/>
          <w:lang w:val="cs-CZ"/>
        </w:rPr>
      </w:pPr>
      <w:r>
        <w:rPr>
          <w:szCs w:val="22"/>
          <w:lang w:val="cs-CZ"/>
        </w:rPr>
        <w:t>dl-α-tokoferol acetát</w:t>
      </w:r>
      <w:r>
        <w:rPr>
          <w:szCs w:val="22"/>
          <w:lang w:val="cs-CZ"/>
        </w:rPr>
        <w:tab/>
        <w:t xml:space="preserve">                                                                                               150 mg</w:t>
      </w:r>
    </w:p>
    <w:p w14:paraId="6C4996E8" w14:textId="77777777" w:rsidR="009F67BD" w:rsidRDefault="009F67BD" w:rsidP="009F67BD">
      <w:pPr>
        <w:pStyle w:val="spc2"/>
        <w:ind w:left="0"/>
        <w:outlineLvl w:val="0"/>
        <w:rPr>
          <w:szCs w:val="22"/>
          <w:lang w:val="cs-CZ"/>
        </w:rPr>
      </w:pPr>
    </w:p>
    <w:p w14:paraId="3E422F95" w14:textId="77777777" w:rsidR="009F67BD" w:rsidRDefault="009F67BD" w:rsidP="009F67BD">
      <w:pPr>
        <w:pStyle w:val="spc2"/>
        <w:ind w:left="0"/>
        <w:outlineLvl w:val="0"/>
        <w:rPr>
          <w:szCs w:val="22"/>
          <w:lang w:val="cs-CZ"/>
        </w:rPr>
      </w:pPr>
      <w:r>
        <w:rPr>
          <w:vertAlign w:val="superscript"/>
          <w:lang w:val="cs-CZ"/>
        </w:rPr>
        <w:t xml:space="preserve">1 </w:t>
      </w:r>
      <w:r>
        <w:rPr>
          <w:szCs w:val="22"/>
          <w:lang w:val="cs-CZ"/>
        </w:rPr>
        <w:t>prasata chránící dávka (</w:t>
      </w:r>
      <w:proofErr w:type="spellStart"/>
      <w:r>
        <w:rPr>
          <w:szCs w:val="22"/>
          <w:lang w:val="cs-CZ"/>
        </w:rPr>
        <w:t>pig</w:t>
      </w:r>
      <w:proofErr w:type="spellEnd"/>
      <w:r>
        <w:rPr>
          <w:szCs w:val="22"/>
          <w:lang w:val="cs-CZ"/>
        </w:rPr>
        <w:t xml:space="preserve"> </w:t>
      </w:r>
      <w:proofErr w:type="spellStart"/>
      <w:r>
        <w:rPr>
          <w:szCs w:val="22"/>
          <w:lang w:val="cs-CZ"/>
        </w:rPr>
        <w:t>protective</w:t>
      </w:r>
      <w:proofErr w:type="spellEnd"/>
      <w:r>
        <w:rPr>
          <w:szCs w:val="22"/>
          <w:lang w:val="cs-CZ"/>
        </w:rPr>
        <w:t xml:space="preserve"> dose) v porovnání s referenčním přípravkem, u kterého byla prokázána účinnost u prasat </w:t>
      </w:r>
    </w:p>
    <w:p w14:paraId="0C283DC0" w14:textId="2A55DF1C" w:rsidR="009F67BD" w:rsidRDefault="009F67BD" w:rsidP="009F67BD">
      <w:pPr>
        <w:pStyle w:val="spc2"/>
        <w:ind w:left="0"/>
        <w:outlineLvl w:val="0"/>
        <w:rPr>
          <w:szCs w:val="22"/>
          <w:lang w:val="cs-CZ"/>
        </w:rPr>
      </w:pPr>
      <w:r>
        <w:rPr>
          <w:vertAlign w:val="superscript"/>
          <w:lang w:val="cs-CZ"/>
        </w:rPr>
        <w:t xml:space="preserve">2 </w:t>
      </w:r>
      <w:r>
        <w:rPr>
          <w:szCs w:val="22"/>
          <w:lang w:val="cs-CZ"/>
        </w:rPr>
        <w:t>stanoveno in vitro ELISA testem detekujícím množství antigenu ve zkoušce účinnosti</w:t>
      </w:r>
    </w:p>
    <w:p w14:paraId="3B5CED25" w14:textId="77027237" w:rsidR="00A91492" w:rsidRDefault="00A91492" w:rsidP="009F67BD">
      <w:pPr>
        <w:pStyle w:val="spc2"/>
        <w:ind w:left="0"/>
        <w:outlineLvl w:val="0"/>
        <w:rPr>
          <w:szCs w:val="22"/>
          <w:lang w:val="cs-CZ"/>
        </w:rPr>
      </w:pPr>
    </w:p>
    <w:p w14:paraId="33E496A7" w14:textId="75922605" w:rsidR="00A91492" w:rsidRDefault="00A91492" w:rsidP="009F67BD">
      <w:pPr>
        <w:pStyle w:val="spc2"/>
        <w:ind w:left="0"/>
        <w:outlineLvl w:val="0"/>
        <w:rPr>
          <w:szCs w:val="22"/>
          <w:lang w:val="cs-CZ"/>
        </w:rPr>
      </w:pPr>
      <w:r>
        <w:rPr>
          <w:szCs w:val="22"/>
          <w:lang w:val="cs-CZ"/>
        </w:rPr>
        <w:t>Po protřepání homogenní bílá až téměř bílá suspenze.</w:t>
      </w:r>
    </w:p>
    <w:p w14:paraId="7ED5A153" w14:textId="77777777" w:rsidR="009F67BD" w:rsidRDefault="009F67BD" w:rsidP="009F67BD">
      <w:pPr>
        <w:pStyle w:val="spc2"/>
        <w:rPr>
          <w:szCs w:val="22"/>
          <w:lang w:val="cs-CZ"/>
        </w:rPr>
      </w:pPr>
    </w:p>
    <w:p w14:paraId="649ADE4B" w14:textId="77777777" w:rsidR="009F67BD" w:rsidRDefault="009F67BD" w:rsidP="009F67BD">
      <w:pPr>
        <w:pStyle w:val="spc1"/>
        <w:rPr>
          <w:szCs w:val="22"/>
          <w:lang w:val="cs-CZ"/>
        </w:rPr>
      </w:pPr>
      <w:r>
        <w:rPr>
          <w:szCs w:val="22"/>
          <w:highlight w:val="lightGray"/>
          <w:lang w:val="cs-CZ"/>
        </w:rPr>
        <w:lastRenderedPageBreak/>
        <w:t>4.</w:t>
      </w:r>
      <w:r>
        <w:rPr>
          <w:szCs w:val="22"/>
          <w:lang w:val="cs-CZ"/>
        </w:rPr>
        <w:tab/>
        <w:t>INDIKACE</w:t>
      </w:r>
    </w:p>
    <w:p w14:paraId="244EC7E0" w14:textId="77777777" w:rsidR="009F67BD" w:rsidRDefault="009F67BD" w:rsidP="009F67BD">
      <w:pPr>
        <w:pStyle w:val="spc2"/>
        <w:ind w:left="0"/>
        <w:rPr>
          <w:szCs w:val="22"/>
          <w:lang w:val="cs-CZ"/>
        </w:rPr>
      </w:pPr>
    </w:p>
    <w:p w14:paraId="7D56B40A" w14:textId="77777777" w:rsidR="009F67BD" w:rsidRDefault="009F67BD" w:rsidP="009F67BD">
      <w:pPr>
        <w:pStyle w:val="spc2"/>
        <w:ind w:left="0"/>
        <w:jc w:val="both"/>
        <w:rPr>
          <w:szCs w:val="22"/>
          <w:lang w:val="cs-CZ"/>
        </w:rPr>
      </w:pPr>
      <w:r>
        <w:rPr>
          <w:szCs w:val="22"/>
          <w:lang w:val="cs-CZ"/>
        </w:rPr>
        <w:t>K aktivní imunizaci prasat:</w:t>
      </w:r>
    </w:p>
    <w:p w14:paraId="0245D168" w14:textId="77777777" w:rsidR="009F67BD" w:rsidRDefault="009F67BD" w:rsidP="009F67BD">
      <w:pPr>
        <w:pStyle w:val="spc2"/>
        <w:numPr>
          <w:ilvl w:val="0"/>
          <w:numId w:val="2"/>
        </w:numPr>
        <w:ind w:left="0" w:firstLine="0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pro snížení klinických příznaků červenky prasat (kožních lézí a horečky) způsobených </w:t>
      </w:r>
      <w:proofErr w:type="spellStart"/>
      <w:r>
        <w:rPr>
          <w:rFonts w:cs="Arial"/>
          <w:i/>
          <w:szCs w:val="22"/>
          <w:lang w:val="en-GB"/>
        </w:rPr>
        <w:t>Erysipelothrix</w:t>
      </w:r>
      <w:proofErr w:type="spellEnd"/>
      <w:r>
        <w:rPr>
          <w:rFonts w:cs="Arial"/>
          <w:i/>
          <w:szCs w:val="22"/>
          <w:lang w:val="en-GB"/>
        </w:rPr>
        <w:t xml:space="preserve"> </w:t>
      </w:r>
      <w:r>
        <w:rPr>
          <w:i/>
          <w:szCs w:val="22"/>
          <w:lang w:val="cs-CZ"/>
        </w:rPr>
        <w:t xml:space="preserve"> </w:t>
      </w:r>
      <w:proofErr w:type="spellStart"/>
      <w:r>
        <w:rPr>
          <w:i/>
          <w:szCs w:val="22"/>
          <w:lang w:val="cs-CZ"/>
        </w:rPr>
        <w:t>rhusiopathiae</w:t>
      </w:r>
      <w:proofErr w:type="spellEnd"/>
      <w:r>
        <w:rPr>
          <w:i/>
          <w:szCs w:val="22"/>
          <w:lang w:val="cs-CZ"/>
        </w:rPr>
        <w:t xml:space="preserve"> </w:t>
      </w:r>
      <w:r>
        <w:rPr>
          <w:szCs w:val="22"/>
          <w:lang w:val="cs-CZ"/>
        </w:rPr>
        <w:t>sérotypu 1 a sérotypu 2.</w:t>
      </w:r>
    </w:p>
    <w:p w14:paraId="4B7F3A4E" w14:textId="77777777" w:rsidR="009F67BD" w:rsidRDefault="009F67BD" w:rsidP="009F67BD">
      <w:pPr>
        <w:pStyle w:val="spc2"/>
        <w:numPr>
          <w:ilvl w:val="0"/>
          <w:numId w:val="2"/>
        </w:numPr>
        <w:ind w:left="0" w:firstLine="0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pro snížení  </w:t>
      </w:r>
      <w:proofErr w:type="spellStart"/>
      <w:r>
        <w:rPr>
          <w:szCs w:val="22"/>
          <w:lang w:val="cs-CZ"/>
        </w:rPr>
        <w:t>transplacentární</w:t>
      </w:r>
      <w:proofErr w:type="spellEnd"/>
      <w:r>
        <w:rPr>
          <w:szCs w:val="22"/>
          <w:lang w:val="cs-CZ"/>
        </w:rPr>
        <w:t xml:space="preserve"> infekce, virové zátěže a fetální mortality způsobených </w:t>
      </w:r>
      <w:proofErr w:type="spellStart"/>
      <w:r>
        <w:rPr>
          <w:szCs w:val="22"/>
          <w:lang w:val="cs-CZ"/>
        </w:rPr>
        <w:t>parvovirem</w:t>
      </w:r>
      <w:proofErr w:type="spellEnd"/>
      <w:r>
        <w:rPr>
          <w:szCs w:val="22"/>
          <w:lang w:val="cs-CZ"/>
        </w:rPr>
        <w:t xml:space="preserve"> prasat. </w:t>
      </w:r>
    </w:p>
    <w:p w14:paraId="6AEC8CAA" w14:textId="77777777" w:rsidR="009F67BD" w:rsidRDefault="009F67BD" w:rsidP="009F67BD">
      <w:pPr>
        <w:pStyle w:val="spc2"/>
        <w:numPr>
          <w:ilvl w:val="0"/>
          <w:numId w:val="2"/>
        </w:numPr>
        <w:ind w:left="0" w:firstLine="0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pro snížení klinických příznaků (zvýšení tělesné teploty a snížení příjmu krmiva nebo aktivity), infekce a bakteriálního vylučování způsobených </w:t>
      </w:r>
      <w:r>
        <w:rPr>
          <w:i/>
          <w:szCs w:val="22"/>
          <w:lang w:val="cs-CZ"/>
        </w:rPr>
        <w:t>L</w:t>
      </w:r>
      <w:r>
        <w:rPr>
          <w:szCs w:val="22"/>
          <w:lang w:val="cs-CZ"/>
        </w:rPr>
        <w:t>.</w:t>
      </w:r>
      <w:r>
        <w:rPr>
          <w:i/>
          <w:szCs w:val="22"/>
          <w:lang w:val="cs-CZ"/>
        </w:rPr>
        <w:t xml:space="preserve"> </w:t>
      </w:r>
      <w:proofErr w:type="spellStart"/>
      <w:r>
        <w:rPr>
          <w:i/>
          <w:szCs w:val="22"/>
          <w:lang w:val="cs-CZ"/>
        </w:rPr>
        <w:t>interrogans</w:t>
      </w:r>
      <w:proofErr w:type="spellEnd"/>
      <w:r>
        <w:rPr>
          <w:szCs w:val="22"/>
          <w:lang w:val="cs-CZ"/>
        </w:rPr>
        <w:t xml:space="preserve"> sérové skupiny </w:t>
      </w:r>
      <w:proofErr w:type="spellStart"/>
      <w:r>
        <w:rPr>
          <w:szCs w:val="22"/>
          <w:lang w:val="cs-CZ"/>
        </w:rPr>
        <w:t>Canicola</w:t>
      </w:r>
      <w:proofErr w:type="spellEnd"/>
      <w:r>
        <w:rPr>
          <w:szCs w:val="22"/>
          <w:lang w:val="cs-CZ"/>
        </w:rPr>
        <w:t xml:space="preserve"> </w:t>
      </w:r>
      <w:proofErr w:type="spellStart"/>
      <w:r>
        <w:rPr>
          <w:szCs w:val="22"/>
          <w:lang w:val="cs-CZ"/>
        </w:rPr>
        <w:t>sérovar</w:t>
      </w:r>
      <w:proofErr w:type="spellEnd"/>
      <w:r>
        <w:rPr>
          <w:szCs w:val="22"/>
          <w:lang w:val="cs-CZ"/>
        </w:rPr>
        <w:t xml:space="preserve"> </w:t>
      </w:r>
      <w:proofErr w:type="spellStart"/>
      <w:r>
        <w:rPr>
          <w:szCs w:val="22"/>
          <w:lang w:val="cs-CZ"/>
        </w:rPr>
        <w:t>Canicola</w:t>
      </w:r>
      <w:proofErr w:type="spellEnd"/>
      <w:r>
        <w:rPr>
          <w:szCs w:val="22"/>
          <w:lang w:val="cs-CZ"/>
        </w:rPr>
        <w:t xml:space="preserve">. </w:t>
      </w:r>
    </w:p>
    <w:p w14:paraId="0FDD4DCC" w14:textId="77777777" w:rsidR="009F67BD" w:rsidRDefault="009F67BD" w:rsidP="009F67BD">
      <w:pPr>
        <w:pStyle w:val="spc2"/>
        <w:numPr>
          <w:ilvl w:val="0"/>
          <w:numId w:val="2"/>
        </w:numPr>
        <w:ind w:left="0" w:firstLine="0"/>
        <w:jc w:val="both"/>
        <w:rPr>
          <w:rFonts w:cs="Arial"/>
          <w:szCs w:val="22"/>
          <w:lang w:val="en-GB"/>
        </w:rPr>
      </w:pPr>
      <w:r>
        <w:rPr>
          <w:szCs w:val="22"/>
          <w:lang w:val="cs-CZ"/>
        </w:rPr>
        <w:t xml:space="preserve">pro snížení klinických příznaků (zvýšení tělesné teploty a snížení příjmu krmiva nebo aktivity), závažnosti infekce a fetální mortality způsobených </w:t>
      </w:r>
      <w:r>
        <w:rPr>
          <w:i/>
        </w:rPr>
        <w:t xml:space="preserve">L. </w:t>
      </w:r>
      <w:proofErr w:type="spellStart"/>
      <w:r>
        <w:rPr>
          <w:i/>
        </w:rPr>
        <w:t>interrogans</w:t>
      </w:r>
      <w:proofErr w:type="spellEnd"/>
      <w:r>
        <w:rPr>
          <w:i/>
        </w:rPr>
        <w:t xml:space="preserve"> </w:t>
      </w:r>
      <w:r>
        <w:rPr>
          <w:szCs w:val="22"/>
          <w:lang w:val="cs-CZ"/>
        </w:rPr>
        <w:t xml:space="preserve">sérové skupiny </w:t>
      </w:r>
      <w:r>
        <w:t xml:space="preserve">Pomona </w:t>
      </w:r>
      <w:proofErr w:type="spellStart"/>
      <w:r>
        <w:t>sérovar</w:t>
      </w:r>
      <w:proofErr w:type="spellEnd"/>
      <w:r>
        <w:t xml:space="preserve"> Pomona.</w:t>
      </w:r>
      <w:r>
        <w:rPr>
          <w:rFonts w:cs="Arial"/>
          <w:szCs w:val="22"/>
          <w:lang w:val="en-GB"/>
        </w:rPr>
        <w:t xml:space="preserve"> </w:t>
      </w:r>
    </w:p>
    <w:p w14:paraId="37FE3E49" w14:textId="77777777" w:rsidR="009F67BD" w:rsidRDefault="009F67BD" w:rsidP="009F67BD">
      <w:pPr>
        <w:pStyle w:val="spc2"/>
        <w:numPr>
          <w:ilvl w:val="0"/>
          <w:numId w:val="2"/>
        </w:numPr>
        <w:ind w:left="0" w:firstLine="0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pro snížení infekce způsobené </w:t>
      </w:r>
      <w:r>
        <w:rPr>
          <w:i/>
          <w:szCs w:val="22"/>
          <w:lang w:val="cs-CZ"/>
        </w:rPr>
        <w:t xml:space="preserve">L. </w:t>
      </w:r>
      <w:proofErr w:type="spellStart"/>
      <w:r>
        <w:rPr>
          <w:i/>
          <w:szCs w:val="22"/>
          <w:lang w:val="cs-CZ"/>
        </w:rPr>
        <w:t>interrogans</w:t>
      </w:r>
      <w:proofErr w:type="spellEnd"/>
      <w:r>
        <w:rPr>
          <w:szCs w:val="22"/>
          <w:lang w:val="cs-CZ"/>
        </w:rPr>
        <w:t xml:space="preserve"> sérové skupiny </w:t>
      </w:r>
      <w:r>
        <w:rPr>
          <w:i/>
          <w:szCs w:val="22"/>
          <w:lang w:val="cs-CZ"/>
        </w:rPr>
        <w:t xml:space="preserve"> </w:t>
      </w:r>
      <w:proofErr w:type="spellStart"/>
      <w:r>
        <w:rPr>
          <w:szCs w:val="22"/>
          <w:lang w:val="cs-CZ"/>
        </w:rPr>
        <w:t>Icterohaemorrhagiae</w:t>
      </w:r>
      <w:proofErr w:type="spellEnd"/>
      <w:r>
        <w:rPr>
          <w:szCs w:val="22"/>
          <w:lang w:val="cs-CZ"/>
        </w:rPr>
        <w:t xml:space="preserve"> </w:t>
      </w:r>
      <w:proofErr w:type="spellStart"/>
      <w:r>
        <w:rPr>
          <w:szCs w:val="22"/>
          <w:lang w:val="cs-CZ"/>
        </w:rPr>
        <w:t>sérovarů</w:t>
      </w:r>
      <w:proofErr w:type="spellEnd"/>
      <w:r>
        <w:rPr>
          <w:szCs w:val="22"/>
          <w:lang w:val="cs-CZ"/>
        </w:rPr>
        <w:t xml:space="preserve"> </w:t>
      </w:r>
      <w:proofErr w:type="spellStart"/>
      <w:r>
        <w:rPr>
          <w:szCs w:val="22"/>
          <w:lang w:val="cs-CZ"/>
        </w:rPr>
        <w:t>Copenhageni</w:t>
      </w:r>
      <w:proofErr w:type="spellEnd"/>
      <w:r>
        <w:rPr>
          <w:szCs w:val="22"/>
          <w:lang w:val="cs-CZ"/>
        </w:rPr>
        <w:t xml:space="preserve"> a </w:t>
      </w:r>
      <w:proofErr w:type="spellStart"/>
      <w:r>
        <w:rPr>
          <w:szCs w:val="22"/>
          <w:lang w:val="cs-CZ"/>
        </w:rPr>
        <w:t>Icterohaemorrhagiae</w:t>
      </w:r>
      <w:proofErr w:type="spellEnd"/>
      <w:r>
        <w:rPr>
          <w:szCs w:val="22"/>
          <w:lang w:val="cs-CZ"/>
        </w:rPr>
        <w:t xml:space="preserve">, </w:t>
      </w:r>
      <w:proofErr w:type="spellStart"/>
      <w:r>
        <w:rPr>
          <w:i/>
          <w:lang w:val="cs-CZ"/>
        </w:rPr>
        <w:t>L.interrogans</w:t>
      </w:r>
      <w:proofErr w:type="spellEnd"/>
      <w:r>
        <w:rPr>
          <w:lang w:val="cs-CZ"/>
        </w:rPr>
        <w:t xml:space="preserve"> sérové skupiny </w:t>
      </w:r>
      <w:proofErr w:type="spellStart"/>
      <w:r>
        <w:rPr>
          <w:lang w:val="cs-CZ"/>
        </w:rPr>
        <w:t>Australis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sérovar</w:t>
      </w:r>
      <w:proofErr w:type="spellEnd"/>
      <w:r>
        <w:rPr>
          <w:lang w:val="cs-CZ"/>
        </w:rPr>
        <w:t xml:space="preserve"> Bratislava, </w:t>
      </w:r>
      <w:r>
        <w:rPr>
          <w:i/>
          <w:spacing w:val="-2"/>
          <w:szCs w:val="22"/>
          <w:lang w:val="cs-CZ"/>
        </w:rPr>
        <w:t xml:space="preserve">L. </w:t>
      </w:r>
      <w:proofErr w:type="spellStart"/>
      <w:r>
        <w:rPr>
          <w:i/>
          <w:spacing w:val="-2"/>
          <w:szCs w:val="22"/>
          <w:lang w:val="cs-CZ"/>
        </w:rPr>
        <w:t>kirschneri</w:t>
      </w:r>
      <w:proofErr w:type="spellEnd"/>
      <w:r>
        <w:rPr>
          <w:spacing w:val="-2"/>
          <w:szCs w:val="22"/>
          <w:lang w:val="cs-CZ"/>
        </w:rPr>
        <w:t xml:space="preserve"> sérové skupiny </w:t>
      </w:r>
      <w:proofErr w:type="spellStart"/>
      <w:r>
        <w:rPr>
          <w:spacing w:val="-2"/>
          <w:szCs w:val="22"/>
          <w:lang w:val="cs-CZ"/>
        </w:rPr>
        <w:t>Grippotyphosa</w:t>
      </w:r>
      <w:proofErr w:type="spellEnd"/>
      <w:r>
        <w:rPr>
          <w:spacing w:val="-2"/>
          <w:szCs w:val="22"/>
          <w:lang w:val="cs-CZ"/>
        </w:rPr>
        <w:t xml:space="preserve"> </w:t>
      </w:r>
      <w:proofErr w:type="spellStart"/>
      <w:r>
        <w:rPr>
          <w:spacing w:val="-2"/>
          <w:szCs w:val="22"/>
          <w:lang w:val="cs-CZ"/>
        </w:rPr>
        <w:t>sérovarů</w:t>
      </w:r>
      <w:proofErr w:type="spellEnd"/>
      <w:r>
        <w:rPr>
          <w:spacing w:val="-2"/>
          <w:szCs w:val="22"/>
          <w:lang w:val="cs-CZ"/>
        </w:rPr>
        <w:t xml:space="preserve"> </w:t>
      </w:r>
      <w:proofErr w:type="spellStart"/>
      <w:r>
        <w:rPr>
          <w:spacing w:val="-2"/>
          <w:szCs w:val="22"/>
          <w:lang w:val="cs-CZ"/>
        </w:rPr>
        <w:t>Grippotyphosa</w:t>
      </w:r>
      <w:proofErr w:type="spellEnd"/>
      <w:r>
        <w:rPr>
          <w:spacing w:val="-2"/>
          <w:szCs w:val="22"/>
          <w:lang w:val="cs-CZ"/>
        </w:rPr>
        <w:t xml:space="preserve"> a </w:t>
      </w:r>
      <w:proofErr w:type="spellStart"/>
      <w:r>
        <w:rPr>
          <w:spacing w:val="-2"/>
          <w:szCs w:val="22"/>
          <w:lang w:val="cs-CZ"/>
        </w:rPr>
        <w:t>Bananal</w:t>
      </w:r>
      <w:proofErr w:type="spellEnd"/>
      <w:r>
        <w:rPr>
          <w:spacing w:val="-2"/>
          <w:szCs w:val="22"/>
          <w:lang w:val="cs-CZ"/>
        </w:rPr>
        <w:t>/</w:t>
      </w:r>
      <w:proofErr w:type="spellStart"/>
      <w:r>
        <w:rPr>
          <w:spacing w:val="-2"/>
          <w:szCs w:val="22"/>
          <w:lang w:val="cs-CZ"/>
        </w:rPr>
        <w:t>Liangguang</w:t>
      </w:r>
      <w:proofErr w:type="spellEnd"/>
      <w:r>
        <w:rPr>
          <w:spacing w:val="-2"/>
          <w:szCs w:val="22"/>
          <w:lang w:val="cs-CZ"/>
        </w:rPr>
        <w:t xml:space="preserve">, </w:t>
      </w:r>
      <w:r>
        <w:rPr>
          <w:i/>
          <w:spacing w:val="-2"/>
          <w:szCs w:val="22"/>
          <w:lang w:val="cs-CZ"/>
        </w:rPr>
        <w:t xml:space="preserve">L. </w:t>
      </w:r>
      <w:proofErr w:type="spellStart"/>
      <w:r>
        <w:rPr>
          <w:i/>
          <w:spacing w:val="-2"/>
          <w:szCs w:val="22"/>
          <w:lang w:val="cs-CZ"/>
        </w:rPr>
        <w:t>weilii</w:t>
      </w:r>
      <w:proofErr w:type="spellEnd"/>
      <w:r>
        <w:rPr>
          <w:spacing w:val="-2"/>
          <w:szCs w:val="22"/>
          <w:lang w:val="cs-CZ"/>
        </w:rPr>
        <w:t xml:space="preserve"> sérové skupiny </w:t>
      </w:r>
      <w:proofErr w:type="spellStart"/>
      <w:r>
        <w:rPr>
          <w:spacing w:val="-2"/>
          <w:szCs w:val="22"/>
          <w:lang w:val="cs-CZ"/>
        </w:rPr>
        <w:t>Tarassovi</w:t>
      </w:r>
      <w:proofErr w:type="spellEnd"/>
      <w:r>
        <w:rPr>
          <w:spacing w:val="-2"/>
          <w:szCs w:val="22"/>
          <w:lang w:val="cs-CZ"/>
        </w:rPr>
        <w:t xml:space="preserve"> </w:t>
      </w:r>
      <w:proofErr w:type="spellStart"/>
      <w:r>
        <w:rPr>
          <w:spacing w:val="-2"/>
          <w:szCs w:val="22"/>
          <w:lang w:val="cs-CZ"/>
        </w:rPr>
        <w:t>sérovar</w:t>
      </w:r>
      <w:proofErr w:type="spellEnd"/>
      <w:r>
        <w:rPr>
          <w:spacing w:val="-2"/>
          <w:szCs w:val="22"/>
          <w:lang w:val="cs-CZ"/>
        </w:rPr>
        <w:t xml:space="preserve"> </w:t>
      </w:r>
      <w:proofErr w:type="spellStart"/>
      <w:r>
        <w:rPr>
          <w:spacing w:val="-2"/>
          <w:szCs w:val="22"/>
          <w:lang w:val="cs-CZ"/>
        </w:rPr>
        <w:t>Vughia</w:t>
      </w:r>
      <w:proofErr w:type="spellEnd"/>
      <w:r>
        <w:rPr>
          <w:spacing w:val="-2"/>
          <w:szCs w:val="22"/>
          <w:lang w:val="cs-CZ"/>
        </w:rPr>
        <w:t xml:space="preserve">  a </w:t>
      </w:r>
      <w:r>
        <w:rPr>
          <w:i/>
          <w:spacing w:val="-2"/>
          <w:szCs w:val="22"/>
          <w:lang w:val="cs-CZ"/>
        </w:rPr>
        <w:t>L</w:t>
      </w:r>
      <w:r>
        <w:rPr>
          <w:spacing w:val="-2"/>
          <w:szCs w:val="22"/>
          <w:lang w:val="cs-CZ"/>
        </w:rPr>
        <w:t xml:space="preserve">. </w:t>
      </w:r>
      <w:proofErr w:type="spellStart"/>
      <w:r>
        <w:rPr>
          <w:i/>
          <w:spacing w:val="-2"/>
          <w:szCs w:val="22"/>
          <w:lang w:val="cs-CZ"/>
        </w:rPr>
        <w:t>borgpetersenii</w:t>
      </w:r>
      <w:proofErr w:type="spellEnd"/>
      <w:r>
        <w:rPr>
          <w:spacing w:val="-2"/>
          <w:szCs w:val="22"/>
          <w:lang w:val="cs-CZ"/>
        </w:rPr>
        <w:t xml:space="preserve"> sérové skupiny </w:t>
      </w:r>
      <w:proofErr w:type="spellStart"/>
      <w:r>
        <w:rPr>
          <w:spacing w:val="-2"/>
          <w:szCs w:val="22"/>
          <w:lang w:val="cs-CZ"/>
        </w:rPr>
        <w:t>Tarassovi</w:t>
      </w:r>
      <w:proofErr w:type="spellEnd"/>
      <w:r>
        <w:rPr>
          <w:spacing w:val="-2"/>
          <w:szCs w:val="22"/>
          <w:lang w:val="cs-CZ"/>
        </w:rPr>
        <w:t xml:space="preserve"> </w:t>
      </w:r>
      <w:proofErr w:type="spellStart"/>
      <w:r>
        <w:rPr>
          <w:spacing w:val="-2"/>
          <w:szCs w:val="22"/>
          <w:lang w:val="cs-CZ"/>
        </w:rPr>
        <w:t>sérovar</w:t>
      </w:r>
      <w:proofErr w:type="spellEnd"/>
      <w:r>
        <w:rPr>
          <w:spacing w:val="-2"/>
          <w:szCs w:val="22"/>
          <w:lang w:val="cs-CZ"/>
        </w:rPr>
        <w:t xml:space="preserve"> </w:t>
      </w:r>
      <w:proofErr w:type="spellStart"/>
      <w:r>
        <w:rPr>
          <w:spacing w:val="-2"/>
          <w:szCs w:val="22"/>
          <w:lang w:val="cs-CZ"/>
        </w:rPr>
        <w:t>Tarassovi</w:t>
      </w:r>
      <w:proofErr w:type="spellEnd"/>
      <w:r>
        <w:rPr>
          <w:spacing w:val="-2"/>
          <w:szCs w:val="22"/>
          <w:lang w:val="cs-CZ"/>
        </w:rPr>
        <w:t>.</w:t>
      </w:r>
    </w:p>
    <w:p w14:paraId="2FA852AF" w14:textId="77777777" w:rsidR="009F67BD" w:rsidRDefault="009F67BD" w:rsidP="009F67BD">
      <w:pPr>
        <w:pStyle w:val="spc2"/>
        <w:ind w:left="0"/>
        <w:rPr>
          <w:szCs w:val="22"/>
          <w:lang w:val="cs-CZ"/>
        </w:rPr>
      </w:pPr>
    </w:p>
    <w:p w14:paraId="6778C715" w14:textId="77777777" w:rsidR="009F67BD" w:rsidRDefault="009F67BD" w:rsidP="009F67BD">
      <w:pPr>
        <w:pStyle w:val="spc2"/>
        <w:ind w:left="0"/>
        <w:rPr>
          <w:szCs w:val="22"/>
          <w:lang w:val="cs-CZ"/>
        </w:rPr>
      </w:pPr>
      <w:r>
        <w:rPr>
          <w:szCs w:val="22"/>
          <w:lang w:val="cs-CZ"/>
        </w:rPr>
        <w:t>Nástup imunity:</w:t>
      </w:r>
    </w:p>
    <w:p w14:paraId="1F7A63B9" w14:textId="77777777" w:rsidR="009F67BD" w:rsidRDefault="009F67BD" w:rsidP="009F67BD">
      <w:pPr>
        <w:pStyle w:val="spc2"/>
        <w:ind w:left="0"/>
        <w:rPr>
          <w:szCs w:val="22"/>
          <w:lang w:val="cs-CZ"/>
        </w:rPr>
      </w:pPr>
      <w:r>
        <w:rPr>
          <w:i/>
          <w:szCs w:val="22"/>
          <w:lang w:val="cs-CZ"/>
        </w:rPr>
        <w:t xml:space="preserve">E. </w:t>
      </w:r>
      <w:proofErr w:type="spellStart"/>
      <w:r>
        <w:rPr>
          <w:i/>
          <w:szCs w:val="22"/>
          <w:lang w:val="cs-CZ"/>
        </w:rPr>
        <w:t>rhusiopathiae</w:t>
      </w:r>
      <w:proofErr w:type="spellEnd"/>
      <w:r>
        <w:rPr>
          <w:szCs w:val="22"/>
          <w:lang w:val="cs-CZ"/>
        </w:rPr>
        <w:t>:</w:t>
      </w:r>
      <w:r>
        <w:rPr>
          <w:szCs w:val="22"/>
          <w:lang w:val="cs-CZ"/>
        </w:rPr>
        <w:tab/>
        <w:t xml:space="preserve">  3 týdny </w:t>
      </w:r>
    </w:p>
    <w:p w14:paraId="355063AF" w14:textId="77777777" w:rsidR="009F67BD" w:rsidRDefault="009F67BD" w:rsidP="009F67BD">
      <w:pPr>
        <w:pStyle w:val="spc2"/>
        <w:ind w:left="0"/>
        <w:rPr>
          <w:szCs w:val="22"/>
          <w:lang w:val="cs-CZ"/>
        </w:rPr>
      </w:pPr>
      <w:proofErr w:type="spellStart"/>
      <w:r>
        <w:rPr>
          <w:iCs/>
          <w:szCs w:val="22"/>
          <w:lang w:val="cs-CZ"/>
        </w:rPr>
        <w:t>Parvovirus</w:t>
      </w:r>
      <w:proofErr w:type="spellEnd"/>
      <w:r>
        <w:rPr>
          <w:iCs/>
          <w:szCs w:val="22"/>
          <w:lang w:val="cs-CZ"/>
        </w:rPr>
        <w:t xml:space="preserve"> </w:t>
      </w:r>
      <w:proofErr w:type="spellStart"/>
      <w:r>
        <w:rPr>
          <w:iCs/>
          <w:szCs w:val="22"/>
          <w:lang w:val="cs-CZ"/>
        </w:rPr>
        <w:t>suis</w:t>
      </w:r>
      <w:proofErr w:type="spellEnd"/>
      <w:r>
        <w:rPr>
          <w:szCs w:val="22"/>
          <w:lang w:val="cs-CZ"/>
        </w:rPr>
        <w:t>: 10 týdnů</w:t>
      </w:r>
    </w:p>
    <w:p w14:paraId="680D023E" w14:textId="77777777" w:rsidR="009F67BD" w:rsidRDefault="009F67BD" w:rsidP="009F67BD">
      <w:pPr>
        <w:pStyle w:val="spc2"/>
        <w:ind w:left="0"/>
        <w:rPr>
          <w:szCs w:val="22"/>
          <w:lang w:val="cs-CZ"/>
        </w:rPr>
      </w:pPr>
      <w:r>
        <w:rPr>
          <w:i/>
          <w:szCs w:val="22"/>
          <w:lang w:val="cs-CZ"/>
        </w:rPr>
        <w:t>Leptospira</w:t>
      </w:r>
      <w:r>
        <w:rPr>
          <w:szCs w:val="22"/>
          <w:lang w:val="cs-CZ"/>
        </w:rPr>
        <w:t xml:space="preserve"> sérové skupiny: 2 týdny</w:t>
      </w:r>
    </w:p>
    <w:p w14:paraId="561C0446" w14:textId="77777777" w:rsidR="009F67BD" w:rsidRDefault="009F67BD" w:rsidP="009F67BD">
      <w:pPr>
        <w:pStyle w:val="spc2"/>
        <w:ind w:left="0"/>
        <w:rPr>
          <w:szCs w:val="22"/>
          <w:lang w:val="cs-CZ"/>
        </w:rPr>
      </w:pPr>
    </w:p>
    <w:p w14:paraId="0BDCE606" w14:textId="77777777" w:rsidR="009F67BD" w:rsidRDefault="009F67BD" w:rsidP="009F67BD">
      <w:pPr>
        <w:pStyle w:val="spc2"/>
        <w:ind w:left="0"/>
        <w:rPr>
          <w:szCs w:val="22"/>
          <w:lang w:val="cs-CZ"/>
        </w:rPr>
      </w:pPr>
      <w:r>
        <w:rPr>
          <w:szCs w:val="22"/>
          <w:lang w:val="cs-CZ"/>
        </w:rPr>
        <w:t>Trvání imunity:</w:t>
      </w:r>
      <w:r>
        <w:rPr>
          <w:szCs w:val="22"/>
          <w:lang w:val="cs-CZ"/>
        </w:rPr>
        <w:tab/>
      </w:r>
    </w:p>
    <w:p w14:paraId="34711992" w14:textId="77777777" w:rsidR="009F67BD" w:rsidRDefault="009F67BD" w:rsidP="009F67BD">
      <w:pPr>
        <w:pStyle w:val="spc2"/>
        <w:ind w:left="0"/>
        <w:rPr>
          <w:szCs w:val="22"/>
          <w:lang w:val="cs-CZ"/>
        </w:rPr>
      </w:pPr>
      <w:r>
        <w:rPr>
          <w:i/>
          <w:szCs w:val="22"/>
          <w:lang w:val="cs-CZ"/>
        </w:rPr>
        <w:t xml:space="preserve">E. </w:t>
      </w:r>
      <w:proofErr w:type="spellStart"/>
      <w:r>
        <w:rPr>
          <w:i/>
          <w:szCs w:val="22"/>
          <w:lang w:val="cs-CZ"/>
        </w:rPr>
        <w:t>rhusiopathiae</w:t>
      </w:r>
      <w:proofErr w:type="spellEnd"/>
      <w:r>
        <w:rPr>
          <w:szCs w:val="22"/>
          <w:lang w:val="cs-CZ"/>
        </w:rPr>
        <w:t>: 6 měsíců</w:t>
      </w:r>
    </w:p>
    <w:p w14:paraId="71EEC203" w14:textId="77777777" w:rsidR="009F67BD" w:rsidRDefault="009F67BD" w:rsidP="009F67BD">
      <w:pPr>
        <w:pStyle w:val="spc2"/>
        <w:ind w:left="0"/>
        <w:rPr>
          <w:szCs w:val="22"/>
          <w:lang w:val="cs-CZ"/>
        </w:rPr>
      </w:pPr>
      <w:proofErr w:type="spellStart"/>
      <w:r>
        <w:rPr>
          <w:iCs/>
          <w:szCs w:val="22"/>
          <w:lang w:val="cs-CZ"/>
        </w:rPr>
        <w:t>Parvovirus</w:t>
      </w:r>
      <w:proofErr w:type="spellEnd"/>
      <w:r>
        <w:rPr>
          <w:iCs/>
          <w:szCs w:val="22"/>
          <w:lang w:val="cs-CZ"/>
        </w:rPr>
        <w:t xml:space="preserve"> </w:t>
      </w:r>
      <w:proofErr w:type="spellStart"/>
      <w:r>
        <w:rPr>
          <w:iCs/>
          <w:szCs w:val="22"/>
          <w:lang w:val="cs-CZ"/>
        </w:rPr>
        <w:t>suis</w:t>
      </w:r>
      <w:proofErr w:type="spellEnd"/>
      <w:r>
        <w:rPr>
          <w:szCs w:val="22"/>
          <w:lang w:val="cs-CZ"/>
        </w:rPr>
        <w:t>: 12 měsíců</w:t>
      </w:r>
    </w:p>
    <w:p w14:paraId="6F95F455" w14:textId="77777777" w:rsidR="009F67BD" w:rsidRDefault="009F67BD" w:rsidP="009F67BD">
      <w:pPr>
        <w:pStyle w:val="spc2"/>
        <w:ind w:left="0"/>
        <w:rPr>
          <w:szCs w:val="22"/>
          <w:lang w:val="cs-CZ"/>
        </w:rPr>
      </w:pPr>
      <w:r>
        <w:rPr>
          <w:i/>
          <w:szCs w:val="22"/>
          <w:lang w:val="cs-CZ"/>
        </w:rPr>
        <w:t>Leptospira</w:t>
      </w:r>
      <w:r>
        <w:rPr>
          <w:szCs w:val="22"/>
          <w:lang w:val="cs-CZ"/>
        </w:rPr>
        <w:t xml:space="preserve"> sérová skupina </w:t>
      </w:r>
      <w:proofErr w:type="spellStart"/>
      <w:r>
        <w:rPr>
          <w:szCs w:val="22"/>
          <w:lang w:val="cs-CZ"/>
        </w:rPr>
        <w:t>Australis</w:t>
      </w:r>
      <w:proofErr w:type="spellEnd"/>
      <w:r>
        <w:rPr>
          <w:szCs w:val="22"/>
          <w:lang w:val="cs-CZ"/>
        </w:rPr>
        <w:t>: 6 měsíců</w:t>
      </w:r>
    </w:p>
    <w:p w14:paraId="66CB5BD6" w14:textId="77777777" w:rsidR="009F67BD" w:rsidRDefault="009F67BD" w:rsidP="009F67BD">
      <w:pPr>
        <w:pStyle w:val="spc2"/>
        <w:ind w:left="0"/>
        <w:rPr>
          <w:szCs w:val="22"/>
          <w:lang w:val="cs-CZ"/>
        </w:rPr>
      </w:pPr>
      <w:r>
        <w:rPr>
          <w:i/>
          <w:szCs w:val="22"/>
          <w:lang w:val="cs-CZ"/>
        </w:rPr>
        <w:t>Leptospira</w:t>
      </w:r>
      <w:r>
        <w:rPr>
          <w:szCs w:val="22"/>
          <w:lang w:val="cs-CZ"/>
        </w:rPr>
        <w:t xml:space="preserve"> sérová skupina </w:t>
      </w:r>
      <w:proofErr w:type="spellStart"/>
      <w:r>
        <w:rPr>
          <w:szCs w:val="22"/>
          <w:lang w:val="cs-CZ"/>
        </w:rPr>
        <w:t>Canicola</w:t>
      </w:r>
      <w:proofErr w:type="spellEnd"/>
      <w:r>
        <w:rPr>
          <w:szCs w:val="22"/>
          <w:lang w:val="cs-CZ"/>
        </w:rPr>
        <w:t xml:space="preserve">, </w:t>
      </w:r>
      <w:proofErr w:type="spellStart"/>
      <w:r>
        <w:rPr>
          <w:szCs w:val="22"/>
          <w:lang w:val="cs-CZ"/>
        </w:rPr>
        <w:t>Icterohaemorrhaiae</w:t>
      </w:r>
      <w:proofErr w:type="spellEnd"/>
      <w:r>
        <w:rPr>
          <w:szCs w:val="22"/>
          <w:lang w:val="cs-CZ"/>
        </w:rPr>
        <w:t>,</w:t>
      </w:r>
    </w:p>
    <w:p w14:paraId="228EFD6E" w14:textId="77777777" w:rsidR="009F67BD" w:rsidRDefault="009F67BD" w:rsidP="009F67BD">
      <w:pPr>
        <w:pStyle w:val="spc2"/>
        <w:ind w:left="0"/>
        <w:rPr>
          <w:szCs w:val="22"/>
          <w:lang w:val="cs-CZ"/>
        </w:rPr>
      </w:pPr>
      <w:proofErr w:type="spellStart"/>
      <w:r>
        <w:rPr>
          <w:szCs w:val="22"/>
          <w:lang w:val="cs-CZ"/>
        </w:rPr>
        <w:t>Grippotyphosa</w:t>
      </w:r>
      <w:proofErr w:type="spellEnd"/>
      <w:r>
        <w:rPr>
          <w:szCs w:val="22"/>
          <w:lang w:val="cs-CZ"/>
        </w:rPr>
        <w:t xml:space="preserve">, </w:t>
      </w:r>
      <w:proofErr w:type="spellStart"/>
      <w:r>
        <w:rPr>
          <w:szCs w:val="22"/>
          <w:lang w:val="cs-CZ"/>
        </w:rPr>
        <w:t>Pomona</w:t>
      </w:r>
      <w:proofErr w:type="spellEnd"/>
      <w:r>
        <w:rPr>
          <w:szCs w:val="22"/>
          <w:lang w:val="cs-CZ"/>
        </w:rPr>
        <w:t xml:space="preserve"> a </w:t>
      </w:r>
      <w:proofErr w:type="spellStart"/>
      <w:r>
        <w:rPr>
          <w:szCs w:val="22"/>
          <w:lang w:val="cs-CZ"/>
        </w:rPr>
        <w:t>Tarassovi</w:t>
      </w:r>
      <w:proofErr w:type="spellEnd"/>
      <w:r>
        <w:rPr>
          <w:szCs w:val="22"/>
          <w:lang w:val="cs-CZ"/>
        </w:rPr>
        <w:t>: 12 měsíců</w:t>
      </w:r>
    </w:p>
    <w:p w14:paraId="629D32E2" w14:textId="77777777" w:rsidR="009F67BD" w:rsidRDefault="009F67BD" w:rsidP="009F67BD">
      <w:pPr>
        <w:pStyle w:val="spc1"/>
        <w:rPr>
          <w:szCs w:val="22"/>
          <w:lang w:val="cs-CZ"/>
        </w:rPr>
      </w:pPr>
    </w:p>
    <w:p w14:paraId="43B604B5" w14:textId="77777777" w:rsidR="009F67BD" w:rsidRDefault="009F67BD" w:rsidP="009F67BD">
      <w:pPr>
        <w:pStyle w:val="spc1"/>
        <w:rPr>
          <w:szCs w:val="22"/>
          <w:lang w:val="cs-CZ"/>
        </w:rPr>
      </w:pPr>
      <w:r>
        <w:rPr>
          <w:szCs w:val="22"/>
          <w:highlight w:val="lightGray"/>
          <w:lang w:val="cs-CZ"/>
        </w:rPr>
        <w:t>5.</w:t>
      </w:r>
      <w:r>
        <w:rPr>
          <w:szCs w:val="22"/>
          <w:lang w:val="cs-CZ"/>
        </w:rPr>
        <w:tab/>
        <w:t>KONTRAINDIKACE</w:t>
      </w:r>
    </w:p>
    <w:p w14:paraId="38DF7037" w14:textId="77777777" w:rsidR="009F67BD" w:rsidRDefault="009F67BD" w:rsidP="009F67BD">
      <w:pPr>
        <w:pStyle w:val="spc2"/>
        <w:ind w:left="0"/>
        <w:rPr>
          <w:szCs w:val="22"/>
          <w:lang w:val="cs-CZ"/>
        </w:rPr>
      </w:pPr>
    </w:p>
    <w:p w14:paraId="6EE0CD5D" w14:textId="77777777" w:rsidR="009F67BD" w:rsidRDefault="009F67BD" w:rsidP="009F67BD">
      <w:pPr>
        <w:pStyle w:val="spc2"/>
        <w:ind w:left="0"/>
        <w:rPr>
          <w:szCs w:val="22"/>
          <w:lang w:val="cs-CZ"/>
        </w:rPr>
      </w:pPr>
      <w:r>
        <w:rPr>
          <w:szCs w:val="22"/>
          <w:lang w:val="cs-CZ"/>
        </w:rPr>
        <w:t>Nejsou.</w:t>
      </w:r>
    </w:p>
    <w:p w14:paraId="41334B64" w14:textId="77777777" w:rsidR="009F67BD" w:rsidRDefault="009F67BD" w:rsidP="009F67BD">
      <w:pPr>
        <w:pStyle w:val="spc1"/>
        <w:rPr>
          <w:szCs w:val="22"/>
          <w:lang w:val="cs-CZ"/>
        </w:rPr>
      </w:pPr>
    </w:p>
    <w:p w14:paraId="67E016AA" w14:textId="77777777" w:rsidR="009F67BD" w:rsidRDefault="009F67BD" w:rsidP="009F67BD">
      <w:pPr>
        <w:pStyle w:val="spc1"/>
        <w:rPr>
          <w:szCs w:val="22"/>
          <w:lang w:val="cs-CZ"/>
        </w:rPr>
      </w:pPr>
      <w:r>
        <w:rPr>
          <w:szCs w:val="22"/>
          <w:highlight w:val="lightGray"/>
          <w:lang w:val="cs-CZ"/>
        </w:rPr>
        <w:t>6.</w:t>
      </w:r>
      <w:r>
        <w:rPr>
          <w:szCs w:val="22"/>
          <w:lang w:val="cs-CZ"/>
        </w:rPr>
        <w:tab/>
        <w:t>NEŽÁDOUCÍ ÚČINKY</w:t>
      </w:r>
    </w:p>
    <w:p w14:paraId="1AD261B6" w14:textId="77777777" w:rsidR="009F67BD" w:rsidRDefault="009F67BD" w:rsidP="009F67BD">
      <w:pPr>
        <w:tabs>
          <w:tab w:val="clear" w:pos="567"/>
        </w:tabs>
        <w:rPr>
          <w:sz w:val="22"/>
          <w:szCs w:val="22"/>
          <w:lang w:val="cs-CZ"/>
        </w:rPr>
      </w:pPr>
    </w:p>
    <w:p w14:paraId="13FB3074" w14:textId="77777777" w:rsidR="009F67BD" w:rsidRDefault="009F67BD" w:rsidP="009F67BD">
      <w:pPr>
        <w:tabs>
          <w:tab w:val="clear" w:pos="567"/>
        </w:tabs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Do dvou dnů po vakcinaci se velmi často objevuje zvýšení tělesné teploty. Pozorované zvýšení tělesné teploty bylo v průměru 0,5°C (v individuálních případech bylo maximální zvýšení 1,5°C). Velmi často se objevují přechodné lokální reakce nejčastěji se projevující červeným, mírným až tuhým, nebolestivým otokem. Obecně lokální reakce mohou být o průměru ≤ 5 cm, velmi vzácně může lokální reakce u jednotlivých zvířat dosáhnout průměr 20 cm. Všechny lokální reakce zcela vymizí v průběhu přibližně 2 týdnů po vakcinaci. U jednotlivých zvířat se může vzácně pozorovat průběžná systémová reakce, jako je zvracení, zarudnutí, zrychlené dýchání, záškuby. Tyto reakce odezní během několika minut. U jednotlivých zvířat může neobvykle docházet k přechodnému snížení příjmu krmiva nebo poklesu aktivity.  Příjem krmiva a aktivita se vrací do normálu v průběhu jednoho týdne.  </w:t>
      </w:r>
    </w:p>
    <w:p w14:paraId="267E817F" w14:textId="02C98E9F" w:rsidR="009F67BD" w:rsidRDefault="009F67BD" w:rsidP="009F67BD">
      <w:pPr>
        <w:tabs>
          <w:tab w:val="clear" w:pos="567"/>
        </w:tabs>
        <w:jc w:val="both"/>
        <w:rPr>
          <w:sz w:val="22"/>
          <w:szCs w:val="22"/>
          <w:lang w:val="cs-CZ"/>
        </w:rPr>
      </w:pPr>
    </w:p>
    <w:p w14:paraId="54DFEECC" w14:textId="77777777" w:rsidR="00A91492" w:rsidRPr="000C5474" w:rsidRDefault="00A91492" w:rsidP="00A91492">
      <w:pPr>
        <w:tabs>
          <w:tab w:val="clear" w:pos="567"/>
        </w:tabs>
        <w:jc w:val="both"/>
        <w:rPr>
          <w:sz w:val="22"/>
          <w:szCs w:val="22"/>
          <w:u w:val="single"/>
          <w:lang w:val="cs-CZ"/>
        </w:rPr>
      </w:pPr>
      <w:r w:rsidRPr="000C5474">
        <w:rPr>
          <w:sz w:val="22"/>
          <w:szCs w:val="22"/>
          <w:u w:val="single"/>
          <w:lang w:val="cs-CZ"/>
        </w:rPr>
        <w:t>Post-marketingové zkušenosti:</w:t>
      </w:r>
    </w:p>
    <w:p w14:paraId="2DD8EC35" w14:textId="58FBCF9B" w:rsidR="00A91492" w:rsidRDefault="00A91492" w:rsidP="00A91492">
      <w:pPr>
        <w:tabs>
          <w:tab w:val="clear" w:pos="567"/>
        </w:tabs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Velmi vzácně se mohou objevit</w:t>
      </w:r>
      <w:r w:rsidR="00F0698F">
        <w:rPr>
          <w:sz w:val="22"/>
          <w:szCs w:val="22"/>
          <w:lang w:val="cs-CZ"/>
        </w:rPr>
        <w:t xml:space="preserve"> </w:t>
      </w:r>
      <w:r w:rsidR="00F0698F" w:rsidRPr="00F0698F">
        <w:rPr>
          <w:sz w:val="22"/>
          <w:szCs w:val="22"/>
          <w:lang w:val="cs-CZ"/>
        </w:rPr>
        <w:t>hypersenzitivní</w:t>
      </w:r>
      <w:r>
        <w:rPr>
          <w:sz w:val="22"/>
          <w:szCs w:val="22"/>
          <w:lang w:val="cs-CZ"/>
        </w:rPr>
        <w:t xml:space="preserve"> reakce.</w:t>
      </w:r>
    </w:p>
    <w:p w14:paraId="09712688" w14:textId="77777777" w:rsidR="00A91492" w:rsidRDefault="00A91492" w:rsidP="009F67BD">
      <w:pPr>
        <w:tabs>
          <w:tab w:val="clear" w:pos="567"/>
        </w:tabs>
        <w:jc w:val="both"/>
        <w:rPr>
          <w:sz w:val="22"/>
          <w:szCs w:val="22"/>
          <w:lang w:val="cs-CZ"/>
        </w:rPr>
      </w:pPr>
    </w:p>
    <w:p w14:paraId="5E3AB72F" w14:textId="77777777" w:rsidR="009F67BD" w:rsidRDefault="009F67BD" w:rsidP="009F67BD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Četnost nežádoucích účinků je charakterizována podle následujících pravidel:</w:t>
      </w:r>
    </w:p>
    <w:p w14:paraId="0D925BF2" w14:textId="77777777" w:rsidR="009F67BD" w:rsidRDefault="009F67BD" w:rsidP="009F67BD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- velmi časté (nežádoucí účinek(</w:t>
      </w:r>
      <w:proofErr w:type="spellStart"/>
      <w:r>
        <w:rPr>
          <w:sz w:val="22"/>
          <w:szCs w:val="22"/>
          <w:lang w:val="cs-CZ"/>
        </w:rPr>
        <w:t>nky</w:t>
      </w:r>
      <w:proofErr w:type="spellEnd"/>
      <w:r>
        <w:rPr>
          <w:sz w:val="22"/>
          <w:szCs w:val="22"/>
          <w:lang w:val="cs-CZ"/>
        </w:rPr>
        <w:t>) se projevily u více než 1 z 10 ošetřených zvířat)</w:t>
      </w:r>
    </w:p>
    <w:p w14:paraId="42DE0C89" w14:textId="77777777" w:rsidR="009F67BD" w:rsidRDefault="009F67BD" w:rsidP="009F67BD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lastRenderedPageBreak/>
        <w:t>- časté (u více než 1, ale méně než 10 ze 100 ošetřených zvířat)</w:t>
      </w:r>
    </w:p>
    <w:p w14:paraId="5B93B165" w14:textId="77777777" w:rsidR="009F67BD" w:rsidRDefault="009F67BD" w:rsidP="009F67BD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- neobvyklé (u více než 1, ale méně než 10 z 1000 ošetřených zvířat)</w:t>
      </w:r>
    </w:p>
    <w:p w14:paraId="4C09506C" w14:textId="77777777" w:rsidR="009F67BD" w:rsidRDefault="009F67BD" w:rsidP="009F67BD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- vzácné (u více než 1, ale méně než 10 z 10000 ošetřených zvířat)</w:t>
      </w:r>
    </w:p>
    <w:p w14:paraId="1C5F2C2F" w14:textId="77777777" w:rsidR="009F67BD" w:rsidRDefault="009F67BD" w:rsidP="009F67BD">
      <w:pPr>
        <w:tabs>
          <w:tab w:val="clear" w:pos="567"/>
        </w:tabs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- velmi vzácné (u méně než 1 z 10000 ošetřených zvířat, včetně ojedinělých hlášení).</w:t>
      </w:r>
    </w:p>
    <w:p w14:paraId="0A2EBE9A" w14:textId="77777777" w:rsidR="009F67BD" w:rsidRDefault="009F67BD" w:rsidP="009F67BD">
      <w:pPr>
        <w:tabs>
          <w:tab w:val="clear" w:pos="567"/>
        </w:tabs>
        <w:jc w:val="both"/>
        <w:rPr>
          <w:sz w:val="22"/>
          <w:szCs w:val="22"/>
          <w:lang w:val="cs-CZ"/>
        </w:rPr>
      </w:pPr>
    </w:p>
    <w:p w14:paraId="3E52BDE9" w14:textId="77777777" w:rsidR="009F67BD" w:rsidRDefault="009F67BD" w:rsidP="009F67BD">
      <w:pPr>
        <w:tabs>
          <w:tab w:val="clear" w:pos="567"/>
        </w:tabs>
        <w:jc w:val="both"/>
        <w:rPr>
          <w:sz w:val="22"/>
          <w:szCs w:val="22"/>
          <w:lang w:val="cs-CZ" w:eastAsia="de-DE"/>
        </w:rPr>
      </w:pPr>
      <w:r>
        <w:rPr>
          <w:sz w:val="22"/>
          <w:szCs w:val="22"/>
          <w:lang w:val="cs-CZ"/>
        </w:rPr>
        <w:t>Jestliže zaznamenáte kterýkoliv z nežádoucích účinků a to i takové, které nejsou uvedeny v této příbalové informaci, nebo si myslíte, že léčivo nefunguje, oznamte to, prosím, vašemu veterinárnímu lékaři.</w:t>
      </w:r>
    </w:p>
    <w:p w14:paraId="074C74AE" w14:textId="77777777" w:rsidR="009F67BD" w:rsidRDefault="009F67BD" w:rsidP="009F67BD">
      <w:pPr>
        <w:pStyle w:val="spc2"/>
        <w:jc w:val="both"/>
        <w:rPr>
          <w:szCs w:val="22"/>
          <w:lang w:val="cs-CZ"/>
        </w:rPr>
      </w:pPr>
    </w:p>
    <w:p w14:paraId="1B24F34E" w14:textId="77777777" w:rsidR="009F67BD" w:rsidRDefault="009F67BD" w:rsidP="009F67BD">
      <w:pPr>
        <w:pStyle w:val="spc1"/>
        <w:rPr>
          <w:szCs w:val="22"/>
          <w:lang w:val="cs-CZ"/>
        </w:rPr>
      </w:pPr>
      <w:r>
        <w:rPr>
          <w:szCs w:val="22"/>
          <w:highlight w:val="lightGray"/>
          <w:lang w:val="cs-CZ"/>
        </w:rPr>
        <w:t>7.</w:t>
      </w:r>
      <w:r>
        <w:rPr>
          <w:szCs w:val="22"/>
          <w:lang w:val="cs-CZ"/>
        </w:rPr>
        <w:tab/>
        <w:t>CÍLOVÝ DRUH ZVÍŘAT</w:t>
      </w:r>
    </w:p>
    <w:p w14:paraId="7396C4BC" w14:textId="77777777" w:rsidR="009F67BD" w:rsidRDefault="009F67BD" w:rsidP="009F67BD">
      <w:pPr>
        <w:pStyle w:val="spc2"/>
        <w:ind w:left="0"/>
        <w:outlineLvl w:val="0"/>
        <w:rPr>
          <w:szCs w:val="22"/>
          <w:lang w:val="cs-CZ"/>
        </w:rPr>
      </w:pPr>
    </w:p>
    <w:p w14:paraId="7A06527C" w14:textId="77777777" w:rsidR="009F67BD" w:rsidRDefault="009F67BD" w:rsidP="009F67BD">
      <w:pPr>
        <w:pStyle w:val="spc2"/>
        <w:ind w:left="0"/>
        <w:outlineLvl w:val="0"/>
        <w:rPr>
          <w:szCs w:val="22"/>
          <w:lang w:val="cs-CZ"/>
        </w:rPr>
      </w:pPr>
      <w:r>
        <w:rPr>
          <w:szCs w:val="22"/>
          <w:lang w:val="cs-CZ"/>
        </w:rPr>
        <w:t>Chovná prasata.</w:t>
      </w:r>
    </w:p>
    <w:p w14:paraId="5F97585B" w14:textId="77777777" w:rsidR="009F67BD" w:rsidRDefault="009F67BD" w:rsidP="009F67BD">
      <w:pPr>
        <w:pStyle w:val="spc1"/>
        <w:rPr>
          <w:szCs w:val="22"/>
          <w:lang w:val="cs-CZ"/>
        </w:rPr>
      </w:pPr>
    </w:p>
    <w:p w14:paraId="4C2577E5" w14:textId="77777777" w:rsidR="009F67BD" w:rsidRDefault="009F67BD" w:rsidP="009F67BD">
      <w:pPr>
        <w:pStyle w:val="spc1"/>
        <w:rPr>
          <w:szCs w:val="22"/>
          <w:lang w:val="cs-CZ"/>
        </w:rPr>
      </w:pPr>
      <w:r>
        <w:rPr>
          <w:szCs w:val="22"/>
          <w:highlight w:val="lightGray"/>
          <w:lang w:val="cs-CZ"/>
        </w:rPr>
        <w:t>8.</w:t>
      </w:r>
      <w:r>
        <w:rPr>
          <w:szCs w:val="22"/>
          <w:lang w:val="cs-CZ"/>
        </w:rPr>
        <w:tab/>
        <w:t>DÁVKOVÁNÍ PRO KAŽDÝ DRUH, CESTA(Y) A ZPŮSOB PODÁNÍ</w:t>
      </w:r>
    </w:p>
    <w:p w14:paraId="5475680D" w14:textId="77777777" w:rsidR="009F67BD" w:rsidRDefault="009F67BD" w:rsidP="009F67BD">
      <w:pPr>
        <w:pStyle w:val="spc2"/>
        <w:ind w:left="0"/>
        <w:rPr>
          <w:szCs w:val="22"/>
          <w:lang w:val="cs-CZ"/>
        </w:rPr>
      </w:pPr>
    </w:p>
    <w:p w14:paraId="3725AF16" w14:textId="77777777" w:rsidR="009F67BD" w:rsidRDefault="009F67BD" w:rsidP="009F67BD">
      <w:pPr>
        <w:pStyle w:val="spc2"/>
        <w:ind w:left="0"/>
        <w:rPr>
          <w:szCs w:val="22"/>
          <w:lang w:val="cs-CZ"/>
        </w:rPr>
      </w:pPr>
      <w:r>
        <w:rPr>
          <w:szCs w:val="22"/>
          <w:lang w:val="cs-CZ"/>
        </w:rPr>
        <w:t>Pro intramuskulární podání.</w:t>
      </w:r>
    </w:p>
    <w:p w14:paraId="3BBABC34" w14:textId="77777777" w:rsidR="009F67BD" w:rsidRDefault="009F67BD" w:rsidP="009F67BD">
      <w:pPr>
        <w:pStyle w:val="spc2"/>
        <w:ind w:left="0"/>
        <w:jc w:val="both"/>
        <w:rPr>
          <w:szCs w:val="22"/>
          <w:lang w:val="cs-CZ"/>
        </w:rPr>
      </w:pPr>
      <w:r>
        <w:rPr>
          <w:szCs w:val="22"/>
          <w:lang w:val="cs-CZ"/>
        </w:rPr>
        <w:t>Vakcinujte prasata dávkou 2 ml v oblasti krku.</w:t>
      </w:r>
    </w:p>
    <w:p w14:paraId="05D2EF3C" w14:textId="77777777" w:rsidR="009F67BD" w:rsidRDefault="009F67BD" w:rsidP="009F67BD">
      <w:pPr>
        <w:pStyle w:val="spc1"/>
        <w:ind w:left="0" w:firstLine="0"/>
        <w:jc w:val="both"/>
        <w:rPr>
          <w:szCs w:val="22"/>
          <w:lang w:val="cs-CZ"/>
        </w:rPr>
      </w:pPr>
    </w:p>
    <w:p w14:paraId="08308A32" w14:textId="77777777" w:rsidR="009F67BD" w:rsidRDefault="009F67BD" w:rsidP="009F67BD">
      <w:pPr>
        <w:pStyle w:val="spc1"/>
        <w:ind w:left="0" w:firstLine="0"/>
        <w:jc w:val="both"/>
        <w:rPr>
          <w:b w:val="0"/>
          <w:szCs w:val="22"/>
          <w:lang w:val="cs-CZ"/>
        </w:rPr>
      </w:pPr>
      <w:r>
        <w:rPr>
          <w:b w:val="0"/>
          <w:szCs w:val="22"/>
          <w:u w:val="single"/>
          <w:lang w:val="cs-CZ"/>
        </w:rPr>
        <w:t xml:space="preserve">Základní vakcinační schéma: </w:t>
      </w:r>
      <w:r>
        <w:rPr>
          <w:b w:val="0"/>
          <w:szCs w:val="22"/>
          <w:lang w:val="cs-CZ"/>
        </w:rPr>
        <w:t xml:space="preserve">Prasata dosud nevakcinována dostávají první dávku 6-8 týdnů před předpokládaným datem inseminace a druhou dávku 4 týdny po první dávce. </w:t>
      </w:r>
    </w:p>
    <w:p w14:paraId="493258E2" w14:textId="77777777" w:rsidR="009F67BD" w:rsidRDefault="009F67BD" w:rsidP="009F67BD">
      <w:pPr>
        <w:pStyle w:val="spc1"/>
        <w:ind w:left="0" w:firstLine="0"/>
        <w:jc w:val="both"/>
        <w:rPr>
          <w:b w:val="0"/>
          <w:szCs w:val="22"/>
          <w:lang w:val="cs-CZ"/>
        </w:rPr>
      </w:pPr>
    </w:p>
    <w:p w14:paraId="2B88C333" w14:textId="0A58A1B9" w:rsidR="009F67BD" w:rsidRDefault="009F67BD" w:rsidP="009F67BD">
      <w:pPr>
        <w:pStyle w:val="spc1"/>
        <w:ind w:left="0" w:firstLine="0"/>
        <w:jc w:val="both"/>
        <w:rPr>
          <w:b w:val="0"/>
          <w:szCs w:val="22"/>
          <w:lang w:val="cs-CZ"/>
        </w:rPr>
      </w:pPr>
      <w:r>
        <w:rPr>
          <w:b w:val="0"/>
          <w:szCs w:val="22"/>
          <w:u w:val="single"/>
          <w:lang w:val="cs-CZ"/>
        </w:rPr>
        <w:t>Revakcinace</w:t>
      </w:r>
      <w:r>
        <w:rPr>
          <w:b w:val="0"/>
          <w:szCs w:val="22"/>
          <w:lang w:val="cs-CZ"/>
        </w:rPr>
        <w:t xml:space="preserve">: Každoroční revakcinace má být podána jednou dávkou veterinárního léčivého přípravku. Šest měsíců po každé této vakcinaci by měla být aplikována jedna dávka vakcíny obsahující </w:t>
      </w:r>
      <w:proofErr w:type="spellStart"/>
      <w:r>
        <w:rPr>
          <w:b w:val="0"/>
          <w:i/>
          <w:szCs w:val="22"/>
          <w:lang w:val="cs-CZ"/>
        </w:rPr>
        <w:t>Erysipelot</w:t>
      </w:r>
      <w:r w:rsidR="00957864">
        <w:rPr>
          <w:b w:val="0"/>
          <w:i/>
          <w:szCs w:val="22"/>
          <w:lang w:val="cs-CZ"/>
        </w:rPr>
        <w:t>h</w:t>
      </w:r>
      <w:r>
        <w:rPr>
          <w:b w:val="0"/>
          <w:i/>
          <w:szCs w:val="22"/>
          <w:lang w:val="cs-CZ"/>
        </w:rPr>
        <w:t>rix</w:t>
      </w:r>
      <w:proofErr w:type="spellEnd"/>
      <w:r>
        <w:rPr>
          <w:b w:val="0"/>
          <w:i/>
          <w:szCs w:val="22"/>
          <w:lang w:val="cs-CZ"/>
        </w:rPr>
        <w:t xml:space="preserve"> </w:t>
      </w:r>
      <w:proofErr w:type="spellStart"/>
      <w:r>
        <w:rPr>
          <w:b w:val="0"/>
          <w:i/>
          <w:szCs w:val="22"/>
          <w:lang w:val="cs-CZ"/>
        </w:rPr>
        <w:t>rhusiopat</w:t>
      </w:r>
      <w:r w:rsidR="00957864">
        <w:rPr>
          <w:b w:val="0"/>
          <w:i/>
          <w:szCs w:val="22"/>
          <w:lang w:val="cs-CZ"/>
        </w:rPr>
        <w:t>h</w:t>
      </w:r>
      <w:r>
        <w:rPr>
          <w:b w:val="0"/>
          <w:i/>
          <w:szCs w:val="22"/>
          <w:lang w:val="cs-CZ"/>
        </w:rPr>
        <w:t>iae</w:t>
      </w:r>
      <w:proofErr w:type="spellEnd"/>
      <w:r>
        <w:rPr>
          <w:b w:val="0"/>
          <w:szCs w:val="22"/>
          <w:lang w:val="cs-CZ"/>
        </w:rPr>
        <w:t xml:space="preserve"> pro udržení imunity proti </w:t>
      </w:r>
      <w:proofErr w:type="spellStart"/>
      <w:r>
        <w:rPr>
          <w:b w:val="0"/>
          <w:i/>
          <w:szCs w:val="22"/>
          <w:lang w:val="cs-CZ"/>
        </w:rPr>
        <w:t>Erysipelot</w:t>
      </w:r>
      <w:r w:rsidR="00957864">
        <w:rPr>
          <w:b w:val="0"/>
          <w:i/>
          <w:szCs w:val="22"/>
          <w:lang w:val="cs-CZ"/>
        </w:rPr>
        <w:t>h</w:t>
      </w:r>
      <w:r>
        <w:rPr>
          <w:b w:val="0"/>
          <w:i/>
          <w:szCs w:val="22"/>
          <w:lang w:val="cs-CZ"/>
        </w:rPr>
        <w:t>rix</w:t>
      </w:r>
      <w:proofErr w:type="spellEnd"/>
      <w:r>
        <w:rPr>
          <w:b w:val="0"/>
          <w:i/>
          <w:szCs w:val="22"/>
          <w:lang w:val="cs-CZ"/>
        </w:rPr>
        <w:t xml:space="preserve"> </w:t>
      </w:r>
      <w:proofErr w:type="spellStart"/>
      <w:r>
        <w:rPr>
          <w:b w:val="0"/>
          <w:i/>
          <w:szCs w:val="22"/>
          <w:lang w:val="cs-CZ"/>
        </w:rPr>
        <w:t>rhusiopat</w:t>
      </w:r>
      <w:r w:rsidR="00957864">
        <w:rPr>
          <w:b w:val="0"/>
          <w:i/>
          <w:szCs w:val="22"/>
          <w:lang w:val="cs-CZ"/>
        </w:rPr>
        <w:t>h</w:t>
      </w:r>
      <w:r>
        <w:rPr>
          <w:b w:val="0"/>
          <w:i/>
          <w:szCs w:val="22"/>
          <w:lang w:val="cs-CZ"/>
        </w:rPr>
        <w:t>iae</w:t>
      </w:r>
      <w:proofErr w:type="spellEnd"/>
      <w:r>
        <w:rPr>
          <w:b w:val="0"/>
          <w:szCs w:val="22"/>
          <w:lang w:val="cs-CZ"/>
        </w:rPr>
        <w:t xml:space="preserve">. V případě známého infekčního tlaku </w:t>
      </w:r>
      <w:r>
        <w:rPr>
          <w:b w:val="0"/>
          <w:i/>
        </w:rPr>
        <w:t xml:space="preserve">L. </w:t>
      </w:r>
      <w:proofErr w:type="spellStart"/>
      <w:r>
        <w:rPr>
          <w:b w:val="0"/>
          <w:i/>
        </w:rPr>
        <w:t>interrogans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sérové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skupiny</w:t>
      </w:r>
      <w:proofErr w:type="spellEnd"/>
      <w:r>
        <w:rPr>
          <w:b w:val="0"/>
        </w:rPr>
        <w:t xml:space="preserve"> Australis </w:t>
      </w:r>
      <w:proofErr w:type="spellStart"/>
      <w:r>
        <w:rPr>
          <w:b w:val="0"/>
        </w:rPr>
        <w:t>má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být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podána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revakcinace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jednou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dávkou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veterinárního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léčivého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přípravku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každých</w:t>
      </w:r>
      <w:proofErr w:type="spellEnd"/>
      <w:r>
        <w:rPr>
          <w:b w:val="0"/>
        </w:rPr>
        <w:t xml:space="preserve"> 6 </w:t>
      </w:r>
      <w:proofErr w:type="spellStart"/>
      <w:r>
        <w:rPr>
          <w:b w:val="0"/>
        </w:rPr>
        <w:t>měsíců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protože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není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známo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jestli</w:t>
      </w:r>
      <w:proofErr w:type="spellEnd"/>
      <w:r>
        <w:rPr>
          <w:b w:val="0"/>
        </w:rPr>
        <w:t xml:space="preserve"> a </w:t>
      </w:r>
      <w:proofErr w:type="spellStart"/>
      <w:r>
        <w:rPr>
          <w:b w:val="0"/>
        </w:rPr>
        <w:t>jak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dlouho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přetrvává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imunita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proti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této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sérové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skupině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po</w:t>
      </w:r>
      <w:proofErr w:type="spellEnd"/>
      <w:r>
        <w:rPr>
          <w:b w:val="0"/>
        </w:rPr>
        <w:t xml:space="preserve"> 6 </w:t>
      </w:r>
      <w:proofErr w:type="spellStart"/>
      <w:r>
        <w:rPr>
          <w:b w:val="0"/>
        </w:rPr>
        <w:t>měsících</w:t>
      </w:r>
      <w:proofErr w:type="spellEnd"/>
      <w:r>
        <w:rPr>
          <w:b w:val="0"/>
        </w:rPr>
        <w:t>.</w:t>
      </w:r>
    </w:p>
    <w:p w14:paraId="38B540FD" w14:textId="77777777" w:rsidR="009F67BD" w:rsidRDefault="009F67BD" w:rsidP="009F67BD">
      <w:pPr>
        <w:pStyle w:val="spc1"/>
        <w:rPr>
          <w:b w:val="0"/>
          <w:szCs w:val="22"/>
          <w:lang w:val="cs-CZ"/>
        </w:rPr>
      </w:pPr>
    </w:p>
    <w:p w14:paraId="1C8AEC00" w14:textId="77777777" w:rsidR="009F67BD" w:rsidRDefault="009F67BD" w:rsidP="009F67BD">
      <w:pPr>
        <w:pStyle w:val="spc1"/>
        <w:rPr>
          <w:szCs w:val="22"/>
          <w:lang w:val="cs-CZ"/>
        </w:rPr>
      </w:pPr>
      <w:r>
        <w:rPr>
          <w:szCs w:val="22"/>
          <w:highlight w:val="lightGray"/>
          <w:lang w:val="cs-CZ"/>
        </w:rPr>
        <w:t>9.</w:t>
      </w:r>
      <w:r>
        <w:rPr>
          <w:szCs w:val="22"/>
          <w:lang w:val="cs-CZ"/>
        </w:rPr>
        <w:tab/>
        <w:t>POKYNY PRO SPRÁVNÉ PODÁNÍ</w:t>
      </w:r>
    </w:p>
    <w:p w14:paraId="188C776C" w14:textId="77777777" w:rsidR="009F67BD" w:rsidRDefault="009F67BD" w:rsidP="009F67BD">
      <w:pPr>
        <w:pStyle w:val="spc2"/>
        <w:ind w:left="0"/>
        <w:rPr>
          <w:szCs w:val="22"/>
          <w:lang w:val="cs-CZ"/>
        </w:rPr>
      </w:pPr>
      <w:bookmarkStart w:id="0" w:name="_GoBack"/>
      <w:bookmarkEnd w:id="0"/>
    </w:p>
    <w:p w14:paraId="5FCE1F48" w14:textId="77777777" w:rsidR="009F67BD" w:rsidRDefault="009F67BD" w:rsidP="009F67BD">
      <w:pPr>
        <w:pStyle w:val="spc2"/>
        <w:ind w:left="0"/>
        <w:rPr>
          <w:szCs w:val="22"/>
          <w:lang w:val="cs-CZ"/>
        </w:rPr>
      </w:pPr>
      <w:r>
        <w:rPr>
          <w:szCs w:val="22"/>
          <w:lang w:val="cs-CZ"/>
        </w:rPr>
        <w:t>Před použitím ponechte vakcínu, aby dosáhla pokojové teploty.</w:t>
      </w:r>
    </w:p>
    <w:p w14:paraId="0192FE14" w14:textId="77777777" w:rsidR="009F67BD" w:rsidRDefault="009F67BD" w:rsidP="009F67BD">
      <w:pPr>
        <w:pStyle w:val="spc2"/>
        <w:ind w:left="0"/>
        <w:rPr>
          <w:szCs w:val="22"/>
          <w:lang w:val="cs-CZ"/>
        </w:rPr>
      </w:pPr>
      <w:r>
        <w:rPr>
          <w:szCs w:val="22"/>
          <w:lang w:val="cs-CZ"/>
        </w:rPr>
        <w:t xml:space="preserve">Před použitím dobře protřepte. </w:t>
      </w:r>
    </w:p>
    <w:p w14:paraId="7F29EE79" w14:textId="75D533EF" w:rsidR="009F67BD" w:rsidRDefault="009F67BD" w:rsidP="009F67BD">
      <w:pPr>
        <w:pStyle w:val="spc2"/>
        <w:ind w:left="0"/>
        <w:rPr>
          <w:szCs w:val="22"/>
          <w:lang w:val="cs-CZ"/>
        </w:rPr>
      </w:pPr>
      <w:r>
        <w:rPr>
          <w:szCs w:val="22"/>
          <w:lang w:val="cs-CZ"/>
        </w:rPr>
        <w:t>Zabraňte kontaminaci</w:t>
      </w:r>
      <w:r w:rsidR="00702AA3">
        <w:rPr>
          <w:szCs w:val="22"/>
          <w:lang w:val="cs-CZ"/>
        </w:rPr>
        <w:t xml:space="preserve"> vícenásobn</w:t>
      </w:r>
      <w:r w:rsidR="008D4D0C">
        <w:rPr>
          <w:szCs w:val="22"/>
          <w:lang w:val="cs-CZ"/>
        </w:rPr>
        <w:t>ý</w:t>
      </w:r>
      <w:r w:rsidR="00702AA3">
        <w:rPr>
          <w:szCs w:val="22"/>
          <w:lang w:val="cs-CZ"/>
        </w:rPr>
        <w:t>m propíchnutí</w:t>
      </w:r>
      <w:r w:rsidR="008D4D0C">
        <w:rPr>
          <w:szCs w:val="22"/>
          <w:lang w:val="cs-CZ"/>
        </w:rPr>
        <w:t>m</w:t>
      </w:r>
      <w:r w:rsidR="00702AA3">
        <w:rPr>
          <w:szCs w:val="22"/>
          <w:lang w:val="cs-CZ"/>
        </w:rPr>
        <w:t xml:space="preserve"> zátky</w:t>
      </w:r>
      <w:r>
        <w:rPr>
          <w:szCs w:val="22"/>
          <w:lang w:val="cs-CZ"/>
        </w:rPr>
        <w:t xml:space="preserve">. </w:t>
      </w:r>
    </w:p>
    <w:p w14:paraId="06AE946B" w14:textId="77777777" w:rsidR="009F67BD" w:rsidRDefault="009F67BD" w:rsidP="009F67BD">
      <w:pPr>
        <w:pStyle w:val="spc2"/>
        <w:rPr>
          <w:szCs w:val="22"/>
          <w:lang w:val="cs-CZ"/>
        </w:rPr>
      </w:pPr>
    </w:p>
    <w:p w14:paraId="728080A5" w14:textId="77777777" w:rsidR="009F67BD" w:rsidRDefault="009F67BD" w:rsidP="009F67BD">
      <w:pPr>
        <w:pStyle w:val="spc1"/>
        <w:rPr>
          <w:szCs w:val="22"/>
          <w:lang w:val="cs-CZ"/>
        </w:rPr>
      </w:pPr>
      <w:r>
        <w:rPr>
          <w:szCs w:val="22"/>
          <w:highlight w:val="lightGray"/>
          <w:lang w:val="cs-CZ"/>
        </w:rPr>
        <w:t>10.</w:t>
      </w:r>
      <w:r>
        <w:rPr>
          <w:szCs w:val="22"/>
          <w:lang w:val="cs-CZ"/>
        </w:rPr>
        <w:tab/>
        <w:t>OCHRANNÁ(É) LHŮTA(Y)</w:t>
      </w:r>
    </w:p>
    <w:p w14:paraId="46D4277D" w14:textId="77777777" w:rsidR="009F67BD" w:rsidRDefault="009F67BD" w:rsidP="009F67BD">
      <w:pPr>
        <w:pStyle w:val="spc2"/>
        <w:ind w:left="0"/>
        <w:rPr>
          <w:szCs w:val="22"/>
          <w:lang w:val="cs-CZ"/>
        </w:rPr>
      </w:pPr>
    </w:p>
    <w:p w14:paraId="53FBAF77" w14:textId="77777777" w:rsidR="009F67BD" w:rsidRDefault="009F67BD" w:rsidP="009F67BD">
      <w:pPr>
        <w:pStyle w:val="spc2"/>
        <w:ind w:left="0"/>
        <w:rPr>
          <w:szCs w:val="22"/>
          <w:lang w:val="cs-CZ"/>
        </w:rPr>
      </w:pPr>
      <w:r>
        <w:rPr>
          <w:szCs w:val="22"/>
          <w:lang w:val="cs-CZ"/>
        </w:rPr>
        <w:t>Bez ochranných lhůt.</w:t>
      </w:r>
    </w:p>
    <w:p w14:paraId="798745E3" w14:textId="77777777" w:rsidR="009F67BD" w:rsidRDefault="009F67BD" w:rsidP="009F67BD">
      <w:pPr>
        <w:pStyle w:val="spc2"/>
        <w:rPr>
          <w:szCs w:val="22"/>
          <w:lang w:val="cs-CZ"/>
        </w:rPr>
      </w:pPr>
    </w:p>
    <w:p w14:paraId="5591179D" w14:textId="77777777" w:rsidR="009F67BD" w:rsidRDefault="009F67BD" w:rsidP="009F67BD">
      <w:pPr>
        <w:pStyle w:val="spc1"/>
        <w:rPr>
          <w:szCs w:val="22"/>
          <w:lang w:val="cs-CZ"/>
        </w:rPr>
      </w:pPr>
      <w:r>
        <w:rPr>
          <w:szCs w:val="22"/>
          <w:highlight w:val="lightGray"/>
          <w:lang w:val="cs-CZ"/>
        </w:rPr>
        <w:t>11.</w:t>
      </w:r>
      <w:r>
        <w:rPr>
          <w:szCs w:val="22"/>
          <w:lang w:val="cs-CZ"/>
        </w:rPr>
        <w:tab/>
        <w:t>ZVLÁŠTNÍ OPATŘENÍ PRO UCHOVÁVÁNÍ</w:t>
      </w:r>
    </w:p>
    <w:p w14:paraId="3A43CF82" w14:textId="77777777" w:rsidR="009F67BD" w:rsidRDefault="009F67BD" w:rsidP="009F67BD">
      <w:pPr>
        <w:pStyle w:val="spc2"/>
        <w:ind w:left="0"/>
        <w:rPr>
          <w:szCs w:val="22"/>
          <w:lang w:val="cs-CZ"/>
        </w:rPr>
      </w:pPr>
    </w:p>
    <w:p w14:paraId="567C702A" w14:textId="77777777" w:rsidR="009F67BD" w:rsidRDefault="009F67BD" w:rsidP="009F67BD">
      <w:pPr>
        <w:pStyle w:val="spc2"/>
        <w:ind w:left="0"/>
        <w:rPr>
          <w:szCs w:val="22"/>
          <w:lang w:val="cs-CZ"/>
        </w:rPr>
      </w:pPr>
      <w:r>
        <w:rPr>
          <w:szCs w:val="22"/>
          <w:lang w:val="cs-CZ"/>
        </w:rPr>
        <w:t>Uchovávat mimo dohled a dosah dětí.</w:t>
      </w:r>
    </w:p>
    <w:p w14:paraId="7EE7CF19" w14:textId="77777777" w:rsidR="009F67BD" w:rsidRDefault="009F67BD" w:rsidP="009F67BD">
      <w:pPr>
        <w:pStyle w:val="spc2"/>
        <w:ind w:left="0"/>
        <w:rPr>
          <w:szCs w:val="22"/>
          <w:lang w:val="cs-CZ"/>
        </w:rPr>
      </w:pPr>
    </w:p>
    <w:p w14:paraId="1E00FC1A" w14:textId="77777777" w:rsidR="009F67BD" w:rsidRDefault="009F67BD" w:rsidP="009F67BD">
      <w:pPr>
        <w:pStyle w:val="spc2"/>
        <w:ind w:left="0"/>
        <w:rPr>
          <w:szCs w:val="22"/>
          <w:lang w:val="cs-CZ"/>
        </w:rPr>
      </w:pPr>
      <w:r>
        <w:rPr>
          <w:szCs w:val="22"/>
          <w:lang w:val="cs-CZ"/>
        </w:rPr>
        <w:t>Uchovávejte v chladničce (</w:t>
      </w:r>
      <w:smartTag w:uri="urn:schemas-microsoft-com:office:smarttags" w:element="metricconverter">
        <w:smartTagPr>
          <w:attr w:name="ProductID" w:val="2ﾰC"/>
        </w:smartTagPr>
        <w:r>
          <w:rPr>
            <w:szCs w:val="22"/>
            <w:lang w:val="cs-CZ"/>
          </w:rPr>
          <w:t>2°C</w:t>
        </w:r>
      </w:smartTag>
      <w:r>
        <w:rPr>
          <w:szCs w:val="22"/>
          <w:lang w:val="cs-CZ"/>
        </w:rPr>
        <w:t xml:space="preserve"> – </w:t>
      </w:r>
      <w:smartTag w:uri="urn:schemas-microsoft-com:office:smarttags" w:element="metricconverter">
        <w:smartTagPr>
          <w:attr w:name="ProductID" w:val="8ﾰC"/>
        </w:smartTagPr>
        <w:r>
          <w:rPr>
            <w:szCs w:val="22"/>
            <w:lang w:val="cs-CZ"/>
          </w:rPr>
          <w:t>8°C</w:t>
        </w:r>
      </w:smartTag>
      <w:r>
        <w:rPr>
          <w:szCs w:val="22"/>
          <w:lang w:val="cs-CZ"/>
        </w:rPr>
        <w:t xml:space="preserve">). </w:t>
      </w:r>
    </w:p>
    <w:p w14:paraId="26D43B67" w14:textId="77777777" w:rsidR="009F67BD" w:rsidRDefault="009F67BD" w:rsidP="009F67BD">
      <w:pPr>
        <w:pStyle w:val="spc2"/>
        <w:ind w:left="0"/>
        <w:rPr>
          <w:szCs w:val="22"/>
          <w:lang w:val="cs-CZ"/>
        </w:rPr>
      </w:pPr>
      <w:r>
        <w:rPr>
          <w:szCs w:val="22"/>
          <w:lang w:val="cs-CZ"/>
        </w:rPr>
        <w:t xml:space="preserve">Chraňte před mrazem. </w:t>
      </w:r>
    </w:p>
    <w:p w14:paraId="36F79C9C" w14:textId="77777777" w:rsidR="009F67BD" w:rsidRDefault="009F67BD" w:rsidP="009F67BD">
      <w:pPr>
        <w:pStyle w:val="spc2"/>
        <w:ind w:left="0"/>
        <w:rPr>
          <w:szCs w:val="22"/>
          <w:lang w:val="cs-CZ"/>
        </w:rPr>
      </w:pPr>
      <w:r>
        <w:rPr>
          <w:szCs w:val="22"/>
          <w:lang w:val="cs-CZ"/>
        </w:rPr>
        <w:t>Chraňte před světlem.</w:t>
      </w:r>
    </w:p>
    <w:p w14:paraId="543FDD5E" w14:textId="77777777" w:rsidR="009F67BD" w:rsidRDefault="009F67BD" w:rsidP="009F67BD">
      <w:pPr>
        <w:pStyle w:val="spc2"/>
        <w:ind w:left="0"/>
        <w:rPr>
          <w:szCs w:val="22"/>
          <w:lang w:val="cs-CZ"/>
        </w:rPr>
      </w:pPr>
    </w:p>
    <w:p w14:paraId="311C510A" w14:textId="77777777" w:rsidR="009F67BD" w:rsidRDefault="009F67BD" w:rsidP="009F67BD">
      <w:pPr>
        <w:pStyle w:val="spc2"/>
        <w:ind w:left="0"/>
        <w:rPr>
          <w:szCs w:val="22"/>
          <w:lang w:val="cs-CZ"/>
        </w:rPr>
      </w:pPr>
      <w:r>
        <w:rPr>
          <w:szCs w:val="22"/>
          <w:lang w:val="cs-CZ"/>
        </w:rPr>
        <w:t>Nepoužívejte tento veterinární léčivý přípravek po uplynutí doby použitelnosti uvedené na etiketě.</w:t>
      </w:r>
    </w:p>
    <w:p w14:paraId="265DCA12" w14:textId="77777777" w:rsidR="009F67BD" w:rsidRDefault="009F67BD" w:rsidP="009F67BD">
      <w:pPr>
        <w:pStyle w:val="spc2"/>
        <w:ind w:left="0"/>
        <w:rPr>
          <w:szCs w:val="22"/>
          <w:lang w:val="cs-CZ"/>
        </w:rPr>
      </w:pPr>
      <w:r>
        <w:rPr>
          <w:szCs w:val="22"/>
          <w:lang w:val="cs-CZ"/>
        </w:rPr>
        <w:t>Doba použitelnosti po prvním otevření vnitřního obalu: 10 hodin.</w:t>
      </w:r>
    </w:p>
    <w:p w14:paraId="771DDB6B" w14:textId="77777777" w:rsidR="009F67BD" w:rsidRDefault="009F67BD" w:rsidP="009F67BD">
      <w:pPr>
        <w:pStyle w:val="spc2"/>
        <w:rPr>
          <w:szCs w:val="22"/>
          <w:lang w:val="cs-CZ"/>
        </w:rPr>
      </w:pPr>
    </w:p>
    <w:p w14:paraId="4F7791A1" w14:textId="77777777" w:rsidR="009F67BD" w:rsidRDefault="009F67BD" w:rsidP="009F67BD">
      <w:pPr>
        <w:pStyle w:val="spc1"/>
        <w:rPr>
          <w:szCs w:val="22"/>
          <w:lang w:val="cs-CZ"/>
        </w:rPr>
      </w:pPr>
      <w:r>
        <w:rPr>
          <w:szCs w:val="22"/>
          <w:highlight w:val="lightGray"/>
          <w:lang w:val="cs-CZ"/>
        </w:rPr>
        <w:t>12.</w:t>
      </w:r>
      <w:r>
        <w:rPr>
          <w:szCs w:val="22"/>
          <w:lang w:val="cs-CZ"/>
        </w:rPr>
        <w:tab/>
        <w:t>ZVLÁŠTNÍ UPOZORNĚNÍ</w:t>
      </w:r>
    </w:p>
    <w:p w14:paraId="391AADC6" w14:textId="77777777" w:rsidR="009F67BD" w:rsidRDefault="009F67BD" w:rsidP="009F67BD">
      <w:pPr>
        <w:pStyle w:val="spc2"/>
        <w:ind w:left="0"/>
        <w:rPr>
          <w:szCs w:val="22"/>
          <w:lang w:val="cs-CZ"/>
        </w:rPr>
      </w:pPr>
    </w:p>
    <w:p w14:paraId="4F894811" w14:textId="77777777" w:rsidR="009F67BD" w:rsidRDefault="009F67BD" w:rsidP="009F67BD">
      <w:pPr>
        <w:pStyle w:val="spc1"/>
        <w:jc w:val="both"/>
        <w:outlineLvl w:val="0"/>
        <w:rPr>
          <w:b w:val="0"/>
          <w:szCs w:val="22"/>
          <w:u w:val="single"/>
          <w:lang w:val="cs-CZ"/>
        </w:rPr>
      </w:pPr>
      <w:r>
        <w:rPr>
          <w:b w:val="0"/>
          <w:szCs w:val="22"/>
          <w:u w:val="single"/>
          <w:lang w:val="cs-CZ"/>
        </w:rPr>
        <w:t>Zvláštní upozornění pro každý cílový druh:</w:t>
      </w:r>
    </w:p>
    <w:p w14:paraId="609E846C" w14:textId="77777777" w:rsidR="009F67BD" w:rsidRDefault="009F67BD" w:rsidP="009F67BD">
      <w:pPr>
        <w:pStyle w:val="spc2"/>
        <w:ind w:left="0"/>
        <w:jc w:val="both"/>
        <w:outlineLvl w:val="0"/>
        <w:rPr>
          <w:szCs w:val="22"/>
          <w:lang w:val="cs-CZ"/>
        </w:rPr>
      </w:pPr>
      <w:r>
        <w:rPr>
          <w:szCs w:val="22"/>
          <w:lang w:val="cs-CZ"/>
        </w:rPr>
        <w:lastRenderedPageBreak/>
        <w:t>Vakcinujte pouze zdravá zvířata.</w:t>
      </w:r>
    </w:p>
    <w:p w14:paraId="3C4B11AE" w14:textId="77777777" w:rsidR="009F67BD" w:rsidRDefault="009F67BD" w:rsidP="009F67BD">
      <w:pPr>
        <w:pStyle w:val="spc2"/>
        <w:ind w:left="0"/>
        <w:jc w:val="both"/>
        <w:outlineLvl w:val="0"/>
        <w:rPr>
          <w:szCs w:val="22"/>
          <w:u w:val="single"/>
          <w:lang w:val="cs-CZ"/>
        </w:rPr>
      </w:pPr>
      <w:r>
        <w:rPr>
          <w:szCs w:val="22"/>
          <w:u w:val="single"/>
          <w:lang w:val="cs-CZ"/>
        </w:rPr>
        <w:t>Zvláštní opatření pro použití u zvířat:</w:t>
      </w:r>
    </w:p>
    <w:p w14:paraId="26F21003" w14:textId="77777777" w:rsidR="009F67BD" w:rsidRDefault="009F67BD" w:rsidP="009F67BD">
      <w:pPr>
        <w:pStyle w:val="spc2"/>
        <w:ind w:left="0"/>
        <w:jc w:val="both"/>
        <w:outlineLvl w:val="0"/>
        <w:rPr>
          <w:szCs w:val="22"/>
          <w:lang w:val="cs-CZ"/>
        </w:rPr>
      </w:pPr>
      <w:r>
        <w:rPr>
          <w:szCs w:val="22"/>
          <w:lang w:val="cs-CZ"/>
        </w:rPr>
        <w:t>Neuplatňuje se.</w:t>
      </w:r>
    </w:p>
    <w:p w14:paraId="2F5D07BA" w14:textId="77777777" w:rsidR="009F67BD" w:rsidRDefault="009F67BD" w:rsidP="009F67BD">
      <w:pPr>
        <w:pStyle w:val="spc2"/>
        <w:ind w:left="0"/>
        <w:jc w:val="both"/>
        <w:rPr>
          <w:szCs w:val="22"/>
          <w:lang w:val="cs-CZ"/>
        </w:rPr>
      </w:pPr>
    </w:p>
    <w:p w14:paraId="1EFE2CBC" w14:textId="77777777" w:rsidR="009F67BD" w:rsidRDefault="009F67BD" w:rsidP="009F67BD">
      <w:pPr>
        <w:pStyle w:val="spc2"/>
        <w:ind w:left="0"/>
        <w:jc w:val="both"/>
        <w:rPr>
          <w:szCs w:val="22"/>
          <w:u w:val="single"/>
          <w:lang w:val="cs-CZ"/>
        </w:rPr>
      </w:pPr>
      <w:r>
        <w:rPr>
          <w:szCs w:val="22"/>
          <w:u w:val="single"/>
          <w:lang w:val="cs-CZ"/>
        </w:rPr>
        <w:t>Zvláštní opatření určené osobám, které podávají veterinární léčivý přípravek zvířatům:</w:t>
      </w:r>
    </w:p>
    <w:p w14:paraId="1806EAB0" w14:textId="77777777" w:rsidR="009F67BD" w:rsidRDefault="009F67BD" w:rsidP="009F67BD">
      <w:pPr>
        <w:tabs>
          <w:tab w:val="clear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případě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náhodného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sebepoškození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injekčně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aplikovaným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přípravkem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vyhledejte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ihned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lékařskou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pomoc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ukažte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příbalovou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nebo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etiketu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praktickému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lékaři</w:t>
      </w:r>
      <w:proofErr w:type="spellEnd"/>
      <w:r>
        <w:rPr>
          <w:sz w:val="22"/>
          <w:szCs w:val="22"/>
        </w:rPr>
        <w:t>.</w:t>
      </w:r>
    </w:p>
    <w:p w14:paraId="5C6612DD" w14:textId="77777777" w:rsidR="009F67BD" w:rsidRDefault="009F67BD" w:rsidP="009F67BD">
      <w:pPr>
        <w:tabs>
          <w:tab w:val="clear" w:pos="567"/>
        </w:tabs>
        <w:jc w:val="both"/>
        <w:rPr>
          <w:sz w:val="22"/>
          <w:szCs w:val="22"/>
        </w:rPr>
      </w:pPr>
    </w:p>
    <w:p w14:paraId="52EE9993" w14:textId="77777777" w:rsidR="009F67BD" w:rsidRDefault="009F67BD" w:rsidP="009F67BD">
      <w:pPr>
        <w:tabs>
          <w:tab w:val="clear" w:pos="567"/>
        </w:tabs>
        <w:jc w:val="both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  <w:u w:val="single"/>
        </w:rPr>
        <w:t>Březost</w:t>
      </w:r>
      <w:proofErr w:type="spellEnd"/>
      <w:r>
        <w:rPr>
          <w:sz w:val="22"/>
          <w:szCs w:val="22"/>
          <w:u w:val="single"/>
        </w:rPr>
        <w:t xml:space="preserve"> a </w:t>
      </w:r>
      <w:proofErr w:type="spellStart"/>
      <w:r>
        <w:rPr>
          <w:sz w:val="22"/>
          <w:szCs w:val="22"/>
          <w:u w:val="single"/>
        </w:rPr>
        <w:t>laktace</w:t>
      </w:r>
      <w:proofErr w:type="spellEnd"/>
      <w:r>
        <w:rPr>
          <w:sz w:val="22"/>
          <w:szCs w:val="22"/>
          <w:u w:val="single"/>
        </w:rPr>
        <w:t>:</w:t>
      </w:r>
    </w:p>
    <w:p w14:paraId="26868ED2" w14:textId="77777777" w:rsidR="009F67BD" w:rsidRDefault="009F67BD" w:rsidP="009F67BD">
      <w:pPr>
        <w:tabs>
          <w:tab w:val="clear" w:pos="567"/>
        </w:tabs>
        <w:jc w:val="both"/>
        <w:rPr>
          <w:sz w:val="22"/>
          <w:szCs w:val="22"/>
        </w:rPr>
      </w:pPr>
      <w:r>
        <w:rPr>
          <w:sz w:val="22"/>
          <w:szCs w:val="22"/>
          <w:lang w:val="cs-CZ"/>
        </w:rPr>
        <w:t>Lze použít během březosti a laktace.</w:t>
      </w:r>
    </w:p>
    <w:p w14:paraId="1321CFC8" w14:textId="77777777" w:rsidR="009F67BD" w:rsidRDefault="009F67BD" w:rsidP="009F67BD">
      <w:pPr>
        <w:pStyle w:val="spc2"/>
        <w:jc w:val="both"/>
        <w:rPr>
          <w:szCs w:val="22"/>
          <w:lang w:val="cs-CZ"/>
        </w:rPr>
      </w:pPr>
    </w:p>
    <w:p w14:paraId="132CD5B2" w14:textId="77777777" w:rsidR="009F67BD" w:rsidRDefault="009F67BD" w:rsidP="009F67BD">
      <w:pPr>
        <w:pStyle w:val="spc2"/>
        <w:ind w:left="0"/>
        <w:jc w:val="both"/>
        <w:rPr>
          <w:szCs w:val="22"/>
          <w:u w:val="single"/>
          <w:lang w:val="cs-CZ"/>
        </w:rPr>
      </w:pPr>
      <w:r>
        <w:rPr>
          <w:szCs w:val="22"/>
          <w:u w:val="single"/>
          <w:lang w:val="cs-CZ"/>
        </w:rPr>
        <w:t>Interakce s dalšími léčivými přípravky a další formy interakce:</w:t>
      </w:r>
    </w:p>
    <w:p w14:paraId="3A0EBD52" w14:textId="77777777" w:rsidR="009F67BD" w:rsidRDefault="009F67BD" w:rsidP="009F67BD">
      <w:pPr>
        <w:pStyle w:val="spc2"/>
        <w:ind w:left="0"/>
        <w:jc w:val="both"/>
        <w:rPr>
          <w:szCs w:val="22"/>
          <w:lang w:val="cs-CZ"/>
        </w:rPr>
      </w:pPr>
      <w:r>
        <w:rPr>
          <w:szCs w:val="22"/>
          <w:lang w:val="cs-CZ"/>
        </w:rPr>
        <w:t>Nejsou dostupné informace o bezpečnosti a účinnosti této vakcíny, pokud je podávána zároveň s jiným veterinárním léčivým přípravkem. Rozhodnutí o použití této vakcíny před nebo po jakémkoliv jiném veterinárním léčivém přípravku musí být provedeno na základě zvážení jednotlivých případů.</w:t>
      </w:r>
    </w:p>
    <w:p w14:paraId="6281BA58" w14:textId="77777777" w:rsidR="009F67BD" w:rsidRDefault="009F67BD" w:rsidP="009F67BD">
      <w:pPr>
        <w:pStyle w:val="spc1"/>
        <w:jc w:val="both"/>
        <w:outlineLvl w:val="0"/>
        <w:rPr>
          <w:szCs w:val="22"/>
          <w:lang w:val="cs-CZ"/>
        </w:rPr>
      </w:pPr>
    </w:p>
    <w:p w14:paraId="25D6ADB8" w14:textId="77777777" w:rsidR="009F67BD" w:rsidRDefault="009F67BD" w:rsidP="009F67BD">
      <w:pPr>
        <w:pStyle w:val="spc1"/>
        <w:jc w:val="both"/>
        <w:outlineLvl w:val="0"/>
        <w:rPr>
          <w:b w:val="0"/>
          <w:szCs w:val="22"/>
          <w:u w:val="single"/>
          <w:lang w:val="cs-CZ"/>
        </w:rPr>
      </w:pPr>
      <w:r>
        <w:rPr>
          <w:b w:val="0"/>
          <w:szCs w:val="22"/>
          <w:u w:val="single"/>
          <w:lang w:val="cs-CZ"/>
        </w:rPr>
        <w:t xml:space="preserve">Předávkování (symptomy, první pomoc, </w:t>
      </w:r>
      <w:proofErr w:type="spellStart"/>
      <w:r>
        <w:rPr>
          <w:b w:val="0"/>
          <w:szCs w:val="22"/>
          <w:u w:val="single"/>
          <w:lang w:val="cs-CZ"/>
        </w:rPr>
        <w:t>antidota</w:t>
      </w:r>
      <w:proofErr w:type="spellEnd"/>
      <w:r>
        <w:rPr>
          <w:b w:val="0"/>
          <w:szCs w:val="22"/>
          <w:u w:val="single"/>
          <w:lang w:val="cs-CZ"/>
        </w:rPr>
        <w:t>):</w:t>
      </w:r>
    </w:p>
    <w:p w14:paraId="37D326F7" w14:textId="77777777" w:rsidR="009F67BD" w:rsidRDefault="009F67BD" w:rsidP="009F67BD">
      <w:pPr>
        <w:pStyle w:val="spc1"/>
        <w:tabs>
          <w:tab w:val="clear" w:pos="567"/>
        </w:tabs>
        <w:ind w:left="0" w:firstLine="0"/>
        <w:jc w:val="both"/>
        <w:rPr>
          <w:b w:val="0"/>
          <w:szCs w:val="22"/>
          <w:lang w:val="cs-CZ"/>
        </w:rPr>
      </w:pPr>
      <w:r>
        <w:rPr>
          <w:b w:val="0"/>
          <w:szCs w:val="22"/>
          <w:lang w:val="cs-CZ"/>
        </w:rPr>
        <w:t>Po podání dvojnásobné dávky vakcíny nebyly pozorovány jiné nežádoucí účinky než ty, které byly popsány v části 6.</w:t>
      </w:r>
    </w:p>
    <w:p w14:paraId="3A8A9145" w14:textId="77777777" w:rsidR="009F67BD" w:rsidRDefault="009F67BD" w:rsidP="009F67BD">
      <w:pPr>
        <w:pStyle w:val="spc2"/>
        <w:ind w:left="0"/>
        <w:jc w:val="both"/>
        <w:rPr>
          <w:szCs w:val="22"/>
          <w:lang w:val="cs-CZ"/>
        </w:rPr>
      </w:pPr>
    </w:p>
    <w:p w14:paraId="70F3DF1A" w14:textId="77777777" w:rsidR="009F67BD" w:rsidRDefault="009F67BD" w:rsidP="009F67BD">
      <w:pPr>
        <w:pStyle w:val="spc2"/>
        <w:ind w:left="0"/>
        <w:jc w:val="both"/>
        <w:rPr>
          <w:szCs w:val="22"/>
          <w:u w:val="single"/>
          <w:lang w:val="cs-CZ"/>
        </w:rPr>
      </w:pPr>
      <w:r>
        <w:rPr>
          <w:szCs w:val="22"/>
          <w:u w:val="single"/>
          <w:lang w:val="cs-CZ"/>
        </w:rPr>
        <w:t>Inkompatibility:</w:t>
      </w:r>
    </w:p>
    <w:p w14:paraId="56C2DCE2" w14:textId="77777777" w:rsidR="009F67BD" w:rsidRDefault="009F67BD" w:rsidP="009F67BD">
      <w:pPr>
        <w:pStyle w:val="spc2"/>
        <w:ind w:left="0"/>
        <w:jc w:val="both"/>
        <w:rPr>
          <w:szCs w:val="22"/>
          <w:lang w:val="cs-CZ"/>
        </w:rPr>
      </w:pPr>
      <w:r>
        <w:rPr>
          <w:szCs w:val="22"/>
          <w:lang w:val="cs-CZ"/>
        </w:rPr>
        <w:t>Nemísit s jiným veterinárním léčivým přípravkem.</w:t>
      </w:r>
    </w:p>
    <w:p w14:paraId="0CA0AE6F" w14:textId="77777777" w:rsidR="009F67BD" w:rsidRDefault="009F67BD" w:rsidP="009F67BD">
      <w:pPr>
        <w:pStyle w:val="spc2"/>
        <w:ind w:left="0"/>
        <w:jc w:val="both"/>
        <w:rPr>
          <w:szCs w:val="22"/>
          <w:lang w:val="cs-CZ"/>
        </w:rPr>
      </w:pPr>
    </w:p>
    <w:p w14:paraId="0B50941F" w14:textId="77777777" w:rsidR="009F67BD" w:rsidRDefault="009F67BD" w:rsidP="009F67BD">
      <w:pPr>
        <w:pStyle w:val="spc1"/>
        <w:jc w:val="both"/>
        <w:rPr>
          <w:szCs w:val="22"/>
          <w:lang w:val="cs-CZ"/>
        </w:rPr>
      </w:pPr>
      <w:r>
        <w:rPr>
          <w:szCs w:val="22"/>
          <w:highlight w:val="lightGray"/>
          <w:lang w:val="cs-CZ"/>
        </w:rPr>
        <w:t>13.</w:t>
      </w:r>
      <w:r>
        <w:rPr>
          <w:szCs w:val="22"/>
          <w:lang w:val="cs-CZ"/>
        </w:rPr>
        <w:tab/>
        <w:t>ZVLÁŠTNÍ OPATŘENÍ PRO ZNEŠKODŇOVÁNÍ NEPOUŽITÝCH PŘÍPRAVKŮ NEBO ODPADU, POKUD JE JICH TŘEBA</w:t>
      </w:r>
    </w:p>
    <w:p w14:paraId="2D4F1ACA" w14:textId="77777777" w:rsidR="009F67BD" w:rsidRDefault="009F67BD" w:rsidP="009F67BD">
      <w:pPr>
        <w:pStyle w:val="spc2"/>
        <w:ind w:left="0"/>
        <w:jc w:val="both"/>
        <w:rPr>
          <w:b/>
          <w:szCs w:val="22"/>
          <w:lang w:val="cs-CZ"/>
        </w:rPr>
      </w:pPr>
    </w:p>
    <w:p w14:paraId="4EC393B2" w14:textId="77777777" w:rsidR="009F67BD" w:rsidRDefault="009F67BD" w:rsidP="009F67BD">
      <w:pPr>
        <w:pStyle w:val="spc2"/>
        <w:ind w:left="0"/>
        <w:jc w:val="both"/>
        <w:rPr>
          <w:szCs w:val="22"/>
          <w:lang w:val="cs-CZ"/>
        </w:rPr>
      </w:pPr>
      <w:r>
        <w:rPr>
          <w:szCs w:val="22"/>
          <w:lang w:val="cs-CZ"/>
        </w:rPr>
        <w:t>O možnostech likvidace nepotřebných léčivých přípravků se poraďte s vaším veterinárním lékařem. Tato opatření napomáhají chránit životní prostředí.</w:t>
      </w:r>
    </w:p>
    <w:p w14:paraId="4005E51D" w14:textId="77777777" w:rsidR="009F67BD" w:rsidRDefault="009F67BD" w:rsidP="009F67BD">
      <w:pPr>
        <w:pStyle w:val="spc2"/>
        <w:jc w:val="both"/>
        <w:rPr>
          <w:szCs w:val="22"/>
          <w:lang w:val="cs-CZ"/>
        </w:rPr>
      </w:pPr>
    </w:p>
    <w:p w14:paraId="3D334E05" w14:textId="77777777" w:rsidR="009F67BD" w:rsidRDefault="009F67BD" w:rsidP="009F67BD">
      <w:pPr>
        <w:pStyle w:val="spc1"/>
        <w:jc w:val="both"/>
        <w:rPr>
          <w:szCs w:val="22"/>
          <w:lang w:val="cs-CZ"/>
        </w:rPr>
      </w:pPr>
      <w:r>
        <w:rPr>
          <w:szCs w:val="22"/>
          <w:highlight w:val="lightGray"/>
          <w:lang w:val="cs-CZ"/>
        </w:rPr>
        <w:t>14</w:t>
      </w:r>
      <w:r>
        <w:rPr>
          <w:szCs w:val="22"/>
          <w:lang w:val="cs-CZ"/>
        </w:rPr>
        <w:t>.</w:t>
      </w:r>
      <w:r>
        <w:rPr>
          <w:szCs w:val="22"/>
          <w:lang w:val="cs-CZ"/>
        </w:rPr>
        <w:tab/>
        <w:t>DATUM POSLEDNÍ REVIZE PŘÍBALOVÉ INFORMACE</w:t>
      </w:r>
    </w:p>
    <w:p w14:paraId="7444F067" w14:textId="77777777" w:rsidR="009F67BD" w:rsidRDefault="009F67BD" w:rsidP="009F67BD">
      <w:pPr>
        <w:pStyle w:val="spc2"/>
        <w:ind w:left="0"/>
        <w:jc w:val="both"/>
        <w:rPr>
          <w:szCs w:val="22"/>
          <w:lang w:val="cs-CZ"/>
        </w:rPr>
      </w:pPr>
    </w:p>
    <w:p w14:paraId="7B6B0B86" w14:textId="00392F2A" w:rsidR="00121CDD" w:rsidRDefault="00121CDD" w:rsidP="009F67BD">
      <w:pPr>
        <w:pStyle w:val="spc2"/>
        <w:ind w:left="0"/>
        <w:jc w:val="both"/>
        <w:rPr>
          <w:szCs w:val="22"/>
          <w:lang w:val="cs-CZ"/>
        </w:rPr>
      </w:pPr>
      <w:r>
        <w:rPr>
          <w:szCs w:val="22"/>
          <w:lang w:val="cs-CZ"/>
        </w:rPr>
        <w:t>Srpen 2021</w:t>
      </w:r>
    </w:p>
    <w:p w14:paraId="4267C315" w14:textId="77777777" w:rsidR="009F67BD" w:rsidRDefault="009F67BD" w:rsidP="009F67BD">
      <w:pPr>
        <w:pStyle w:val="spc2"/>
        <w:jc w:val="both"/>
        <w:rPr>
          <w:szCs w:val="22"/>
          <w:lang w:val="cs-CZ"/>
        </w:rPr>
      </w:pPr>
    </w:p>
    <w:p w14:paraId="7F344BE8" w14:textId="77777777" w:rsidR="009F67BD" w:rsidRDefault="009F67BD" w:rsidP="009F67BD">
      <w:pPr>
        <w:pStyle w:val="spc1"/>
        <w:jc w:val="both"/>
        <w:rPr>
          <w:szCs w:val="22"/>
          <w:lang w:val="cs-CZ"/>
        </w:rPr>
      </w:pPr>
      <w:r>
        <w:rPr>
          <w:szCs w:val="22"/>
          <w:highlight w:val="lightGray"/>
          <w:lang w:val="cs-CZ"/>
        </w:rPr>
        <w:t>15.</w:t>
      </w:r>
      <w:r>
        <w:rPr>
          <w:szCs w:val="22"/>
          <w:lang w:val="cs-CZ"/>
        </w:rPr>
        <w:tab/>
        <w:t>DALŠÍ INFORMACE</w:t>
      </w:r>
    </w:p>
    <w:p w14:paraId="1450F88C" w14:textId="77777777" w:rsidR="009F67BD" w:rsidRDefault="009F67BD" w:rsidP="009F67BD">
      <w:pPr>
        <w:pStyle w:val="spc2"/>
        <w:ind w:left="0"/>
        <w:jc w:val="both"/>
        <w:rPr>
          <w:szCs w:val="22"/>
          <w:lang w:val="cs-CZ"/>
        </w:rPr>
      </w:pPr>
    </w:p>
    <w:p w14:paraId="015BD0AE" w14:textId="77777777" w:rsidR="009F67BD" w:rsidRDefault="009F67BD" w:rsidP="009F67BD">
      <w:pPr>
        <w:pStyle w:val="spc2"/>
        <w:ind w:left="0"/>
        <w:jc w:val="both"/>
        <w:rPr>
          <w:szCs w:val="22"/>
          <w:lang w:val="cs-CZ"/>
        </w:rPr>
      </w:pPr>
      <w:r>
        <w:rPr>
          <w:szCs w:val="22"/>
          <w:lang w:val="cs-CZ"/>
        </w:rPr>
        <w:t>Velikosti balení:</w:t>
      </w:r>
    </w:p>
    <w:p w14:paraId="3A615111" w14:textId="77777777" w:rsidR="009F67BD" w:rsidRDefault="009F67BD" w:rsidP="009F67BD">
      <w:pPr>
        <w:pStyle w:val="spc2"/>
        <w:ind w:left="0"/>
        <w:jc w:val="both"/>
        <w:rPr>
          <w:szCs w:val="22"/>
          <w:lang w:val="cs-CZ"/>
        </w:rPr>
      </w:pPr>
      <w:r>
        <w:rPr>
          <w:szCs w:val="22"/>
          <w:lang w:val="cs-CZ"/>
        </w:rPr>
        <w:t>Kartonová krabička s 1 injekční lahvičkou 20 ml.</w:t>
      </w:r>
    </w:p>
    <w:p w14:paraId="426FD94F" w14:textId="77777777" w:rsidR="009F67BD" w:rsidRDefault="009F67BD" w:rsidP="009F67BD">
      <w:pPr>
        <w:pStyle w:val="spc2"/>
        <w:ind w:left="0"/>
        <w:jc w:val="both"/>
        <w:rPr>
          <w:szCs w:val="22"/>
          <w:lang w:val="cs-CZ"/>
        </w:rPr>
      </w:pPr>
      <w:r>
        <w:rPr>
          <w:szCs w:val="22"/>
          <w:lang w:val="cs-CZ"/>
        </w:rPr>
        <w:t>Kartonová krabička s 10 injekčními lahvičkami po 20 ml.</w:t>
      </w:r>
    </w:p>
    <w:p w14:paraId="57F092B9" w14:textId="77777777" w:rsidR="009F67BD" w:rsidRDefault="009F67BD" w:rsidP="009F67BD">
      <w:pPr>
        <w:pStyle w:val="spc2"/>
        <w:ind w:left="0"/>
        <w:jc w:val="both"/>
        <w:rPr>
          <w:szCs w:val="22"/>
          <w:lang w:val="cs-CZ"/>
        </w:rPr>
      </w:pPr>
      <w:r>
        <w:rPr>
          <w:szCs w:val="22"/>
          <w:lang w:val="cs-CZ"/>
        </w:rPr>
        <w:t>Kartonová krabička s 1 injekční lahvičkou 50 ml.</w:t>
      </w:r>
    </w:p>
    <w:p w14:paraId="4339BA0B" w14:textId="77777777" w:rsidR="009F67BD" w:rsidRDefault="009F67BD" w:rsidP="009F67BD">
      <w:pPr>
        <w:pStyle w:val="spc2"/>
        <w:ind w:left="0"/>
        <w:jc w:val="both"/>
        <w:rPr>
          <w:szCs w:val="22"/>
          <w:lang w:val="cs-CZ"/>
        </w:rPr>
      </w:pPr>
      <w:r>
        <w:rPr>
          <w:szCs w:val="22"/>
          <w:lang w:val="cs-CZ"/>
        </w:rPr>
        <w:t>Kartonová krabička s 10 injekčními lahvičkami po 50 ml.</w:t>
      </w:r>
    </w:p>
    <w:p w14:paraId="18A314FC" w14:textId="77777777" w:rsidR="009F67BD" w:rsidRDefault="009F67BD" w:rsidP="009F67BD">
      <w:pPr>
        <w:pStyle w:val="spc2"/>
        <w:ind w:left="0"/>
        <w:jc w:val="both"/>
        <w:rPr>
          <w:szCs w:val="22"/>
          <w:lang w:val="cs-CZ"/>
        </w:rPr>
      </w:pPr>
      <w:r>
        <w:rPr>
          <w:szCs w:val="22"/>
          <w:lang w:val="cs-CZ"/>
        </w:rPr>
        <w:t>Kartonová krabička s 1 injekční lahvičkou 100 ml.</w:t>
      </w:r>
    </w:p>
    <w:p w14:paraId="4368CAFC" w14:textId="77777777" w:rsidR="009F67BD" w:rsidRDefault="009F67BD" w:rsidP="009F67BD">
      <w:pPr>
        <w:pStyle w:val="spc2"/>
        <w:ind w:left="0"/>
        <w:jc w:val="both"/>
        <w:rPr>
          <w:szCs w:val="22"/>
          <w:lang w:val="cs-CZ"/>
        </w:rPr>
      </w:pPr>
      <w:r>
        <w:rPr>
          <w:szCs w:val="22"/>
          <w:lang w:val="cs-CZ"/>
        </w:rPr>
        <w:t>Kartonová krabička s 1 injekční lahvičkou 250 ml.</w:t>
      </w:r>
    </w:p>
    <w:p w14:paraId="263FEB4F" w14:textId="77777777" w:rsidR="009F67BD" w:rsidRDefault="009F67BD" w:rsidP="009F67BD">
      <w:pPr>
        <w:pStyle w:val="spc2"/>
        <w:ind w:left="0"/>
        <w:jc w:val="both"/>
        <w:rPr>
          <w:szCs w:val="22"/>
          <w:lang w:val="cs-CZ"/>
        </w:rPr>
      </w:pPr>
    </w:p>
    <w:p w14:paraId="7D32ED4B" w14:textId="77777777" w:rsidR="009F67BD" w:rsidRDefault="009F67BD" w:rsidP="009F67BD">
      <w:pPr>
        <w:pStyle w:val="spc2"/>
        <w:ind w:left="0"/>
        <w:jc w:val="both"/>
        <w:outlineLvl w:val="0"/>
        <w:rPr>
          <w:szCs w:val="22"/>
          <w:lang w:val="cs-CZ"/>
        </w:rPr>
      </w:pPr>
      <w:r>
        <w:rPr>
          <w:szCs w:val="22"/>
          <w:lang w:val="cs-CZ"/>
        </w:rPr>
        <w:t>Na trhu nemusí být všechny velikosti balení.</w:t>
      </w:r>
    </w:p>
    <w:p w14:paraId="25C64DE9" w14:textId="77777777" w:rsidR="009F67BD" w:rsidRDefault="009F67BD" w:rsidP="009F67BD">
      <w:pPr>
        <w:pStyle w:val="spc2"/>
        <w:ind w:left="0"/>
        <w:jc w:val="both"/>
        <w:rPr>
          <w:szCs w:val="22"/>
          <w:lang w:val="cs-CZ"/>
        </w:rPr>
      </w:pPr>
    </w:p>
    <w:p w14:paraId="43A79A44" w14:textId="77777777" w:rsidR="009F67BD" w:rsidRDefault="009F67BD" w:rsidP="009F67BD">
      <w:pPr>
        <w:pStyle w:val="spc2"/>
        <w:ind w:left="0"/>
        <w:jc w:val="both"/>
        <w:rPr>
          <w:szCs w:val="22"/>
          <w:lang w:val="cs-CZ"/>
        </w:rPr>
      </w:pPr>
      <w:r>
        <w:rPr>
          <w:szCs w:val="22"/>
          <w:lang w:val="cs-CZ"/>
        </w:rPr>
        <w:t>Pouze pro zvířata.</w:t>
      </w:r>
    </w:p>
    <w:p w14:paraId="0FD60C81" w14:textId="77777777" w:rsidR="009F67BD" w:rsidRDefault="009F67BD" w:rsidP="009F67BD">
      <w:pPr>
        <w:pStyle w:val="spc2"/>
        <w:ind w:left="0"/>
        <w:jc w:val="both"/>
        <w:rPr>
          <w:szCs w:val="22"/>
          <w:lang w:val="cs-CZ"/>
        </w:rPr>
      </w:pPr>
      <w:r>
        <w:rPr>
          <w:szCs w:val="22"/>
          <w:lang w:val="cs-CZ"/>
        </w:rPr>
        <w:t>Veterinární léčivý přípravek je vydáván pouze na předpis.</w:t>
      </w:r>
    </w:p>
    <w:p w14:paraId="21AA76A0" w14:textId="77777777" w:rsidR="009F67BD" w:rsidRDefault="009F67BD" w:rsidP="009F67BD">
      <w:pPr>
        <w:pStyle w:val="spc2"/>
        <w:ind w:left="0"/>
        <w:rPr>
          <w:szCs w:val="22"/>
          <w:lang w:val="cs-CZ"/>
        </w:rPr>
      </w:pPr>
    </w:p>
    <w:p w14:paraId="23958FB9" w14:textId="77777777" w:rsidR="009F67BD" w:rsidRDefault="009F67BD" w:rsidP="009F67BD">
      <w:pPr>
        <w:pStyle w:val="spc2"/>
        <w:ind w:left="0"/>
        <w:rPr>
          <w:szCs w:val="22"/>
          <w:lang w:val="cs-CZ"/>
        </w:rPr>
      </w:pPr>
    </w:p>
    <w:p w14:paraId="3BB77D81" w14:textId="77777777" w:rsidR="009F67BD" w:rsidRDefault="009F67BD" w:rsidP="009F67BD"/>
    <w:p w14:paraId="4FA85FAD" w14:textId="77777777" w:rsidR="009F67BD" w:rsidRDefault="009F67BD" w:rsidP="005E27B6"/>
    <w:sectPr w:rsidR="009F6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48EBE" w14:textId="77777777" w:rsidR="00772412" w:rsidRDefault="00772412" w:rsidP="005E27B6">
      <w:r>
        <w:separator/>
      </w:r>
    </w:p>
  </w:endnote>
  <w:endnote w:type="continuationSeparator" w:id="0">
    <w:p w14:paraId="7AE8DBC3" w14:textId="77777777" w:rsidR="00772412" w:rsidRDefault="00772412" w:rsidP="005E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0B892" w14:textId="77777777" w:rsidR="00772412" w:rsidRDefault="00772412" w:rsidP="005E27B6">
      <w:r>
        <w:separator/>
      </w:r>
    </w:p>
  </w:footnote>
  <w:footnote w:type="continuationSeparator" w:id="0">
    <w:p w14:paraId="7E2528CE" w14:textId="77777777" w:rsidR="00772412" w:rsidRDefault="00772412" w:rsidP="005E2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5A95"/>
    <w:multiLevelType w:val="hybridMultilevel"/>
    <w:tmpl w:val="5B16BBBA"/>
    <w:lvl w:ilvl="0" w:tplc="D1AC6104">
      <w:start w:val="4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SD AH">
    <w15:presenceInfo w15:providerId="None" w15:userId="MSD A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2A"/>
    <w:rsid w:val="00105D94"/>
    <w:rsid w:val="00121CDD"/>
    <w:rsid w:val="00157852"/>
    <w:rsid w:val="002823D9"/>
    <w:rsid w:val="002E12DC"/>
    <w:rsid w:val="0033073E"/>
    <w:rsid w:val="003515F4"/>
    <w:rsid w:val="00377461"/>
    <w:rsid w:val="004022A3"/>
    <w:rsid w:val="0053216B"/>
    <w:rsid w:val="005E27B6"/>
    <w:rsid w:val="006915F9"/>
    <w:rsid w:val="00702AA3"/>
    <w:rsid w:val="00772412"/>
    <w:rsid w:val="00796583"/>
    <w:rsid w:val="007D15A7"/>
    <w:rsid w:val="00834EFD"/>
    <w:rsid w:val="008D4D0C"/>
    <w:rsid w:val="00957864"/>
    <w:rsid w:val="009F67BD"/>
    <w:rsid w:val="00A91492"/>
    <w:rsid w:val="00AF7B2A"/>
    <w:rsid w:val="00D057C3"/>
    <w:rsid w:val="00E606B7"/>
    <w:rsid w:val="00E67808"/>
    <w:rsid w:val="00F0698F"/>
    <w:rsid w:val="00FA2C0A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97BC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27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after="0" w:line="240" w:lineRule="auto"/>
    </w:pPr>
    <w:rPr>
      <w:rFonts w:ascii="Times New Roman" w:eastAsia="MS Mincho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27B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27B6"/>
  </w:style>
  <w:style w:type="paragraph" w:styleId="Zpat">
    <w:name w:val="footer"/>
    <w:basedOn w:val="Normln"/>
    <w:link w:val="ZpatChar"/>
    <w:uiPriority w:val="99"/>
    <w:unhideWhenUsed/>
    <w:rsid w:val="005E27B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27B6"/>
  </w:style>
  <w:style w:type="paragraph" w:customStyle="1" w:styleId="spc1">
    <w:name w:val="spc1"/>
    <w:basedOn w:val="Normln"/>
    <w:rsid w:val="005E27B6"/>
    <w:pPr>
      <w:ind w:left="567" w:hanging="567"/>
    </w:pPr>
    <w:rPr>
      <w:b/>
      <w:sz w:val="22"/>
    </w:rPr>
  </w:style>
  <w:style w:type="paragraph" w:customStyle="1" w:styleId="spc2">
    <w:name w:val="spc2"/>
    <w:basedOn w:val="Normln"/>
    <w:rsid w:val="005E27B6"/>
    <w:pPr>
      <w:tabs>
        <w:tab w:val="clear" w:pos="567"/>
      </w:tabs>
      <w:ind w:left="567"/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5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583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27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after="0" w:line="240" w:lineRule="auto"/>
    </w:pPr>
    <w:rPr>
      <w:rFonts w:ascii="Times New Roman" w:eastAsia="MS Mincho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27B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27B6"/>
  </w:style>
  <w:style w:type="paragraph" w:styleId="Zpat">
    <w:name w:val="footer"/>
    <w:basedOn w:val="Normln"/>
    <w:link w:val="ZpatChar"/>
    <w:uiPriority w:val="99"/>
    <w:unhideWhenUsed/>
    <w:rsid w:val="005E27B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27B6"/>
  </w:style>
  <w:style w:type="paragraph" w:customStyle="1" w:styleId="spc1">
    <w:name w:val="spc1"/>
    <w:basedOn w:val="Normln"/>
    <w:rsid w:val="005E27B6"/>
    <w:pPr>
      <w:ind w:left="567" w:hanging="567"/>
    </w:pPr>
    <w:rPr>
      <w:b/>
      <w:sz w:val="22"/>
    </w:rPr>
  </w:style>
  <w:style w:type="paragraph" w:customStyle="1" w:styleId="spc2">
    <w:name w:val="spc2"/>
    <w:basedOn w:val="Normln"/>
    <w:rsid w:val="005E27B6"/>
    <w:pPr>
      <w:tabs>
        <w:tab w:val="clear" w:pos="567"/>
      </w:tabs>
      <w:ind w:left="567"/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5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583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9920fcc9-9f43-4d43-9e3e-b98a219cfd55" value=""/>
</sisl>
</file>

<file path=customXml/itemProps1.xml><?xml version="1.0" encoding="utf-8"?>
<ds:datastoreItem xmlns:ds="http://schemas.openxmlformats.org/officeDocument/2006/customXml" ds:itemID="{3418F4D9-29C3-4DAE-ABCB-A636A97C243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1267</Words>
  <Characters>7477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Kovacova, Marta</dc:creator>
  <cp:lastModifiedBy>Malanová Zdena</cp:lastModifiedBy>
  <cp:revision>15</cp:revision>
  <cp:lastPrinted>2021-08-03T08:51:00Z</cp:lastPrinted>
  <dcterms:created xsi:type="dcterms:W3CDTF">2019-09-13T07:27:00Z</dcterms:created>
  <dcterms:modified xsi:type="dcterms:W3CDTF">2021-08-04T09:36:00Z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02d0572c-21fc-4c42-b646-8a4b57843839</vt:lpwstr>
  </property>
  <property fmtid="{D5CDD505-2E9C-101B-9397-08002B2CF9AE}" pid="3" name="bjSaver">
    <vt:lpwstr>91UPBCG1Ko1zItzenXUEYirBPBZF5c0Y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5" name="bjDocumentLabelXML-0">
    <vt:lpwstr>ames.com/2008/01/sie/internal/label"&gt;&lt;element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  <property fmtid="{D5CDD505-2E9C-101B-9397-08002B2CF9AE}" pid="7" name="_NewReviewCycle">
    <vt:lpwstr/>
  </property>
  <property fmtid="{D5CDD505-2E9C-101B-9397-08002B2CF9AE}" pid="8" name="_AdHocReviewCycleID">
    <vt:i4>-565304820</vt:i4>
  </property>
  <property fmtid="{D5CDD505-2E9C-101B-9397-08002B2CF9AE}" pid="9" name="_EmailSubject">
    <vt:lpwstr>Porcilis Ery+Parvo+Lepto, DE/V/0268/001/R/001 -  D90 End of procedure - překlady textů</vt:lpwstr>
  </property>
  <property fmtid="{D5CDD505-2E9C-101B-9397-08002B2CF9AE}" pid="10" name="_AuthorEmail">
    <vt:lpwstr>marta.kovacova@merck.com</vt:lpwstr>
  </property>
  <property fmtid="{D5CDD505-2E9C-101B-9397-08002B2CF9AE}" pid="11" name="_AuthorEmailDisplayName">
    <vt:lpwstr>Kovacova, Marta</vt:lpwstr>
  </property>
  <property fmtid="{D5CDD505-2E9C-101B-9397-08002B2CF9AE}" pid="12" name="_ReviewingToolsShownOnce">
    <vt:lpwstr/>
  </property>
</Properties>
</file>