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  <w:r w:rsidRPr="00373D07">
        <w:rPr>
          <w:b/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71120</wp:posOffset>
                </wp:positionV>
                <wp:extent cx="5753100" cy="680720"/>
                <wp:effectExtent l="13970" t="5080" r="508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07" w:rsidRPr="009356E0" w:rsidRDefault="00373D07" w:rsidP="00373D0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Tento příbalový leták v kombinaci s vnitřní etiketou může být použit v případě, že kombinovaná etiketa není kvůli omezenému prostoru v případě vícejazyčných balení možná.</w:t>
                            </w:r>
                          </w:p>
                          <w:p w:rsidR="00373D07" w:rsidRPr="00183A4B" w:rsidRDefault="00373D07" w:rsidP="00373D0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.45pt;margin-top:5.6pt;width:453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">
                <v:textbox>
                  <w:txbxContent>
                    <w:p w:rsidR="00373D07" w:rsidRPr="009356E0" w:rsidRDefault="00373D07" w:rsidP="00373D0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Tento příbalový leták v kombinaci s vnitřní etiketou může být použit v případě, že kombinovaná etiketa není kvůli omezenému prostoru v případě vícejazyčných balení možná.</w:t>
                      </w:r>
                    </w:p>
                    <w:p w:rsidR="00373D07" w:rsidRPr="00183A4B" w:rsidRDefault="00373D07" w:rsidP="00373D07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b/>
          <w:szCs w:val="22"/>
        </w:rPr>
      </w:pPr>
      <w:r w:rsidRPr="00373D07">
        <w:rPr>
          <w:b/>
          <w:szCs w:val="22"/>
        </w:rPr>
        <w:t>B. PŘÍBALOVÁ INFORMACE</w:t>
      </w: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b/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b/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b/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jc w:val="both"/>
        <w:rPr>
          <w:szCs w:val="22"/>
        </w:rPr>
      </w:pPr>
      <w:r w:rsidRPr="00373D07">
        <w:rPr>
          <w:szCs w:val="22"/>
        </w:rPr>
        <w:br w:type="page"/>
      </w: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b/>
          <w:szCs w:val="22"/>
        </w:rPr>
      </w:pPr>
      <w:r w:rsidRPr="00373D07">
        <w:rPr>
          <w:b/>
          <w:szCs w:val="22"/>
        </w:rPr>
        <w:lastRenderedPageBreak/>
        <w:t>Příbalová informace</w:t>
      </w:r>
    </w:p>
    <w:p w:rsidR="00373D07" w:rsidRPr="00373D07" w:rsidRDefault="00373D07" w:rsidP="00373D07">
      <w:pPr>
        <w:tabs>
          <w:tab w:val="clear" w:pos="567"/>
        </w:tabs>
        <w:ind w:right="113"/>
        <w:jc w:val="center"/>
        <w:rPr>
          <w:b/>
          <w:szCs w:val="22"/>
        </w:rPr>
      </w:pPr>
    </w:p>
    <w:p w:rsidR="00373D07" w:rsidRPr="00373D07" w:rsidRDefault="00373D07" w:rsidP="00373D07">
      <w:pPr>
        <w:rPr>
          <w:bCs/>
          <w:szCs w:val="22"/>
        </w:rPr>
      </w:pPr>
      <w:proofErr w:type="spellStart"/>
      <w:r w:rsidRPr="00373D07">
        <w:rPr>
          <w:szCs w:val="22"/>
        </w:rPr>
        <w:t>Calcibel</w:t>
      </w:r>
      <w:proofErr w:type="spellEnd"/>
      <w:r w:rsidRPr="00373D07">
        <w:rPr>
          <w:szCs w:val="22"/>
        </w:rPr>
        <w:t xml:space="preserve"> Forte, 380/60/50 mg/ml infuzní roztok pro koně, skot, ovce, kozy a prasata. 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1.</w:t>
      </w:r>
      <w:r w:rsidRPr="00373D07">
        <w:rPr>
          <w:b/>
          <w:bCs/>
          <w:caps/>
          <w:snapToGrid w:val="0"/>
          <w:kern w:val="32"/>
          <w:szCs w:val="22"/>
        </w:rPr>
        <w:tab/>
        <w:t>JMÉNO A ADRESA DRŽITELE ROZHODNUTÍ O REGISTRACI A DRŽITELE POVOLENÍ K VÝROBĚ ODPOVĚDNÉHO ZA UVOLNĚNÍ ŠARŽE, POKUD SE NESHODUJE</w:t>
      </w:r>
    </w:p>
    <w:p w:rsidR="00373D07" w:rsidRPr="00373D07" w:rsidRDefault="00373D07" w:rsidP="00373D07">
      <w:pPr>
        <w:keepNext/>
        <w:tabs>
          <w:tab w:val="clear" w:pos="567"/>
        </w:tabs>
        <w:spacing w:before="120" w:line="240" w:lineRule="auto"/>
        <w:outlineLvl w:val="0"/>
        <w:rPr>
          <w:b/>
          <w:bCs/>
          <w:noProof/>
          <w:snapToGrid w:val="0"/>
          <w:kern w:val="32"/>
          <w:szCs w:val="22"/>
        </w:rPr>
      </w:pPr>
      <w:r w:rsidRPr="00373D07">
        <w:rPr>
          <w:b/>
          <w:bCs/>
          <w:noProof/>
          <w:snapToGrid w:val="0"/>
          <w:kern w:val="32"/>
          <w:szCs w:val="22"/>
        </w:rPr>
        <w:t>Držitel rozhodnutí o registraci a výrobce odpovědný za uvolnění šarže:</w:t>
      </w:r>
    </w:p>
    <w:p w:rsidR="00373D07" w:rsidRPr="00373D07" w:rsidRDefault="00E27D8C" w:rsidP="00373D07">
      <w:pPr>
        <w:tabs>
          <w:tab w:val="clear" w:pos="567"/>
        </w:tabs>
        <w:ind w:right="-318"/>
        <w:jc w:val="both"/>
        <w:rPr>
          <w:szCs w:val="22"/>
        </w:rPr>
      </w:pPr>
      <w:r>
        <w:rPr>
          <w:szCs w:val="22"/>
        </w:rPr>
        <w:t>B</w:t>
      </w:r>
      <w:r w:rsidR="00373D07" w:rsidRPr="00373D07">
        <w:rPr>
          <w:szCs w:val="22"/>
        </w:rPr>
        <w:t>ela-</w:t>
      </w:r>
      <w:proofErr w:type="spellStart"/>
      <w:r>
        <w:rPr>
          <w:szCs w:val="22"/>
        </w:rPr>
        <w:t>P</w:t>
      </w:r>
      <w:r w:rsidR="00373D07" w:rsidRPr="00373D07">
        <w:rPr>
          <w:szCs w:val="22"/>
        </w:rPr>
        <w:t>harm</w:t>
      </w:r>
      <w:proofErr w:type="spellEnd"/>
      <w:r w:rsidR="00373D07" w:rsidRPr="00373D07">
        <w:rPr>
          <w:szCs w:val="22"/>
        </w:rPr>
        <w:t xml:space="preserve"> </w:t>
      </w:r>
      <w:proofErr w:type="spellStart"/>
      <w:r w:rsidR="00373D07" w:rsidRPr="00373D07">
        <w:rPr>
          <w:szCs w:val="22"/>
        </w:rPr>
        <w:t>GmbH</w:t>
      </w:r>
      <w:proofErr w:type="spellEnd"/>
      <w:r w:rsidR="00373D07" w:rsidRPr="00373D07">
        <w:rPr>
          <w:szCs w:val="22"/>
        </w:rPr>
        <w:t xml:space="preserve"> &amp; Co.KG</w:t>
      </w:r>
    </w:p>
    <w:p w:rsidR="00373D07" w:rsidRPr="00373D07" w:rsidRDefault="00373D07" w:rsidP="00373D07">
      <w:pPr>
        <w:tabs>
          <w:tab w:val="clear" w:pos="567"/>
        </w:tabs>
        <w:ind w:right="-318"/>
        <w:jc w:val="both"/>
        <w:rPr>
          <w:szCs w:val="22"/>
        </w:rPr>
      </w:pPr>
      <w:proofErr w:type="spellStart"/>
      <w:r w:rsidRPr="00373D07">
        <w:rPr>
          <w:szCs w:val="22"/>
        </w:rPr>
        <w:t>Lohner</w:t>
      </w:r>
      <w:proofErr w:type="spellEnd"/>
      <w:r w:rsidRPr="00373D07">
        <w:rPr>
          <w:szCs w:val="22"/>
        </w:rPr>
        <w:t xml:space="preserve"> Str. 19</w:t>
      </w:r>
    </w:p>
    <w:p w:rsidR="00373D07" w:rsidRPr="00373D07" w:rsidRDefault="00373D07" w:rsidP="00373D07">
      <w:pPr>
        <w:tabs>
          <w:tab w:val="clear" w:pos="567"/>
        </w:tabs>
        <w:ind w:right="-318"/>
        <w:jc w:val="both"/>
        <w:rPr>
          <w:szCs w:val="22"/>
        </w:rPr>
      </w:pPr>
      <w:r w:rsidRPr="00373D07">
        <w:rPr>
          <w:szCs w:val="22"/>
        </w:rPr>
        <w:t xml:space="preserve">49377 </w:t>
      </w:r>
      <w:proofErr w:type="spellStart"/>
      <w:r w:rsidRPr="00373D07">
        <w:rPr>
          <w:szCs w:val="22"/>
        </w:rPr>
        <w:t>Vechta</w:t>
      </w:r>
      <w:proofErr w:type="spellEnd"/>
    </w:p>
    <w:p w:rsidR="00373D07" w:rsidRPr="00373D07" w:rsidRDefault="00373D07" w:rsidP="00373D07">
      <w:pPr>
        <w:tabs>
          <w:tab w:val="clear" w:pos="567"/>
        </w:tabs>
        <w:ind w:right="-318"/>
        <w:jc w:val="both"/>
        <w:rPr>
          <w:szCs w:val="22"/>
        </w:rPr>
      </w:pPr>
      <w:r w:rsidRPr="00373D07">
        <w:rPr>
          <w:szCs w:val="22"/>
        </w:rPr>
        <w:t>Německo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2.</w:t>
      </w:r>
      <w:r w:rsidRPr="00373D07">
        <w:rPr>
          <w:b/>
          <w:bCs/>
          <w:caps/>
          <w:snapToGrid w:val="0"/>
          <w:kern w:val="32"/>
          <w:szCs w:val="22"/>
        </w:rPr>
        <w:tab/>
        <w:t>NÁZEV VETERINÁRNÍHO LÉČIVÉHO PŘÍPRAVKU</w:t>
      </w:r>
    </w:p>
    <w:p w:rsidR="00373D07" w:rsidRPr="00373D07" w:rsidRDefault="00373D07" w:rsidP="00373D07">
      <w:pPr>
        <w:rPr>
          <w:bCs/>
          <w:szCs w:val="22"/>
        </w:rPr>
      </w:pPr>
      <w:proofErr w:type="spellStart"/>
      <w:r w:rsidRPr="00373D07">
        <w:rPr>
          <w:szCs w:val="22"/>
        </w:rPr>
        <w:t>Calcibel</w:t>
      </w:r>
      <w:proofErr w:type="spellEnd"/>
      <w:r w:rsidRPr="00373D07">
        <w:rPr>
          <w:szCs w:val="22"/>
        </w:rPr>
        <w:t xml:space="preserve"> Forte, 380/60/50 mg/ml infuzní roztok pro koně, skot, ovce, kozy a prasata. </w:t>
      </w:r>
    </w:p>
    <w:p w:rsidR="00373D07" w:rsidRPr="00373D07" w:rsidRDefault="00373D07" w:rsidP="00373D07">
      <w:pPr>
        <w:keepNext/>
        <w:spacing w:before="360" w:after="60"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3.</w:t>
      </w:r>
      <w:r w:rsidRPr="00373D07">
        <w:rPr>
          <w:b/>
          <w:bCs/>
          <w:caps/>
          <w:snapToGrid w:val="0"/>
          <w:kern w:val="32"/>
          <w:szCs w:val="22"/>
        </w:rPr>
        <w:tab/>
        <w:t>OBSAH LÉČIVÝCH A OSTATNÍCH LÁTEK</w:t>
      </w:r>
    </w:p>
    <w:p w:rsidR="00373D07" w:rsidRPr="00373D07" w:rsidRDefault="00373D07" w:rsidP="00373D07">
      <w:pPr>
        <w:spacing w:after="120"/>
        <w:rPr>
          <w:szCs w:val="22"/>
        </w:rPr>
      </w:pPr>
      <w:r w:rsidRPr="00373D07">
        <w:rPr>
          <w:szCs w:val="22"/>
        </w:rPr>
        <w:t>1 ml obsahuje: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b/>
          <w:szCs w:val="22"/>
        </w:rPr>
      </w:pPr>
      <w:r w:rsidRPr="00373D07">
        <w:rPr>
          <w:b/>
          <w:szCs w:val="22"/>
        </w:rPr>
        <w:t>Léčivá látka:</w:t>
      </w:r>
    </w:p>
    <w:p w:rsidR="00373D07" w:rsidRPr="00373D07" w:rsidRDefault="00373D07" w:rsidP="00373D07">
      <w:pPr>
        <w:tabs>
          <w:tab w:val="left" w:pos="2977"/>
        </w:tabs>
        <w:rPr>
          <w:bCs/>
          <w:szCs w:val="22"/>
        </w:rPr>
      </w:pPr>
      <w:proofErr w:type="spellStart"/>
      <w:r w:rsidRPr="00373D07">
        <w:rPr>
          <w:szCs w:val="22"/>
        </w:rPr>
        <w:t>Calcii</w:t>
      </w:r>
      <w:proofErr w:type="spellEnd"/>
      <w:r w:rsidRPr="00373D07">
        <w:rPr>
          <w:szCs w:val="22"/>
        </w:rPr>
        <w:t xml:space="preserve"> </w:t>
      </w:r>
      <w:proofErr w:type="spellStart"/>
      <w:r w:rsidRPr="00373D07">
        <w:rPr>
          <w:szCs w:val="22"/>
        </w:rPr>
        <w:t>gluconas</w:t>
      </w:r>
      <w:proofErr w:type="spellEnd"/>
      <w:r w:rsidRPr="00373D07">
        <w:rPr>
          <w:szCs w:val="22"/>
        </w:rPr>
        <w:t xml:space="preserve"> </w:t>
      </w:r>
      <w:proofErr w:type="spellStart"/>
      <w:r w:rsidR="005C039B" w:rsidRPr="005C039B">
        <w:rPr>
          <w:szCs w:val="22"/>
        </w:rPr>
        <w:t>monohydricus</w:t>
      </w:r>
      <w:proofErr w:type="spellEnd"/>
      <w:r w:rsidR="005C039B" w:rsidRPr="005C039B">
        <w:rPr>
          <w:szCs w:val="22"/>
        </w:rPr>
        <w:t xml:space="preserve"> pro </w:t>
      </w:r>
      <w:proofErr w:type="spellStart"/>
      <w:r w:rsidR="005C039B" w:rsidRPr="005C039B">
        <w:rPr>
          <w:szCs w:val="22"/>
        </w:rPr>
        <w:t>iniectione</w:t>
      </w:r>
      <w:proofErr w:type="spellEnd"/>
      <w:r w:rsidRPr="00373D07">
        <w:rPr>
          <w:szCs w:val="22"/>
        </w:rPr>
        <w:tab/>
        <w:t>380 mg (odpovídá 34,0 mg vápníku)</w:t>
      </w:r>
    </w:p>
    <w:p w:rsidR="00373D07" w:rsidRPr="00373D07" w:rsidRDefault="00373D07" w:rsidP="00373D07">
      <w:pPr>
        <w:tabs>
          <w:tab w:val="left" w:pos="2977"/>
        </w:tabs>
        <w:rPr>
          <w:bCs/>
          <w:szCs w:val="22"/>
        </w:rPr>
      </w:pPr>
      <w:r w:rsidRPr="00373D07">
        <w:rPr>
          <w:szCs w:val="22"/>
        </w:rPr>
        <w:t xml:space="preserve">Magnesii </w:t>
      </w:r>
      <w:proofErr w:type="spellStart"/>
      <w:r w:rsidRPr="00373D07">
        <w:rPr>
          <w:szCs w:val="22"/>
        </w:rPr>
        <w:t>chloridum</w:t>
      </w:r>
      <w:proofErr w:type="spellEnd"/>
      <w:r w:rsidRPr="00373D07">
        <w:rPr>
          <w:szCs w:val="22"/>
        </w:rPr>
        <w:t xml:space="preserve"> </w:t>
      </w:r>
      <w:proofErr w:type="spellStart"/>
      <w:r w:rsidRPr="00373D07">
        <w:rPr>
          <w:szCs w:val="22"/>
        </w:rPr>
        <w:t>hexahydricum</w:t>
      </w:r>
      <w:proofErr w:type="spellEnd"/>
      <w:r w:rsidRPr="00373D07">
        <w:rPr>
          <w:szCs w:val="22"/>
        </w:rPr>
        <w:tab/>
      </w:r>
      <w:r w:rsidRPr="00373D07">
        <w:rPr>
          <w:szCs w:val="22"/>
        </w:rPr>
        <w:tab/>
        <w:t xml:space="preserve">60 mg </w:t>
      </w:r>
      <w:r w:rsidRPr="00373D07">
        <w:rPr>
          <w:szCs w:val="22"/>
        </w:rPr>
        <w:tab/>
        <w:t>(odpovídá 7,2 mg hořčíku)</w:t>
      </w:r>
      <w:r w:rsidRPr="00373D07">
        <w:rPr>
          <w:szCs w:val="22"/>
        </w:rPr>
        <w:tab/>
      </w:r>
    </w:p>
    <w:p w:rsidR="00373D07" w:rsidRPr="00373D07" w:rsidRDefault="00263E84" w:rsidP="00373D07">
      <w:pPr>
        <w:tabs>
          <w:tab w:val="left" w:pos="2977"/>
        </w:tabs>
        <w:rPr>
          <w:bCs/>
          <w:szCs w:val="22"/>
        </w:rPr>
      </w:pPr>
      <w:proofErr w:type="spellStart"/>
      <w:r w:rsidRPr="00263E84">
        <w:rPr>
          <w:szCs w:val="22"/>
        </w:rPr>
        <w:t>Acidum</w:t>
      </w:r>
      <w:proofErr w:type="spellEnd"/>
      <w:r w:rsidRPr="00263E84">
        <w:rPr>
          <w:szCs w:val="22"/>
        </w:rPr>
        <w:t xml:space="preserve"> </w:t>
      </w:r>
      <w:proofErr w:type="spellStart"/>
      <w:r w:rsidRPr="00263E84">
        <w:rPr>
          <w:szCs w:val="22"/>
        </w:rPr>
        <w:t>boricum</w:t>
      </w:r>
      <w:proofErr w:type="spellEnd"/>
      <w:r w:rsidRPr="00263E84">
        <w:rPr>
          <w:szCs w:val="22"/>
        </w:rPr>
        <w:t xml:space="preserve"> </w:t>
      </w:r>
      <w:r w:rsidR="00373D07" w:rsidRPr="00373D07">
        <w:rPr>
          <w:szCs w:val="22"/>
        </w:rPr>
        <w:tab/>
      </w:r>
      <w:r w:rsidR="00373D07" w:rsidRPr="00373D07">
        <w:rPr>
          <w:szCs w:val="22"/>
        </w:rPr>
        <w:tab/>
      </w:r>
      <w:r w:rsidR="00373D07" w:rsidRPr="00373D07">
        <w:rPr>
          <w:szCs w:val="22"/>
        </w:rPr>
        <w:tab/>
        <w:t>50 mg</w:t>
      </w:r>
    </w:p>
    <w:p w:rsidR="00373D07" w:rsidRPr="00373D07" w:rsidRDefault="00373D07" w:rsidP="00373D07">
      <w:pPr>
        <w:tabs>
          <w:tab w:val="clear" w:pos="567"/>
          <w:tab w:val="left" w:pos="2977"/>
        </w:tabs>
        <w:rPr>
          <w:bCs/>
          <w:szCs w:val="22"/>
        </w:rPr>
      </w:pPr>
    </w:p>
    <w:p w:rsidR="00373D07" w:rsidRPr="00373D07" w:rsidRDefault="00373D07" w:rsidP="00373D07">
      <w:pPr>
        <w:tabs>
          <w:tab w:val="clear" w:pos="567"/>
          <w:tab w:val="left" w:pos="2977"/>
        </w:tabs>
        <w:rPr>
          <w:bCs/>
          <w:szCs w:val="22"/>
        </w:rPr>
      </w:pPr>
      <w:bookmarkStart w:id="0" w:name="_Hlk72413944"/>
      <w:r w:rsidRPr="00373D07">
        <w:rPr>
          <w:szCs w:val="22"/>
        </w:rPr>
        <w:t>Čirý, mírně žlutohnědý roztok, bez viditelných částic.</w:t>
      </w:r>
    </w:p>
    <w:bookmarkEnd w:id="0"/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4</w:t>
      </w:r>
      <w:r w:rsidRPr="00373D07">
        <w:rPr>
          <w:b/>
          <w:bCs/>
          <w:caps/>
          <w:snapToGrid w:val="0"/>
          <w:kern w:val="32"/>
          <w:szCs w:val="22"/>
        </w:rPr>
        <w:t>.</w:t>
      </w:r>
      <w:r w:rsidRPr="00373D07">
        <w:rPr>
          <w:b/>
          <w:bCs/>
          <w:caps/>
          <w:snapToGrid w:val="0"/>
          <w:kern w:val="32"/>
          <w:szCs w:val="22"/>
        </w:rPr>
        <w:tab/>
        <w:t>INDIKACE</w:t>
      </w:r>
    </w:p>
    <w:p w:rsidR="00373D07" w:rsidRPr="00373D07" w:rsidRDefault="00373D07" w:rsidP="00373D07">
      <w:pPr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 xml:space="preserve">Akutní </w:t>
      </w:r>
      <w:proofErr w:type="spellStart"/>
      <w:r w:rsidRPr="00373D07">
        <w:rPr>
          <w:szCs w:val="22"/>
        </w:rPr>
        <w:t>hypokalcémické</w:t>
      </w:r>
      <w:proofErr w:type="spellEnd"/>
      <w:r w:rsidRPr="00373D07">
        <w:rPr>
          <w:szCs w:val="22"/>
        </w:rPr>
        <w:t xml:space="preserve"> stavy.</w:t>
      </w:r>
    </w:p>
    <w:p w:rsidR="00373D07" w:rsidRPr="00373D07" w:rsidRDefault="00373D07" w:rsidP="00373D07">
      <w:pPr>
        <w:keepNext/>
        <w:spacing w:before="360" w:after="60"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5.</w:t>
      </w:r>
      <w:r w:rsidRPr="00373D07">
        <w:rPr>
          <w:b/>
          <w:bCs/>
          <w:caps/>
          <w:snapToGrid w:val="0"/>
          <w:kern w:val="32"/>
          <w:szCs w:val="22"/>
        </w:rPr>
        <w:tab/>
        <w:t>KONTRAINDIKACE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Nepoužívat v případech </w:t>
      </w:r>
      <w:proofErr w:type="spellStart"/>
      <w:r w:rsidRPr="00373D07">
        <w:rPr>
          <w:szCs w:val="22"/>
        </w:rPr>
        <w:t>hyperkalcémie</w:t>
      </w:r>
      <w:proofErr w:type="spellEnd"/>
      <w:r w:rsidRPr="00373D07">
        <w:rPr>
          <w:szCs w:val="22"/>
        </w:rPr>
        <w:t xml:space="preserve"> a </w:t>
      </w:r>
      <w:proofErr w:type="spellStart"/>
      <w:r w:rsidRPr="00373D07">
        <w:rPr>
          <w:szCs w:val="22"/>
        </w:rPr>
        <w:t>hypermagnesémie</w:t>
      </w:r>
      <w:proofErr w:type="spellEnd"/>
      <w:r w:rsidRPr="00373D07">
        <w:rPr>
          <w:szCs w:val="22"/>
        </w:rPr>
        <w:t>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Nepoužívat v případech idiopatické </w:t>
      </w:r>
      <w:proofErr w:type="spellStart"/>
      <w:r w:rsidRPr="00373D07">
        <w:rPr>
          <w:szCs w:val="22"/>
        </w:rPr>
        <w:t>hypokalcémie</w:t>
      </w:r>
      <w:proofErr w:type="spellEnd"/>
      <w:r w:rsidRPr="00373D07">
        <w:rPr>
          <w:szCs w:val="22"/>
        </w:rPr>
        <w:t xml:space="preserve"> u hříbat.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Nepoužívat v případech kalcinózy u skotu a malých přežvýkavců.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Nepoužívat po podání vysokých dávek vitaminu D3.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Nepoužívat v případech chronické ledvinové nedostatečnosti nebo v případech oběhových či srdečních poruch.</w:t>
      </w:r>
    </w:p>
    <w:p w:rsidR="0046087E" w:rsidRPr="00095DD1" w:rsidRDefault="0046087E" w:rsidP="0046087E">
      <w:pPr>
        <w:jc w:val="both"/>
        <w:rPr>
          <w:szCs w:val="22"/>
        </w:rPr>
      </w:pPr>
      <w:r w:rsidRPr="00095DD1">
        <w:rPr>
          <w:szCs w:val="22"/>
        </w:rPr>
        <w:t>Nepoužív</w:t>
      </w:r>
      <w:r>
        <w:rPr>
          <w:szCs w:val="22"/>
        </w:rPr>
        <w:t>at</w:t>
      </w:r>
      <w:r w:rsidRPr="00095DD1">
        <w:rPr>
          <w:szCs w:val="22"/>
        </w:rPr>
        <w:t xml:space="preserve"> u skotu </w:t>
      </w:r>
      <w:r>
        <w:rPr>
          <w:szCs w:val="22"/>
        </w:rPr>
        <w:t xml:space="preserve">s </w:t>
      </w:r>
      <w:r w:rsidRPr="00095DD1">
        <w:rPr>
          <w:szCs w:val="22"/>
        </w:rPr>
        <w:t>proces</w:t>
      </w:r>
      <w:r>
        <w:rPr>
          <w:szCs w:val="22"/>
        </w:rPr>
        <w:t>em</w:t>
      </w:r>
      <w:r w:rsidRPr="00095DD1">
        <w:rPr>
          <w:szCs w:val="22"/>
        </w:rPr>
        <w:t xml:space="preserve"> septikémie při akutní mastitidě.</w:t>
      </w:r>
    </w:p>
    <w:p w:rsidR="0046087E" w:rsidRPr="00095DD1" w:rsidRDefault="0046087E" w:rsidP="0046087E">
      <w:pPr>
        <w:jc w:val="both"/>
        <w:rPr>
          <w:szCs w:val="22"/>
        </w:rPr>
      </w:pPr>
      <w:r w:rsidRPr="00095DD1">
        <w:rPr>
          <w:szCs w:val="22"/>
        </w:rPr>
        <w:t>Nepodáv</w:t>
      </w:r>
      <w:r>
        <w:rPr>
          <w:szCs w:val="22"/>
        </w:rPr>
        <w:t>at</w:t>
      </w:r>
      <w:r w:rsidRPr="00095DD1">
        <w:rPr>
          <w:szCs w:val="22"/>
        </w:rPr>
        <w:t xml:space="preserve"> roztoky anorganických fosfátů současně s infúzí nebo krátce po ní.</w:t>
      </w:r>
    </w:p>
    <w:p w:rsidR="00373D07" w:rsidRPr="00373D07" w:rsidRDefault="00373D07" w:rsidP="00373D07">
      <w:pPr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Nepoužívat v případech přecitlivělosti na léčivé) látky.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6.</w:t>
      </w:r>
      <w:r w:rsidRPr="00373D07">
        <w:rPr>
          <w:b/>
          <w:bCs/>
          <w:caps/>
          <w:snapToGrid w:val="0"/>
          <w:kern w:val="32"/>
          <w:szCs w:val="22"/>
        </w:rPr>
        <w:tab/>
        <w:t>NEŽÁDOUCÍ ÚČINKY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Ve spontánních hlášeních byla velmi vzácně hlášena přechodná </w:t>
      </w:r>
      <w:proofErr w:type="spellStart"/>
      <w:r w:rsidRPr="00373D07">
        <w:rPr>
          <w:szCs w:val="22"/>
        </w:rPr>
        <w:t>hyperkalcémie</w:t>
      </w:r>
      <w:proofErr w:type="spellEnd"/>
      <w:r w:rsidRPr="00373D07">
        <w:rPr>
          <w:szCs w:val="22"/>
        </w:rPr>
        <w:t xml:space="preserve"> s následujícími příznaky: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- iniciální bradykardie,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- neklid, svalový třes, </w:t>
      </w:r>
      <w:proofErr w:type="spellStart"/>
      <w:r w:rsidR="0046087E">
        <w:rPr>
          <w:szCs w:val="22"/>
        </w:rPr>
        <w:t>hypersalivace</w:t>
      </w:r>
      <w:proofErr w:type="spellEnd"/>
      <w:r w:rsidRPr="00373D07">
        <w:rPr>
          <w:szCs w:val="22"/>
        </w:rPr>
        <w:t>,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- zvýšení dechové frekvence.</w:t>
      </w:r>
    </w:p>
    <w:p w:rsidR="00373D07" w:rsidRPr="00373D07" w:rsidRDefault="00373D07" w:rsidP="00373D07">
      <w:pPr>
        <w:jc w:val="both"/>
        <w:rPr>
          <w:szCs w:val="22"/>
        </w:rPr>
      </w:pP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Zrychlení srdečního rytmu po iniciální bradykardii může indikovat předávkování. V tomto případě okamžitě přerušte infúzi. Mohou se objevit opožděné nežádoucí účinky ve formě poruch celkového zdravotního stavu a příznaků </w:t>
      </w:r>
      <w:proofErr w:type="spellStart"/>
      <w:r w:rsidRPr="00373D07">
        <w:rPr>
          <w:szCs w:val="22"/>
        </w:rPr>
        <w:t>hyperkalcémie</w:t>
      </w:r>
      <w:proofErr w:type="spellEnd"/>
      <w:r w:rsidRPr="00373D07">
        <w:rPr>
          <w:szCs w:val="22"/>
        </w:rPr>
        <w:t xml:space="preserve"> až 6–10 hodin po podání a nesmí být diagnostikovány jako recidivující </w:t>
      </w:r>
      <w:proofErr w:type="spellStart"/>
      <w:r w:rsidRPr="00373D07">
        <w:rPr>
          <w:szCs w:val="22"/>
        </w:rPr>
        <w:t>hypokalcémie</w:t>
      </w:r>
      <w:proofErr w:type="spellEnd"/>
      <w:r w:rsidRPr="00373D07">
        <w:rPr>
          <w:szCs w:val="22"/>
        </w:rPr>
        <w:t xml:space="preserve">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Rovněž viz „Předávkování“.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Četnost nežádoucích účinků je charakterizována podle následujících pravidel: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- velmi časté (nežádoucí účinek(</w:t>
      </w:r>
      <w:proofErr w:type="spellStart"/>
      <w:r w:rsidRPr="00373D07">
        <w:rPr>
          <w:szCs w:val="22"/>
        </w:rPr>
        <w:t>nky</w:t>
      </w:r>
      <w:proofErr w:type="spellEnd"/>
      <w:r w:rsidRPr="00373D07">
        <w:rPr>
          <w:szCs w:val="22"/>
        </w:rPr>
        <w:t>) se projevil(y) u více než 1 z 10 ošetřených zvířat)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- časté (u více než 1, ale méně než 10 ze 100 ošetřených zvířat)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- neobvyklé (u více než 1, ale méně než 10 z 1000 ošetřených zvířat)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- vzácné (u více než 1, ale méně než 10 z 10000 ošetřených zvířat)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- velmi vzácné (u méně než 1 z 10000 ošetřených zvířat, včetně ojedinělých hlášení).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:rsidR="00373D07" w:rsidRPr="00373D07" w:rsidRDefault="00373D07" w:rsidP="00373D07">
      <w:pPr>
        <w:spacing w:line="240" w:lineRule="auto"/>
        <w:rPr>
          <w:rFonts w:eastAsia="Calibri"/>
          <w:szCs w:val="22"/>
        </w:rPr>
      </w:pPr>
      <w:r w:rsidRPr="00373D07">
        <w:rPr>
          <w:szCs w:val="22"/>
        </w:rPr>
        <w:t>Jestliže zaznamenáte kterýkoliv z nežádoucích účinků</w:t>
      </w:r>
      <w:r w:rsidR="00F14F85">
        <w:rPr>
          <w:szCs w:val="22"/>
        </w:rPr>
        <w:t>,</w:t>
      </w:r>
      <w:bookmarkStart w:id="1" w:name="_GoBack"/>
      <w:bookmarkEnd w:id="1"/>
      <w:r w:rsidRPr="00373D07">
        <w:rPr>
          <w:szCs w:val="22"/>
        </w:rPr>
        <w:t xml:space="preserve"> a to i takové, které nejsou uvedeny v této příbalové informaci, nebo si myslíte, že léčivo nefunguje, oznamte to, prosím, vašemu veterinárnímu lékaři.</w:t>
      </w:r>
    </w:p>
    <w:p w:rsidR="00373D07" w:rsidRPr="00373D07" w:rsidRDefault="00373D07" w:rsidP="00373D07">
      <w:pPr>
        <w:spacing w:line="240" w:lineRule="auto"/>
        <w:rPr>
          <w:rFonts w:eastAsia="Calibri"/>
          <w:szCs w:val="22"/>
        </w:rPr>
      </w:pPr>
    </w:p>
    <w:p w:rsidR="00373D07" w:rsidRPr="00373D07" w:rsidRDefault="00373D07" w:rsidP="00373D07">
      <w:pPr>
        <w:spacing w:line="240" w:lineRule="auto"/>
        <w:rPr>
          <w:szCs w:val="22"/>
        </w:rPr>
      </w:pPr>
      <w:r w:rsidRPr="00373D07">
        <w:rPr>
          <w:szCs w:val="22"/>
        </w:rPr>
        <w:t>Můžete také hlásit prostřednictvím národního systému hlášení nežádoucích účinků na adresu:</w:t>
      </w:r>
    </w:p>
    <w:p w:rsidR="00373D07" w:rsidRPr="00373D07" w:rsidRDefault="00373D07" w:rsidP="00373D07">
      <w:pPr>
        <w:spacing w:before="120" w:after="240" w:line="240" w:lineRule="auto"/>
        <w:contextualSpacing/>
        <w:rPr>
          <w:szCs w:val="22"/>
        </w:rPr>
      </w:pPr>
      <w:r w:rsidRPr="00373D07">
        <w:rPr>
          <w:szCs w:val="22"/>
        </w:rPr>
        <w:t>Ústav pro státní kontrolu veterinárních biopreparátů a léčiv</w:t>
      </w:r>
      <w:r w:rsidRPr="00373D07">
        <w:rPr>
          <w:szCs w:val="22"/>
        </w:rPr>
        <w:br/>
        <w:t>Hudcova 232/56a, Medlánky</w:t>
      </w:r>
      <w:r w:rsidRPr="00373D07">
        <w:rPr>
          <w:szCs w:val="22"/>
        </w:rPr>
        <w:br/>
        <w:t>621 00 Brno </w:t>
      </w:r>
      <w:r w:rsidRPr="00373D07">
        <w:rPr>
          <w:szCs w:val="22"/>
        </w:rPr>
        <w:br/>
        <w:t>Česká republika</w:t>
      </w:r>
    </w:p>
    <w:p w:rsidR="00373D07" w:rsidRPr="00373D07" w:rsidRDefault="00E0683A" w:rsidP="00373D07">
      <w:pPr>
        <w:spacing w:line="240" w:lineRule="auto"/>
        <w:rPr>
          <w:rFonts w:eastAsia="Calibri"/>
          <w:szCs w:val="22"/>
        </w:rPr>
      </w:pPr>
      <w:hyperlink r:id="rId6" w:history="1">
        <w:r w:rsidR="00373D07" w:rsidRPr="00373D07">
          <w:rPr>
            <w:color w:val="0000FF"/>
            <w:szCs w:val="22"/>
            <w:u w:val="single"/>
          </w:rPr>
          <w:t>adr@uskvbl.cz</w:t>
        </w:r>
      </w:hyperlink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7.</w:t>
      </w:r>
      <w:r w:rsidRPr="00373D07">
        <w:rPr>
          <w:b/>
          <w:bCs/>
          <w:caps/>
          <w:snapToGrid w:val="0"/>
          <w:kern w:val="32"/>
          <w:szCs w:val="22"/>
        </w:rPr>
        <w:tab/>
        <w:t>CÍLOVÝ DRUH ZVÍŘAT</w:t>
      </w:r>
    </w:p>
    <w:p w:rsidR="00373D07" w:rsidRPr="00373D07" w:rsidRDefault="00373D07" w:rsidP="00373D07">
      <w:pPr>
        <w:rPr>
          <w:szCs w:val="22"/>
        </w:rPr>
      </w:pPr>
      <w:r w:rsidRPr="00373D07">
        <w:rPr>
          <w:szCs w:val="22"/>
        </w:rPr>
        <w:t>Koně, skot, ovce, kozy, prasata.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8.</w:t>
      </w:r>
      <w:r w:rsidRPr="00373D07">
        <w:rPr>
          <w:b/>
          <w:bCs/>
          <w:caps/>
          <w:snapToGrid w:val="0"/>
          <w:kern w:val="32"/>
          <w:szCs w:val="22"/>
        </w:rPr>
        <w:tab/>
        <w:t>DÁVKOVÁNÍ PRO KAŽDÝ DRUH, CESTA(Y) A ZPŮSOB PODÁNÍ</w:t>
      </w:r>
    </w:p>
    <w:p w:rsidR="0046087E" w:rsidRPr="00095DD1" w:rsidRDefault="0046087E" w:rsidP="0046087E">
      <w:pPr>
        <w:spacing w:after="120"/>
        <w:rPr>
          <w:szCs w:val="22"/>
        </w:rPr>
      </w:pPr>
      <w:r>
        <w:rPr>
          <w:szCs w:val="22"/>
        </w:rPr>
        <w:t>P</w:t>
      </w:r>
      <w:r w:rsidRPr="00095DD1">
        <w:rPr>
          <w:szCs w:val="22"/>
        </w:rPr>
        <w:t>omal</w:t>
      </w:r>
      <w:r>
        <w:rPr>
          <w:szCs w:val="22"/>
        </w:rPr>
        <w:t>á</w:t>
      </w:r>
      <w:r w:rsidRPr="00095DD1">
        <w:rPr>
          <w:szCs w:val="22"/>
        </w:rPr>
        <w:t xml:space="preserve"> intravenózní infúz</w:t>
      </w:r>
      <w:r>
        <w:rPr>
          <w:szCs w:val="22"/>
        </w:rPr>
        <w:t>e</w:t>
      </w:r>
    </w:p>
    <w:p w:rsidR="00373D07" w:rsidRPr="00373D07" w:rsidRDefault="00373D07" w:rsidP="00373D07">
      <w:pPr>
        <w:tabs>
          <w:tab w:val="left" w:pos="2482"/>
          <w:tab w:val="left" w:pos="3049"/>
          <w:tab w:val="left" w:pos="5600"/>
        </w:tabs>
        <w:spacing w:after="60"/>
        <w:ind w:right="-68"/>
        <w:rPr>
          <w:bCs/>
          <w:i/>
          <w:iCs/>
          <w:szCs w:val="22"/>
          <w:u w:val="single"/>
        </w:rPr>
      </w:pPr>
      <w:r w:rsidRPr="00373D07">
        <w:rPr>
          <w:i/>
          <w:szCs w:val="22"/>
          <w:u w:val="single"/>
        </w:rPr>
        <w:t xml:space="preserve">Skot: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Akutní </w:t>
      </w:r>
      <w:proofErr w:type="spellStart"/>
      <w:r w:rsidRPr="00373D07">
        <w:rPr>
          <w:szCs w:val="22"/>
        </w:rPr>
        <w:t>hypokalcémické</w:t>
      </w:r>
      <w:proofErr w:type="spellEnd"/>
      <w:r w:rsidRPr="00373D07">
        <w:rPr>
          <w:szCs w:val="22"/>
        </w:rPr>
        <w:t xml:space="preserve"> stavy:</w:t>
      </w:r>
    </w:p>
    <w:p w:rsidR="00373D07" w:rsidRPr="00373D07" w:rsidRDefault="00373D07" w:rsidP="00373D07">
      <w:pPr>
        <w:rPr>
          <w:szCs w:val="22"/>
        </w:rPr>
      </w:pPr>
      <w:r w:rsidRPr="00373D07">
        <w:rPr>
          <w:szCs w:val="22"/>
        </w:rPr>
        <w:t xml:space="preserve">20–30 ml tohoto přípravku na 50 kg </w:t>
      </w:r>
      <w:r w:rsidR="0046087E">
        <w:rPr>
          <w:szCs w:val="22"/>
        </w:rPr>
        <w:t>živé</w:t>
      </w:r>
      <w:r w:rsidRPr="00373D07">
        <w:rPr>
          <w:szCs w:val="22"/>
        </w:rPr>
        <w:t xml:space="preserve"> hmotnosti</w:t>
      </w:r>
      <w:r w:rsidRPr="00373D07">
        <w:rPr>
          <w:szCs w:val="22"/>
        </w:rPr>
        <w:br/>
        <w:t xml:space="preserve">(odpovídá 0,34–0,51 </w:t>
      </w:r>
      <w:proofErr w:type="spellStart"/>
      <w:r w:rsidRPr="00373D07">
        <w:rPr>
          <w:szCs w:val="22"/>
        </w:rPr>
        <w:t>mmol</w:t>
      </w:r>
      <w:proofErr w:type="spellEnd"/>
      <w:r w:rsidRPr="00373D07">
        <w:rPr>
          <w:szCs w:val="22"/>
        </w:rPr>
        <w:t xml:space="preserve"> Ca</w:t>
      </w:r>
      <w:r w:rsidRPr="00373D07">
        <w:rPr>
          <w:szCs w:val="22"/>
          <w:vertAlign w:val="superscript"/>
        </w:rPr>
        <w:t>2+</w:t>
      </w:r>
      <w:r w:rsidRPr="00373D07">
        <w:rPr>
          <w:szCs w:val="22"/>
        </w:rPr>
        <w:t xml:space="preserve"> a 0,12–0,18 </w:t>
      </w:r>
      <w:proofErr w:type="spellStart"/>
      <w:r w:rsidRPr="00373D07">
        <w:rPr>
          <w:szCs w:val="22"/>
        </w:rPr>
        <w:t>mmol</w:t>
      </w:r>
      <w:proofErr w:type="spellEnd"/>
      <w:r w:rsidRPr="00373D07">
        <w:rPr>
          <w:szCs w:val="22"/>
        </w:rPr>
        <w:t xml:space="preserve"> Mg</w:t>
      </w:r>
      <w:r w:rsidRPr="00373D07">
        <w:rPr>
          <w:szCs w:val="22"/>
          <w:vertAlign w:val="superscript"/>
        </w:rPr>
        <w:t>2+</w:t>
      </w:r>
      <w:r w:rsidRPr="00373D07">
        <w:rPr>
          <w:szCs w:val="22"/>
        </w:rPr>
        <w:t xml:space="preserve"> na kg </w:t>
      </w:r>
      <w:r w:rsidR="0046087E">
        <w:rPr>
          <w:szCs w:val="22"/>
        </w:rPr>
        <w:t>ž</w:t>
      </w:r>
      <w:r w:rsidRPr="00373D07">
        <w:rPr>
          <w:szCs w:val="22"/>
        </w:rPr>
        <w:t>. hm.).</w:t>
      </w:r>
    </w:p>
    <w:p w:rsidR="00373D07" w:rsidRPr="00373D07" w:rsidRDefault="00373D07" w:rsidP="00373D07">
      <w:pPr>
        <w:rPr>
          <w:szCs w:val="22"/>
          <w:lang w:eastAsia="de-DE"/>
        </w:rPr>
      </w:pPr>
    </w:p>
    <w:p w:rsidR="00373D07" w:rsidRPr="00373D07" w:rsidRDefault="00373D07" w:rsidP="00373D07">
      <w:pPr>
        <w:spacing w:after="120"/>
        <w:rPr>
          <w:i/>
          <w:szCs w:val="22"/>
          <w:u w:val="single"/>
        </w:rPr>
      </w:pPr>
      <w:r w:rsidRPr="00373D07">
        <w:rPr>
          <w:i/>
          <w:szCs w:val="22"/>
          <w:u w:val="single"/>
        </w:rPr>
        <w:t>Kůň, tele, ovce, koza, prase:</w:t>
      </w:r>
    </w:p>
    <w:p w:rsidR="00373D07" w:rsidRPr="00373D07" w:rsidRDefault="00373D07" w:rsidP="00373D07">
      <w:pPr>
        <w:spacing w:after="120"/>
        <w:rPr>
          <w:szCs w:val="22"/>
        </w:rPr>
      </w:pPr>
      <w:r w:rsidRPr="00373D07">
        <w:rPr>
          <w:szCs w:val="22"/>
        </w:rPr>
        <w:t xml:space="preserve">15–20 ml tohoto přípravku na 50 kg </w:t>
      </w:r>
      <w:r w:rsidR="0046087E">
        <w:rPr>
          <w:szCs w:val="22"/>
        </w:rPr>
        <w:t>živé</w:t>
      </w:r>
      <w:r w:rsidRPr="00373D07">
        <w:rPr>
          <w:szCs w:val="22"/>
        </w:rPr>
        <w:t xml:space="preserve"> hmotnosti</w:t>
      </w:r>
      <w:r w:rsidRPr="00373D07">
        <w:rPr>
          <w:szCs w:val="22"/>
        </w:rPr>
        <w:br/>
        <w:t xml:space="preserve">(odpovídá 0,26–0,34 </w:t>
      </w:r>
      <w:proofErr w:type="spellStart"/>
      <w:r w:rsidRPr="00373D07">
        <w:rPr>
          <w:szCs w:val="22"/>
        </w:rPr>
        <w:t>mmol</w:t>
      </w:r>
      <w:proofErr w:type="spellEnd"/>
      <w:r w:rsidRPr="00373D07">
        <w:rPr>
          <w:szCs w:val="22"/>
        </w:rPr>
        <w:t xml:space="preserve"> Ca</w:t>
      </w:r>
      <w:r w:rsidRPr="00373D07">
        <w:rPr>
          <w:szCs w:val="22"/>
          <w:vertAlign w:val="superscript"/>
        </w:rPr>
        <w:t>2+</w:t>
      </w:r>
      <w:r w:rsidRPr="00373D07">
        <w:rPr>
          <w:szCs w:val="22"/>
        </w:rPr>
        <w:t xml:space="preserve"> a 0,09–0,12 </w:t>
      </w:r>
      <w:proofErr w:type="spellStart"/>
      <w:r w:rsidRPr="00373D07">
        <w:rPr>
          <w:szCs w:val="22"/>
        </w:rPr>
        <w:t>mmol</w:t>
      </w:r>
      <w:proofErr w:type="spellEnd"/>
      <w:r w:rsidRPr="00373D07">
        <w:rPr>
          <w:szCs w:val="22"/>
        </w:rPr>
        <w:t xml:space="preserve"> Mg</w:t>
      </w:r>
      <w:r w:rsidRPr="00373D07">
        <w:rPr>
          <w:szCs w:val="22"/>
          <w:vertAlign w:val="superscript"/>
        </w:rPr>
        <w:t>2+</w:t>
      </w:r>
      <w:r w:rsidRPr="00373D07">
        <w:rPr>
          <w:szCs w:val="22"/>
        </w:rPr>
        <w:t xml:space="preserve"> na kg </w:t>
      </w:r>
      <w:r w:rsidR="0046087E">
        <w:rPr>
          <w:szCs w:val="22"/>
        </w:rPr>
        <w:t>ž</w:t>
      </w:r>
      <w:r w:rsidRPr="00373D07">
        <w:rPr>
          <w:szCs w:val="22"/>
        </w:rPr>
        <w:t>. hm.).</w:t>
      </w:r>
    </w:p>
    <w:p w:rsidR="00373D07" w:rsidRPr="00373D07" w:rsidRDefault="00373D07" w:rsidP="00373D07">
      <w:pPr>
        <w:rPr>
          <w:szCs w:val="22"/>
          <w:lang w:eastAsia="de-DE"/>
        </w:rPr>
      </w:pPr>
    </w:p>
    <w:p w:rsidR="00373D07" w:rsidRPr="00373D07" w:rsidRDefault="00373D07" w:rsidP="00373D07">
      <w:pPr>
        <w:rPr>
          <w:szCs w:val="22"/>
        </w:rPr>
      </w:pPr>
      <w:r w:rsidRPr="00373D07">
        <w:rPr>
          <w:szCs w:val="22"/>
        </w:rPr>
        <w:t>Infúze u koní nesmí přesáhnout rychlost 4–8 mg/kg/h vápníku (odpovídá 0,12–0,24 ml/kg/h tohoto přípravku). Doporučuje se zředit požadovanou dávku tohoto přípravku v poměru 1 : 4 s izotonickým fyziologickým roztokem nebo dextrózou a infúzi podávat alespoň dvě hodiny.</w:t>
      </w:r>
    </w:p>
    <w:p w:rsidR="00373D07" w:rsidRPr="00373D07" w:rsidRDefault="00373D07" w:rsidP="00373D07">
      <w:pPr>
        <w:jc w:val="both"/>
        <w:rPr>
          <w:szCs w:val="22"/>
          <w:lang w:eastAsia="de-DE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  <w:lang w:eastAsia="de-DE"/>
        </w:rPr>
        <w:t xml:space="preserve">Intravenózní infúze musí být prováděna pomalu po dobu 20–30 minut.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Výše uvedené pokyny k dávkování slouží jako vodítko, je třeba je ale přizpůsobit stávajícímu individuálnímu deficitu a stavu oběhového systému.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Druhou léčebnou dávku lze podat </w:t>
      </w:r>
      <w:r w:rsidR="0046087E">
        <w:rPr>
          <w:szCs w:val="22"/>
        </w:rPr>
        <w:t>nejdříve</w:t>
      </w:r>
      <w:r w:rsidR="0046087E" w:rsidRPr="00373D07">
        <w:rPr>
          <w:szCs w:val="22"/>
        </w:rPr>
        <w:t xml:space="preserve"> </w:t>
      </w:r>
      <w:r w:rsidRPr="00373D07">
        <w:rPr>
          <w:szCs w:val="22"/>
        </w:rPr>
        <w:t xml:space="preserve">až za 6 hodin po ošetření. Další léčebné dávky lze podávat každých 24 hodin, pokud je jednoznačné, že jsou související přetrvávající příznaky způsobeny </w:t>
      </w:r>
      <w:proofErr w:type="spellStart"/>
      <w:r w:rsidRPr="00373D07">
        <w:rPr>
          <w:szCs w:val="22"/>
        </w:rPr>
        <w:t>hypokalcémií</w:t>
      </w:r>
      <w:proofErr w:type="spellEnd"/>
      <w:r w:rsidRPr="00373D07">
        <w:rPr>
          <w:szCs w:val="22"/>
        </w:rPr>
        <w:t>.</w:t>
      </w:r>
    </w:p>
    <w:p w:rsidR="00373D07" w:rsidRPr="00373D07" w:rsidRDefault="00373D07" w:rsidP="00373D07">
      <w:pPr>
        <w:keepNext/>
        <w:spacing w:before="360" w:after="60" w:line="240" w:lineRule="auto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9.</w:t>
      </w:r>
      <w:r w:rsidRPr="00373D07">
        <w:rPr>
          <w:b/>
          <w:bCs/>
          <w:caps/>
          <w:snapToGrid w:val="0"/>
          <w:kern w:val="32"/>
          <w:szCs w:val="22"/>
        </w:rPr>
        <w:tab/>
        <w:t>POKYNY PRO SPRÁVNÉ PODÁNÍ</w:t>
      </w:r>
    </w:p>
    <w:p w:rsidR="00373D07" w:rsidRPr="00373D07" w:rsidRDefault="00373D07" w:rsidP="00373D07">
      <w:pPr>
        <w:tabs>
          <w:tab w:val="clear" w:pos="567"/>
        </w:tabs>
        <w:spacing w:after="60" w:line="240" w:lineRule="auto"/>
        <w:rPr>
          <w:szCs w:val="22"/>
        </w:rPr>
      </w:pPr>
      <w:r w:rsidRPr="00373D07">
        <w:rPr>
          <w:szCs w:val="22"/>
          <w:lang w:eastAsia="de-DE"/>
        </w:rPr>
        <w:t xml:space="preserve">Intravenózní infúze musí být prováděna pomalu po dobu 20–30 minut. 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10.</w:t>
      </w:r>
      <w:r w:rsidRPr="00373D07">
        <w:rPr>
          <w:b/>
          <w:bCs/>
          <w:caps/>
          <w:snapToGrid w:val="0"/>
          <w:kern w:val="32"/>
          <w:szCs w:val="22"/>
        </w:rPr>
        <w:tab/>
        <w:t>OCHRANNÁ(É) LHŮTA(Y)</w:t>
      </w:r>
    </w:p>
    <w:p w:rsidR="00CD43D7" w:rsidRDefault="00373D07" w:rsidP="00373D07">
      <w:pPr>
        <w:tabs>
          <w:tab w:val="clear" w:pos="567"/>
          <w:tab w:val="left" w:pos="3119"/>
          <w:tab w:val="left" w:pos="5103"/>
        </w:tabs>
        <w:spacing w:after="60" w:line="240" w:lineRule="auto"/>
        <w:rPr>
          <w:lang w:eastAsia="de-DE"/>
        </w:rPr>
      </w:pPr>
      <w:r w:rsidRPr="00373D07">
        <w:rPr>
          <w:lang w:eastAsia="de-DE"/>
        </w:rPr>
        <w:t>Skot, ovce, kozy, koně:</w:t>
      </w:r>
      <w:r w:rsidRPr="00373D07">
        <w:rPr>
          <w:lang w:eastAsia="de-DE"/>
        </w:rPr>
        <w:tab/>
        <w:t>Maso:</w:t>
      </w:r>
      <w:r w:rsidRPr="00373D07">
        <w:rPr>
          <w:lang w:eastAsia="de-DE"/>
        </w:rPr>
        <w:tab/>
      </w:r>
      <w:r w:rsidR="00CD43D7">
        <w:rPr>
          <w:lang w:eastAsia="de-DE"/>
        </w:rPr>
        <w:t>Bez ochranných lhůt.</w:t>
      </w:r>
    </w:p>
    <w:p w:rsidR="00373D07" w:rsidRPr="00373D07" w:rsidRDefault="00373D07" w:rsidP="00373D07">
      <w:pPr>
        <w:tabs>
          <w:tab w:val="clear" w:pos="567"/>
          <w:tab w:val="left" w:pos="3119"/>
          <w:tab w:val="left" w:pos="5103"/>
        </w:tabs>
        <w:spacing w:after="60" w:line="240" w:lineRule="auto"/>
        <w:rPr>
          <w:lang w:eastAsia="de-DE"/>
        </w:rPr>
      </w:pPr>
      <w:r w:rsidRPr="00373D07">
        <w:rPr>
          <w:lang w:eastAsia="de-DE"/>
        </w:rPr>
        <w:tab/>
        <w:t>Mléko:</w:t>
      </w:r>
      <w:r w:rsidRPr="00373D07">
        <w:rPr>
          <w:lang w:eastAsia="de-DE"/>
        </w:rPr>
        <w:tab/>
      </w:r>
      <w:r w:rsidR="00CD43D7">
        <w:rPr>
          <w:lang w:eastAsia="de-DE"/>
        </w:rPr>
        <w:t>Bez ochranných lhůt.</w:t>
      </w:r>
    </w:p>
    <w:p w:rsidR="00373D07" w:rsidRPr="00373D07" w:rsidRDefault="00373D07" w:rsidP="00373D07">
      <w:pPr>
        <w:tabs>
          <w:tab w:val="clear" w:pos="567"/>
          <w:tab w:val="left" w:pos="3119"/>
          <w:tab w:val="left" w:pos="5103"/>
        </w:tabs>
        <w:spacing w:after="60" w:line="240" w:lineRule="auto"/>
        <w:rPr>
          <w:rFonts w:ascii="Arial" w:hAnsi="Arial"/>
          <w:lang w:eastAsia="de-DE"/>
        </w:rPr>
      </w:pPr>
      <w:r w:rsidRPr="00373D07">
        <w:rPr>
          <w:lang w:eastAsia="de-DE"/>
        </w:rPr>
        <w:t>Prasata:</w:t>
      </w:r>
      <w:r w:rsidRPr="00373D07">
        <w:rPr>
          <w:lang w:eastAsia="de-DE"/>
        </w:rPr>
        <w:tab/>
        <w:t>Maso:</w:t>
      </w:r>
      <w:r w:rsidRPr="00373D07">
        <w:rPr>
          <w:lang w:eastAsia="de-DE"/>
        </w:rPr>
        <w:tab/>
      </w:r>
      <w:r w:rsidR="00CD43D7">
        <w:rPr>
          <w:lang w:eastAsia="de-DE"/>
        </w:rPr>
        <w:t>Bez ochranných lhůt.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lastRenderedPageBreak/>
        <w:t>11.</w:t>
      </w:r>
      <w:r w:rsidRPr="00373D07">
        <w:rPr>
          <w:b/>
          <w:bCs/>
          <w:caps/>
          <w:snapToGrid w:val="0"/>
          <w:kern w:val="32"/>
          <w:szCs w:val="22"/>
        </w:rPr>
        <w:tab/>
        <w:t>ZVLÁŠTNÍ OPATŘENÍ PRO UCHOVÁVÁNÍ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Po </w:t>
      </w:r>
      <w:r w:rsidR="000315C6">
        <w:rPr>
          <w:szCs w:val="22"/>
        </w:rPr>
        <w:t xml:space="preserve">1. </w:t>
      </w:r>
      <w:r w:rsidRPr="00373D07">
        <w:rPr>
          <w:szCs w:val="22"/>
        </w:rPr>
        <w:t>otevření spotřebujte ihned.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Uchovávat mimo dohled a dosah dětí.</w:t>
      </w:r>
    </w:p>
    <w:p w:rsidR="00373D07" w:rsidRPr="00373D07" w:rsidRDefault="00373D07" w:rsidP="00373D07">
      <w:pPr>
        <w:rPr>
          <w:szCs w:val="22"/>
        </w:rPr>
      </w:pPr>
      <w:r w:rsidRPr="00373D07">
        <w:rPr>
          <w:szCs w:val="22"/>
        </w:rPr>
        <w:t>Chraňte před chladem nebo mrazem.</w:t>
      </w:r>
    </w:p>
    <w:p w:rsidR="00373D07" w:rsidRPr="00373D07" w:rsidRDefault="00373D07" w:rsidP="00373D07">
      <w:pPr>
        <w:rPr>
          <w:szCs w:val="22"/>
        </w:rPr>
      </w:pPr>
      <w:r w:rsidRPr="00373D07">
        <w:rPr>
          <w:szCs w:val="22"/>
        </w:rPr>
        <w:t>Nepoužívejte tento veterinární léčivý přípravek po uplynutí doby použitelnost</w:t>
      </w:r>
      <w:r w:rsidR="000315C6">
        <w:rPr>
          <w:szCs w:val="22"/>
        </w:rPr>
        <w:t>i</w:t>
      </w:r>
      <w:r w:rsidRPr="00373D07">
        <w:rPr>
          <w:szCs w:val="22"/>
        </w:rPr>
        <w:t xml:space="preserve"> uvedené na etiketě po „EXP“.</w:t>
      </w:r>
    </w:p>
    <w:p w:rsidR="00373D07" w:rsidRPr="00373D07" w:rsidRDefault="00373D07" w:rsidP="00373D07">
      <w:pPr>
        <w:rPr>
          <w:szCs w:val="22"/>
        </w:rPr>
      </w:pPr>
      <w:r w:rsidRPr="00373D07">
        <w:rPr>
          <w:szCs w:val="22"/>
        </w:rPr>
        <w:t>Doba použitelnosti končí posledním dnem v uvedeném měsíci.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12.</w:t>
      </w:r>
      <w:r w:rsidRPr="00373D07">
        <w:rPr>
          <w:b/>
          <w:bCs/>
          <w:caps/>
          <w:snapToGrid w:val="0"/>
          <w:kern w:val="32"/>
          <w:szCs w:val="22"/>
        </w:rPr>
        <w:tab/>
        <w:t>ZVLÁŠTNÍ UPOZORNĚNÍ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Zvláštní upozornění pro každý cílový druh: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Nejsou.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Zvláštní opatření pro použití u zvířat: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Léčivý přípravek musí být podáván pouze pomalu intravenózně.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Roztok má být před podáním zahřátý na tělesnou teplotu.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Během infúze musí být sledována srdeční frekvence, rytmus a krevní oběh.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V případě příznaků předávkování (srdeční arytmie, pokles krevního tlaku, agitace) je třeba </w:t>
      </w:r>
      <w:r w:rsidR="0046087E">
        <w:rPr>
          <w:szCs w:val="22"/>
        </w:rPr>
        <w:t xml:space="preserve">podávání </w:t>
      </w:r>
      <w:r w:rsidRPr="00373D07">
        <w:rPr>
          <w:szCs w:val="22"/>
        </w:rPr>
        <w:t>infúz</w:t>
      </w:r>
      <w:r w:rsidR="0046087E">
        <w:rPr>
          <w:szCs w:val="22"/>
        </w:rPr>
        <w:t>e</w:t>
      </w:r>
      <w:r w:rsidRPr="00373D07">
        <w:rPr>
          <w:szCs w:val="22"/>
        </w:rPr>
        <w:t xml:space="preserve"> okamžitě zastavit.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lang w:eastAsia="en-GB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Zvláštní opatření určené osobám, které podávají veterinární léčivý přípravek zvířatům</w:t>
      </w:r>
    </w:p>
    <w:p w:rsidR="00373D07" w:rsidRPr="00373D07" w:rsidRDefault="00A645D4" w:rsidP="00373D07">
      <w:pPr>
        <w:jc w:val="both"/>
        <w:rPr>
          <w:szCs w:val="22"/>
        </w:rPr>
      </w:pPr>
      <w:r>
        <w:rPr>
          <w:szCs w:val="22"/>
        </w:rPr>
        <w:t xml:space="preserve">Zabraňte </w:t>
      </w:r>
      <w:r w:rsidR="00373D07" w:rsidRPr="00373D07">
        <w:rPr>
          <w:szCs w:val="22"/>
        </w:rPr>
        <w:t xml:space="preserve">náhodnému </w:t>
      </w:r>
      <w:proofErr w:type="spellStart"/>
      <w:r w:rsidR="00373D07" w:rsidRPr="00373D07">
        <w:rPr>
          <w:szCs w:val="22"/>
        </w:rPr>
        <w:t>samopodání</w:t>
      </w:r>
      <w:proofErr w:type="spellEnd"/>
      <w:r w:rsidR="00373D07" w:rsidRPr="00373D07">
        <w:rPr>
          <w:szCs w:val="22"/>
        </w:rPr>
        <w:t xml:space="preserve"> injekce, </w:t>
      </w:r>
      <w:r>
        <w:rPr>
          <w:szCs w:val="22"/>
        </w:rPr>
        <w:t xml:space="preserve">jelikož </w:t>
      </w:r>
      <w:r w:rsidR="00373D07" w:rsidRPr="00373D07">
        <w:rPr>
          <w:szCs w:val="22"/>
        </w:rPr>
        <w:t xml:space="preserve">může </w:t>
      </w:r>
      <w:r>
        <w:rPr>
          <w:szCs w:val="22"/>
        </w:rPr>
        <w:t xml:space="preserve">vyvolat </w:t>
      </w:r>
      <w:r w:rsidR="00373D07" w:rsidRPr="00373D07">
        <w:rPr>
          <w:szCs w:val="22"/>
        </w:rPr>
        <w:t xml:space="preserve">podráždění v místě aplikace.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V případě náhodného samopodání, vyhledejte ihned lékařskou pomoc a ukažte etiketu lékaři.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Tento veterinární léčivý přípravek obsahuje kyselinu boritou a nem</w:t>
      </w:r>
      <w:r w:rsidR="00A645D4">
        <w:rPr>
          <w:szCs w:val="22"/>
        </w:rPr>
        <w:t xml:space="preserve">ěl by </w:t>
      </w:r>
      <w:r w:rsidRPr="00373D07">
        <w:rPr>
          <w:szCs w:val="22"/>
        </w:rPr>
        <w:t xml:space="preserve">být podáván těhotnými ženami a </w:t>
      </w:r>
      <w:r w:rsidR="00A645D4">
        <w:rPr>
          <w:szCs w:val="22"/>
        </w:rPr>
        <w:t>uživateli</w:t>
      </w:r>
      <w:r w:rsidRPr="00373D07">
        <w:rPr>
          <w:szCs w:val="22"/>
        </w:rPr>
        <w:t>, kte</w:t>
      </w:r>
      <w:r w:rsidR="00A645D4">
        <w:rPr>
          <w:szCs w:val="22"/>
        </w:rPr>
        <w:t>ří</w:t>
      </w:r>
      <w:r w:rsidRPr="00373D07">
        <w:rPr>
          <w:szCs w:val="22"/>
        </w:rPr>
        <w:t xml:space="preserve"> se </w:t>
      </w:r>
      <w:r w:rsidR="00A645D4">
        <w:rPr>
          <w:szCs w:val="22"/>
        </w:rPr>
        <w:t>pokoušejí o početí</w:t>
      </w:r>
      <w:r w:rsidRPr="00373D07">
        <w:rPr>
          <w:szCs w:val="22"/>
        </w:rPr>
        <w:t>.</w:t>
      </w:r>
    </w:p>
    <w:p w:rsidR="00373D07" w:rsidRPr="00373D07" w:rsidRDefault="00373D07" w:rsidP="00373D07">
      <w:pPr>
        <w:jc w:val="both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ind w:left="567" w:hanging="567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Použití v průběhu březosti, laktace nebo snášky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Nebyla stanovena bezpečnost veterinárního léčivého přípravku pro použití během březosti. Použít pouze po zvážení terapeutického prospěchu a rizika příslušným veterinárním lékařem.</w:t>
      </w:r>
    </w:p>
    <w:p w:rsidR="00373D07" w:rsidRPr="00373D07" w:rsidRDefault="00373D07" w:rsidP="00373D07">
      <w:pPr>
        <w:jc w:val="both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Interakce s dalšími léčivými přípravky a další formy interakce: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Vápník zvyšuje účinnost srdečních glykosidů.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Vápník zvyšuje účinky β-adrenergních léčiv a </w:t>
      </w:r>
      <w:proofErr w:type="spellStart"/>
      <w:r w:rsidRPr="00373D07">
        <w:rPr>
          <w:szCs w:val="22"/>
        </w:rPr>
        <w:t>methylxantinů</w:t>
      </w:r>
      <w:proofErr w:type="spellEnd"/>
      <w:r w:rsidRPr="00373D07">
        <w:rPr>
          <w:szCs w:val="22"/>
        </w:rPr>
        <w:t xml:space="preserve"> na srdce.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Glukokortikoidy zvyšují exkreci vápníku ledvinami antagonismem s vitamínem D. 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Předávkování (symptomy, první pomoc, antidota):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V případě předávkování, nebo pokud byla infúze provedena příliš rychle, může dojít k </w:t>
      </w:r>
      <w:proofErr w:type="spellStart"/>
      <w:r w:rsidRPr="00373D07">
        <w:rPr>
          <w:szCs w:val="22"/>
        </w:rPr>
        <w:t>hyperkalcémii</w:t>
      </w:r>
      <w:proofErr w:type="spellEnd"/>
      <w:r w:rsidRPr="00373D07">
        <w:rPr>
          <w:szCs w:val="22"/>
        </w:rPr>
        <w:t xml:space="preserve"> nebo </w:t>
      </w:r>
      <w:proofErr w:type="spellStart"/>
      <w:r w:rsidRPr="00373D07">
        <w:rPr>
          <w:szCs w:val="22"/>
        </w:rPr>
        <w:t>hypermagnesémii</w:t>
      </w:r>
      <w:proofErr w:type="spellEnd"/>
      <w:r w:rsidRPr="00373D07">
        <w:rPr>
          <w:szCs w:val="22"/>
        </w:rPr>
        <w:t xml:space="preserve"> s </w:t>
      </w:r>
      <w:proofErr w:type="spellStart"/>
      <w:r w:rsidRPr="00373D07">
        <w:rPr>
          <w:szCs w:val="22"/>
        </w:rPr>
        <w:t>kardiotoxickými</w:t>
      </w:r>
      <w:proofErr w:type="spellEnd"/>
      <w:r w:rsidRPr="00373D07">
        <w:rPr>
          <w:szCs w:val="22"/>
        </w:rPr>
        <w:t xml:space="preserve"> příznaky jako iniciální bradykardie s následnou tachykardií a poruchami srdečního rytmu. V závažných případech může dojít k fibrilaci komor. Dalšími příznaky </w:t>
      </w:r>
      <w:proofErr w:type="spellStart"/>
      <w:r w:rsidRPr="00373D07">
        <w:rPr>
          <w:szCs w:val="22"/>
        </w:rPr>
        <w:t>hyperkalcémie</w:t>
      </w:r>
      <w:proofErr w:type="spellEnd"/>
      <w:r w:rsidRPr="00373D07">
        <w:rPr>
          <w:szCs w:val="22"/>
        </w:rPr>
        <w:t xml:space="preserve"> jsou: motorická slabost, svalový třes, zvýšená vzrušivost, neklid, pocení, polyurie, pokles krevního tlaku, deprese a kóma.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Překročení maximální rychlosti může vést k hypersenzitivním reakcím v souvislosti s uvolňováním histaminu. </w:t>
      </w: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>Pokud se objeví výše popsané příznaky, musí být infúze okamžitě zastavena.</w:t>
      </w:r>
    </w:p>
    <w:p w:rsidR="00373D07" w:rsidRPr="00373D07" w:rsidRDefault="00373D07" w:rsidP="00373D07">
      <w:pPr>
        <w:jc w:val="both"/>
        <w:rPr>
          <w:szCs w:val="22"/>
        </w:rPr>
      </w:pPr>
    </w:p>
    <w:p w:rsidR="00373D07" w:rsidRPr="00373D07" w:rsidRDefault="00373D07" w:rsidP="00373D07">
      <w:pPr>
        <w:jc w:val="both"/>
        <w:rPr>
          <w:szCs w:val="22"/>
        </w:rPr>
      </w:pPr>
      <w:r w:rsidRPr="00373D07">
        <w:rPr>
          <w:szCs w:val="22"/>
        </w:rPr>
        <w:t xml:space="preserve">Příznaky </w:t>
      </w:r>
      <w:proofErr w:type="spellStart"/>
      <w:r w:rsidRPr="00373D07">
        <w:rPr>
          <w:szCs w:val="22"/>
        </w:rPr>
        <w:t>hyperkalcémie</w:t>
      </w:r>
      <w:proofErr w:type="spellEnd"/>
      <w:r w:rsidRPr="00373D07">
        <w:rPr>
          <w:szCs w:val="22"/>
        </w:rPr>
        <w:t xml:space="preserve"> mohou přetrvávat 6–10 hodin po infúzi. Je důležité, aby tyto příznaky nebyly chybně diagnostikovány jako recidivující </w:t>
      </w:r>
      <w:proofErr w:type="spellStart"/>
      <w:r w:rsidRPr="00373D07">
        <w:rPr>
          <w:szCs w:val="22"/>
        </w:rPr>
        <w:t>hypokalcémie</w:t>
      </w:r>
      <w:proofErr w:type="spellEnd"/>
      <w:r w:rsidRPr="00373D07">
        <w:rPr>
          <w:szCs w:val="22"/>
        </w:rPr>
        <w:t>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  <w:u w:val="single"/>
        </w:rPr>
      </w:pPr>
      <w:r w:rsidRPr="00373D07">
        <w:rPr>
          <w:szCs w:val="22"/>
          <w:u w:val="single"/>
        </w:rPr>
        <w:t>Inkompatibility: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rFonts w:eastAsia="Calibri"/>
          <w:szCs w:val="22"/>
        </w:rPr>
      </w:pPr>
      <w:r w:rsidRPr="00373D07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13.</w:t>
      </w:r>
      <w:r w:rsidRPr="00373D07">
        <w:rPr>
          <w:b/>
          <w:bCs/>
          <w:caps/>
          <w:snapToGrid w:val="0"/>
          <w:kern w:val="32"/>
          <w:szCs w:val="22"/>
        </w:rPr>
        <w:tab/>
        <w:t>ZVLÁŠTNÍ OPATŘENÍ PRO ZNEŠKODŇOVÁNÍ NEPOUŽITÝCH PŘÍPRAVKŮ NEBO ODPADU, POKUD JE JICH TŘEBA</w:t>
      </w:r>
    </w:p>
    <w:p w:rsidR="00373D07" w:rsidRPr="00373D07" w:rsidRDefault="00373D07" w:rsidP="00373D07">
      <w:pPr>
        <w:tabs>
          <w:tab w:val="clear" w:pos="567"/>
          <w:tab w:val="center" w:pos="4536"/>
          <w:tab w:val="center" w:pos="8930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 xml:space="preserve">Léčivé přípravky se nesmí likvidovat prostřednictvím odpadní vody či domovního odpadu. 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lastRenderedPageBreak/>
        <w:t>O možnostech likvidace nepotřebných léčivých přípravků se poraďte s vaším veterinárním lékařem. Tato opatření napomáhají chránit životní prostředí.</w:t>
      </w:r>
    </w:p>
    <w:p w:rsidR="00373D07" w:rsidRPr="00373D07" w:rsidRDefault="00373D07" w:rsidP="00373D07">
      <w:pPr>
        <w:keepNext/>
        <w:spacing w:before="360" w:after="60" w:line="240" w:lineRule="auto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bCs/>
          <w:caps/>
          <w:snapToGrid w:val="0"/>
          <w:kern w:val="32"/>
          <w:szCs w:val="22"/>
          <w:highlight w:val="lightGray"/>
        </w:rPr>
        <w:t>14.</w:t>
      </w:r>
      <w:r w:rsidRPr="00373D07">
        <w:rPr>
          <w:b/>
          <w:bCs/>
          <w:caps/>
          <w:snapToGrid w:val="0"/>
          <w:kern w:val="32"/>
          <w:szCs w:val="22"/>
        </w:rPr>
        <w:tab/>
        <w:t>DATUM POSLEDNÍ REVIZE PŘÍBALOVÉ INFORMACE</w:t>
      </w:r>
    </w:p>
    <w:p w:rsidR="00373D07" w:rsidRPr="00373D07" w:rsidRDefault="0046087E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Září 2021</w:t>
      </w:r>
    </w:p>
    <w:p w:rsidR="00373D07" w:rsidRPr="00373D07" w:rsidRDefault="00373D07" w:rsidP="00373D07">
      <w:pPr>
        <w:keepNext/>
        <w:spacing w:before="360" w:after="60"/>
        <w:ind w:left="567" w:hanging="567"/>
        <w:jc w:val="both"/>
        <w:outlineLvl w:val="0"/>
        <w:rPr>
          <w:b/>
          <w:bCs/>
          <w:caps/>
          <w:snapToGrid w:val="0"/>
          <w:kern w:val="32"/>
          <w:szCs w:val="22"/>
        </w:rPr>
      </w:pPr>
      <w:r w:rsidRPr="00373D07">
        <w:rPr>
          <w:b/>
          <w:caps/>
          <w:snapToGrid w:val="0"/>
          <w:szCs w:val="22"/>
          <w:highlight w:val="lightGray"/>
        </w:rPr>
        <w:t>15.</w:t>
      </w:r>
      <w:r w:rsidRPr="00373D07">
        <w:rPr>
          <w:b/>
          <w:caps/>
          <w:snapToGrid w:val="0"/>
          <w:szCs w:val="22"/>
        </w:rPr>
        <w:tab/>
        <w:t>DALŠÍ INFORMACE</w:t>
      </w:r>
    </w:p>
    <w:p w:rsidR="0046087E" w:rsidRDefault="0046087E" w:rsidP="0046087E">
      <w:r>
        <w:t>Pouze pro zvířata.</w:t>
      </w:r>
    </w:p>
    <w:p w:rsidR="0046087E" w:rsidRDefault="0046087E" w:rsidP="0046087E">
      <w:r>
        <w:t>Veterinární léčivý přípravek je vydáván pouze na předpis.</w:t>
      </w:r>
    </w:p>
    <w:p w:rsidR="0046087E" w:rsidRDefault="0046087E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Velikost</w:t>
      </w:r>
      <w:r w:rsidR="005E2F1E">
        <w:rPr>
          <w:szCs w:val="22"/>
        </w:rPr>
        <w:t>i</w:t>
      </w:r>
      <w:r w:rsidRPr="00373D07">
        <w:rPr>
          <w:szCs w:val="22"/>
        </w:rPr>
        <w:t xml:space="preserve"> balení: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1 x 500 ml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12 x 500 ml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73D07">
        <w:rPr>
          <w:szCs w:val="22"/>
        </w:rPr>
        <w:t>Na trhu nemusí být všechny velikosti balení.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  <w:highlight w:val="lightGray"/>
        </w:rPr>
      </w:pPr>
      <w:r w:rsidRPr="00373D07">
        <w:rPr>
          <w:szCs w:val="22"/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  <w:highlight w:val="lightGray"/>
        </w:rPr>
      </w:pPr>
    </w:p>
    <w:p w:rsidR="00373D07" w:rsidRPr="00373D07" w:rsidRDefault="00373D07" w:rsidP="00373D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73D07" w:rsidRPr="00373D07" w:rsidRDefault="00373D07" w:rsidP="00373D07">
      <w:pPr>
        <w:tabs>
          <w:tab w:val="clear" w:pos="567"/>
        </w:tabs>
        <w:ind w:right="113"/>
        <w:rPr>
          <w:szCs w:val="22"/>
        </w:rPr>
      </w:pPr>
    </w:p>
    <w:p w:rsidR="007259C0" w:rsidRPr="00373D07" w:rsidRDefault="007259C0" w:rsidP="00373D07"/>
    <w:sectPr w:rsidR="007259C0" w:rsidRPr="00373D07" w:rsidSect="00535C4C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3A" w:rsidRDefault="00E0683A" w:rsidP="00373D07">
      <w:pPr>
        <w:spacing w:line="240" w:lineRule="auto"/>
      </w:pPr>
      <w:r>
        <w:separator/>
      </w:r>
    </w:p>
  </w:endnote>
  <w:endnote w:type="continuationSeparator" w:id="0">
    <w:p w:rsidR="00E0683A" w:rsidRDefault="00E0683A" w:rsidP="00373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CC" w:rsidRPr="009A038F" w:rsidRDefault="00E0683A" w:rsidP="009A038F">
    <w:pPr>
      <w:rPr>
        <w:sz w:val="16"/>
        <w:szCs w:val="16"/>
        <w:lang w:val="de-DE"/>
      </w:rPr>
    </w:pPr>
  </w:p>
  <w:p w:rsidR="00877BCC" w:rsidRDefault="00E0683A" w:rsidP="009A038F">
    <w:pPr>
      <w:pStyle w:val="Zpat"/>
      <w:tabs>
        <w:tab w:val="right" w:pos="8931"/>
      </w:tabs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CC" w:rsidRDefault="00E0683A" w:rsidP="009A038F">
    <w:pPr>
      <w:rPr>
        <w:sz w:val="16"/>
        <w:szCs w:val="16"/>
      </w:rPr>
    </w:pPr>
  </w:p>
  <w:p w:rsidR="00877BCC" w:rsidRPr="00C95550" w:rsidRDefault="00E0683A" w:rsidP="009A038F">
    <w:pPr>
      <w:pBdr>
        <w:top w:val="single" w:sz="4" w:space="1" w:color="auto"/>
      </w:pBdr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E66CE7" w:rsidTr="002D12A0">
      <w:trPr>
        <w:trHeight w:val="57"/>
      </w:trPr>
      <w:tc>
        <w:tcPr>
          <w:tcW w:w="3070" w:type="dxa"/>
          <w:shd w:val="clear" w:color="auto" w:fill="auto"/>
        </w:tcPr>
        <w:p w:rsidR="00877BCC" w:rsidRPr="00762CF2" w:rsidRDefault="000549A8" w:rsidP="00723EDE">
          <w:pPr>
            <w:pStyle w:val="Zpat"/>
            <w:tabs>
              <w:tab w:val="clear" w:pos="4536"/>
              <w:tab w:val="left" w:pos="3220"/>
            </w:tabs>
            <w:jc w:val="both"/>
            <w:rPr>
              <w:b/>
              <w:szCs w:val="22"/>
            </w:rPr>
          </w:pPr>
          <w:r>
            <w:rPr>
              <w:b/>
            </w:rPr>
            <w:t>OXYTOCIN 10 IU/ml</w:t>
          </w:r>
        </w:p>
      </w:tc>
      <w:tc>
        <w:tcPr>
          <w:tcW w:w="3070" w:type="dxa"/>
          <w:shd w:val="clear" w:color="auto" w:fill="auto"/>
        </w:tcPr>
        <w:p w:rsidR="00877BCC" w:rsidRPr="00762CF2" w:rsidRDefault="000549A8" w:rsidP="002D12A0">
          <w:pPr>
            <w:pStyle w:val="Zpat"/>
            <w:tabs>
              <w:tab w:val="clear" w:pos="4536"/>
              <w:tab w:val="left" w:pos="3220"/>
            </w:tabs>
            <w:jc w:val="center"/>
            <w:rPr>
              <w:b/>
              <w:szCs w:val="22"/>
            </w:rPr>
          </w:pPr>
          <w:r>
            <w:rPr>
              <w:b/>
            </w:rPr>
            <w:t>PART IB</w:t>
          </w:r>
        </w:p>
      </w:tc>
      <w:tc>
        <w:tcPr>
          <w:tcW w:w="3071" w:type="dxa"/>
          <w:shd w:val="clear" w:color="auto" w:fill="auto"/>
        </w:tcPr>
        <w:p w:rsidR="00877BCC" w:rsidRPr="00762CF2" w:rsidRDefault="000549A8" w:rsidP="00723EDE">
          <w:pPr>
            <w:pStyle w:val="Zpat"/>
            <w:tabs>
              <w:tab w:val="clear" w:pos="4536"/>
              <w:tab w:val="left" w:pos="3220"/>
            </w:tabs>
            <w:jc w:val="right"/>
            <w:rPr>
              <w:b/>
              <w:szCs w:val="22"/>
            </w:rPr>
          </w:pPr>
          <w:r>
            <w:rPr>
              <w:b/>
            </w:rPr>
            <w:t>IE/V/0313/001/DC</w:t>
          </w:r>
        </w:p>
      </w:tc>
    </w:tr>
    <w:tr w:rsidR="00E66CE7" w:rsidTr="002D12A0">
      <w:tc>
        <w:tcPr>
          <w:tcW w:w="3070" w:type="dxa"/>
          <w:shd w:val="clear" w:color="auto" w:fill="auto"/>
        </w:tcPr>
        <w:p w:rsidR="00877BCC" w:rsidRPr="00C95550" w:rsidRDefault="00E0683A" w:rsidP="002D12A0">
          <w:pPr>
            <w:pStyle w:val="Zpat"/>
            <w:tabs>
              <w:tab w:val="clear" w:pos="4536"/>
              <w:tab w:val="left" w:pos="3220"/>
            </w:tabs>
            <w:jc w:val="both"/>
            <w:rPr>
              <w:szCs w:val="22"/>
            </w:rPr>
          </w:pPr>
        </w:p>
      </w:tc>
      <w:tc>
        <w:tcPr>
          <w:tcW w:w="3070" w:type="dxa"/>
          <w:shd w:val="clear" w:color="auto" w:fill="auto"/>
        </w:tcPr>
        <w:p w:rsidR="00877BCC" w:rsidRPr="00762CF2" w:rsidRDefault="00E0683A" w:rsidP="002D12A0">
          <w:pPr>
            <w:pStyle w:val="Zpat"/>
            <w:tabs>
              <w:tab w:val="clear" w:pos="4536"/>
              <w:tab w:val="left" w:pos="3220"/>
            </w:tabs>
            <w:jc w:val="center"/>
            <w:rPr>
              <w:b/>
              <w:szCs w:val="22"/>
            </w:rPr>
          </w:pPr>
        </w:p>
      </w:tc>
      <w:tc>
        <w:tcPr>
          <w:tcW w:w="3071" w:type="dxa"/>
          <w:shd w:val="clear" w:color="auto" w:fill="auto"/>
        </w:tcPr>
        <w:p w:rsidR="00877BCC" w:rsidRPr="00762CF2" w:rsidRDefault="00E0683A" w:rsidP="002D12A0">
          <w:pPr>
            <w:pStyle w:val="Zpat"/>
            <w:tabs>
              <w:tab w:val="clear" w:pos="4536"/>
              <w:tab w:val="left" w:pos="3220"/>
            </w:tabs>
            <w:jc w:val="right"/>
            <w:rPr>
              <w:b/>
              <w:szCs w:val="22"/>
            </w:rPr>
          </w:pPr>
        </w:p>
      </w:tc>
    </w:tr>
    <w:tr w:rsidR="00E66CE7" w:rsidTr="002D12A0">
      <w:tc>
        <w:tcPr>
          <w:tcW w:w="3070" w:type="dxa"/>
          <w:shd w:val="clear" w:color="auto" w:fill="auto"/>
        </w:tcPr>
        <w:p w:rsidR="00877BCC" w:rsidRPr="00C95550" w:rsidRDefault="00E0683A" w:rsidP="002D12A0">
          <w:pPr>
            <w:pStyle w:val="Zpat"/>
            <w:tabs>
              <w:tab w:val="clear" w:pos="4536"/>
              <w:tab w:val="left" w:pos="3220"/>
            </w:tabs>
            <w:jc w:val="both"/>
            <w:rPr>
              <w:szCs w:val="22"/>
            </w:rPr>
          </w:pPr>
        </w:p>
      </w:tc>
      <w:tc>
        <w:tcPr>
          <w:tcW w:w="3070" w:type="dxa"/>
          <w:shd w:val="clear" w:color="auto" w:fill="auto"/>
        </w:tcPr>
        <w:p w:rsidR="00877BCC" w:rsidRPr="006944E8" w:rsidRDefault="000549A8" w:rsidP="00877BCC">
          <w:pPr>
            <w:pStyle w:val="Zpat"/>
            <w:tabs>
              <w:tab w:val="clear" w:pos="4536"/>
              <w:tab w:val="left" w:pos="3220"/>
            </w:tabs>
            <w:jc w:val="center"/>
            <w:rPr>
              <w:szCs w:val="22"/>
            </w:rPr>
          </w:pPr>
          <w:proofErr w:type="spellStart"/>
          <w:r>
            <w:t>Version</w:t>
          </w:r>
          <w:proofErr w:type="spellEnd"/>
          <w:r>
            <w:t xml:space="preserve">: </w:t>
          </w:r>
          <w:proofErr w:type="spellStart"/>
          <w:r>
            <w:t>Day</w:t>
          </w:r>
          <w:proofErr w:type="spellEnd"/>
          <w:r>
            <w:t xml:space="preserve"> 0</w:t>
          </w:r>
        </w:p>
      </w:tc>
      <w:tc>
        <w:tcPr>
          <w:tcW w:w="3071" w:type="dxa"/>
          <w:shd w:val="clear" w:color="auto" w:fill="auto"/>
        </w:tcPr>
        <w:p w:rsidR="00877BCC" w:rsidRPr="00AE78E3" w:rsidRDefault="000549A8" w:rsidP="007754F8">
          <w:pPr>
            <w:pStyle w:val="Zpat"/>
            <w:tabs>
              <w:tab w:val="clear" w:pos="4536"/>
              <w:tab w:val="left" w:pos="3220"/>
            </w:tabs>
            <w:jc w:val="right"/>
            <w:rPr>
              <w:szCs w:val="22"/>
            </w:rPr>
          </w:pPr>
          <w:proofErr w:type="spellStart"/>
          <w:r>
            <w:t>Page</w:t>
          </w:r>
          <w:proofErr w:type="spellEnd"/>
          <w:r>
            <w:t xml:space="preserve"> 1 </w:t>
          </w:r>
          <w:proofErr w:type="spellStart"/>
          <w:r>
            <w:t>of</w:t>
          </w:r>
          <w:proofErr w:type="spellEnd"/>
          <w:r>
            <w:t xml:space="preserve"> </w:t>
          </w:r>
          <w:r w:rsidR="00E0683A">
            <w:fldChar w:fldCharType="begin"/>
          </w:r>
          <w:r w:rsidR="00E0683A">
            <w:instrText xml:space="preserve"> NUMPAGES  \* Arabic  \* MERGEFORMAT </w:instrText>
          </w:r>
          <w:r w:rsidR="00E0683A">
            <w:fldChar w:fldCharType="separate"/>
          </w:r>
          <w:r>
            <w:t>23</w:t>
          </w:r>
          <w:r w:rsidR="00E0683A">
            <w:fldChar w:fldCharType="end"/>
          </w:r>
        </w:p>
      </w:tc>
    </w:tr>
  </w:tbl>
  <w:p w:rsidR="00877BCC" w:rsidRDefault="00E0683A" w:rsidP="009A038F">
    <w:pPr>
      <w:pStyle w:val="Zpat"/>
      <w:tabs>
        <w:tab w:val="right" w:pos="8931"/>
      </w:tabs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3A" w:rsidRDefault="00E0683A" w:rsidP="00373D07">
      <w:pPr>
        <w:spacing w:line="240" w:lineRule="auto"/>
      </w:pPr>
      <w:r>
        <w:separator/>
      </w:r>
    </w:p>
  </w:footnote>
  <w:footnote w:type="continuationSeparator" w:id="0">
    <w:p w:rsidR="00E0683A" w:rsidRDefault="00E0683A" w:rsidP="00373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5B" w:rsidRDefault="00EA145B">
    <w:pPr>
      <w:pStyle w:val="Zhlav"/>
    </w:pPr>
    <w:r w:rsidRPr="00EA145B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CC" w:rsidRPr="001716E4" w:rsidRDefault="000549A8" w:rsidP="00723EDE">
    <w:pPr>
      <w:pStyle w:val="Zhlav"/>
      <w:jc w:val="right"/>
      <w:rPr>
        <w:b/>
      </w:rPr>
    </w:pPr>
    <w:r>
      <w:rPr>
        <w:b/>
      </w:rPr>
      <w:t>Bela-</w:t>
    </w:r>
    <w:proofErr w:type="spellStart"/>
    <w:r>
      <w:rPr>
        <w:b/>
      </w:rPr>
      <w:t>Pharm</w:t>
    </w:r>
    <w:proofErr w:type="spellEnd"/>
    <w:r>
      <w:rPr>
        <w:b/>
      </w:rPr>
      <w:t xml:space="preserve"> </w:t>
    </w:r>
    <w:proofErr w:type="spellStart"/>
    <w:r>
      <w:rPr>
        <w:b/>
      </w:rPr>
      <w:t>GmbH</w:t>
    </w:r>
    <w:proofErr w:type="spellEnd"/>
    <w:r>
      <w:rPr>
        <w:b/>
      </w:rPr>
      <w:t xml:space="preserve"> &amp; Co. KG</w:t>
    </w:r>
  </w:p>
  <w:p w:rsidR="00877BCC" w:rsidRPr="00B95741" w:rsidRDefault="000549A8" w:rsidP="0069479D">
    <w:pPr>
      <w:pStyle w:val="Zhlav"/>
      <w:pBdr>
        <w:bottom w:val="single" w:sz="4" w:space="1" w:color="auto"/>
      </w:pBdr>
      <w:jc w:val="right"/>
    </w:pPr>
    <w:r>
      <w:t xml:space="preserve">Oxytocin </w:t>
    </w:r>
    <w:proofErr w:type="spellStart"/>
    <w:r>
      <w:t>bela-pharm</w:t>
    </w:r>
    <w:proofErr w:type="spellEnd"/>
    <w:r>
      <w:t xml:space="preserve"> 10 IU/ml </w:t>
    </w:r>
    <w:proofErr w:type="spellStart"/>
    <w:r>
      <w:t>solution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injection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horses</w:t>
    </w:r>
    <w:proofErr w:type="spellEnd"/>
    <w:r>
      <w:t xml:space="preserve">, </w:t>
    </w:r>
    <w:proofErr w:type="spellStart"/>
    <w:r>
      <w:t>cattle</w:t>
    </w:r>
    <w:proofErr w:type="spellEnd"/>
    <w:r>
      <w:t xml:space="preserve">, </w:t>
    </w:r>
    <w:proofErr w:type="spellStart"/>
    <w:r>
      <w:t>pigs</w:t>
    </w:r>
    <w:proofErr w:type="spellEnd"/>
    <w:r>
      <w:t xml:space="preserve">, </w:t>
    </w:r>
    <w:proofErr w:type="spellStart"/>
    <w:r>
      <w:t>sheep</w:t>
    </w:r>
    <w:proofErr w:type="spellEnd"/>
    <w:r>
      <w:t xml:space="preserve">, </w:t>
    </w:r>
    <w:proofErr w:type="spellStart"/>
    <w:r>
      <w:t>goats</w:t>
    </w:r>
    <w:proofErr w:type="spellEnd"/>
    <w:r>
      <w:t xml:space="preserve">, </w:t>
    </w:r>
    <w:proofErr w:type="spellStart"/>
    <w:r>
      <w:t>dogs</w:t>
    </w:r>
    <w:proofErr w:type="spellEnd"/>
    <w:r>
      <w:t xml:space="preserve"> and </w:t>
    </w:r>
    <w:proofErr w:type="spellStart"/>
    <w:r>
      <w:t>cats</w:t>
    </w:r>
    <w:proofErr w:type="spellEnd"/>
  </w:p>
  <w:p w:rsidR="00877BCC" w:rsidRDefault="00E068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15"/>
    <w:rsid w:val="000315C6"/>
    <w:rsid w:val="00044AD5"/>
    <w:rsid w:val="000549A8"/>
    <w:rsid w:val="00054D4C"/>
    <w:rsid w:val="000B3268"/>
    <w:rsid w:val="001224F7"/>
    <w:rsid w:val="00263E84"/>
    <w:rsid w:val="002C7E7A"/>
    <w:rsid w:val="00373D07"/>
    <w:rsid w:val="00386733"/>
    <w:rsid w:val="0046087E"/>
    <w:rsid w:val="00466A4C"/>
    <w:rsid w:val="00571380"/>
    <w:rsid w:val="005C039B"/>
    <w:rsid w:val="005E2F1E"/>
    <w:rsid w:val="0065264A"/>
    <w:rsid w:val="00661E03"/>
    <w:rsid w:val="007259C0"/>
    <w:rsid w:val="00972673"/>
    <w:rsid w:val="00A645D4"/>
    <w:rsid w:val="00A90915"/>
    <w:rsid w:val="00AB746F"/>
    <w:rsid w:val="00B55A85"/>
    <w:rsid w:val="00BC4205"/>
    <w:rsid w:val="00C20C60"/>
    <w:rsid w:val="00C43AA7"/>
    <w:rsid w:val="00C71DDD"/>
    <w:rsid w:val="00CD43D7"/>
    <w:rsid w:val="00E0683A"/>
    <w:rsid w:val="00E27D8C"/>
    <w:rsid w:val="00EA145B"/>
    <w:rsid w:val="00F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28AC"/>
  <w15:docId w15:val="{B68961BE-1205-4088-BAA0-84D0CE5A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A85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umentation-Text">
    <w:name w:val="Dokumentation-Text"/>
    <w:basedOn w:val="Normln"/>
    <w:autoRedefine/>
    <w:rsid w:val="00B55A85"/>
    <w:pPr>
      <w:tabs>
        <w:tab w:val="clear" w:pos="567"/>
        <w:tab w:val="left" w:pos="3119"/>
        <w:tab w:val="left" w:pos="5103"/>
      </w:tabs>
      <w:spacing w:after="60" w:line="240" w:lineRule="auto"/>
    </w:pPr>
    <w:rPr>
      <w:rFonts w:ascii="Arial" w:hAnsi="Arial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73D0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D07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373D07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D07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8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@uskvb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Dušek Daniel</cp:lastModifiedBy>
  <cp:revision>16</cp:revision>
  <dcterms:created xsi:type="dcterms:W3CDTF">2021-08-19T11:10:00Z</dcterms:created>
  <dcterms:modified xsi:type="dcterms:W3CDTF">2021-10-07T08:47:00Z</dcterms:modified>
</cp:coreProperties>
</file>