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A4464" w14:textId="77777777" w:rsidR="00746332" w:rsidRPr="00156704" w:rsidRDefault="00746332" w:rsidP="00746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b/>
          <w:u w:val="single"/>
          <w:lang w:eastAsia="sv-SE"/>
        </w:rPr>
      </w:pPr>
      <w:r w:rsidRPr="00156704">
        <w:rPr>
          <w:rFonts w:ascii="Times New Roman" w:eastAsia="Times New Roman" w:hAnsi="Times New Roman" w:cs="Times New Roman"/>
          <w:b/>
          <w:u w:val="single"/>
          <w:lang w:eastAsia="sv-SE"/>
        </w:rPr>
        <w:t>KOMBINOVANÁ ETIKETA (</w:t>
      </w:r>
      <w:r w:rsidRPr="00156704">
        <w:rPr>
          <w:rFonts w:ascii="Times New Roman" w:eastAsia="Times New Roman" w:hAnsi="Times New Roman" w:cs="Times New Roman"/>
          <w:b/>
          <w:lang w:eastAsia="cs-CZ"/>
        </w:rPr>
        <w:t>PODROBNÉ ÚDAJE UVÁDĚNÉ NA VNITŘNÍM OBALU</w:t>
      </w:r>
      <w:r w:rsidRPr="00156704">
        <w:rPr>
          <w:rFonts w:ascii="Times New Roman" w:eastAsia="Times New Roman" w:hAnsi="Times New Roman" w:cs="Times New Roman"/>
          <w:b/>
          <w:lang w:eastAsia="sv-SE"/>
        </w:rPr>
        <w:t>)</w:t>
      </w:r>
      <w:r w:rsidRPr="00156704">
        <w:rPr>
          <w:rFonts w:ascii="Times New Roman" w:eastAsia="Times New Roman" w:hAnsi="Times New Roman" w:cs="Times New Roman"/>
          <w:b/>
          <w:u w:val="single"/>
          <w:lang w:eastAsia="sv-SE"/>
        </w:rPr>
        <w:t xml:space="preserve"> A PŘÍBALOVÁ INFORMACE</w:t>
      </w:r>
    </w:p>
    <w:p w14:paraId="54EE9315" w14:textId="77777777" w:rsidR="00746332" w:rsidRPr="00156704" w:rsidRDefault="00746332" w:rsidP="00746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b/>
          <w:u w:val="single"/>
          <w:lang w:eastAsia="sv-SE"/>
        </w:rPr>
      </w:pPr>
    </w:p>
    <w:p w14:paraId="5F8D760D" w14:textId="77777777" w:rsidR="00746332" w:rsidRPr="00156704" w:rsidRDefault="00746332" w:rsidP="00746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b/>
          <w:lang w:eastAsia="sv-SE"/>
        </w:rPr>
      </w:pPr>
      <w:r w:rsidRPr="000216D7">
        <w:rPr>
          <w:rFonts w:ascii="Times New Roman" w:eastAsia="Times New Roman" w:hAnsi="Times New Roman" w:cs="Times New Roman"/>
          <w:b/>
          <w:lang w:eastAsia="sv-SE"/>
        </w:rPr>
        <w:t>{DRUH/TYP}</w:t>
      </w:r>
    </w:p>
    <w:p w14:paraId="50F6C05D" w14:textId="77777777" w:rsidR="00746332" w:rsidRPr="00156704" w:rsidRDefault="00746332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v-SE"/>
        </w:rPr>
      </w:pPr>
    </w:p>
    <w:p w14:paraId="253EA25A" w14:textId="77777777" w:rsidR="00746332" w:rsidRPr="00156704" w:rsidRDefault="00746332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v-SE"/>
        </w:rPr>
      </w:pPr>
    </w:p>
    <w:p w14:paraId="6EE7261E" w14:textId="77777777" w:rsidR="00746332" w:rsidRPr="00156704" w:rsidRDefault="00746332" w:rsidP="00746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lang w:eastAsia="sv-SE"/>
        </w:rPr>
      </w:pPr>
      <w:r w:rsidRPr="00156704">
        <w:rPr>
          <w:rFonts w:ascii="Times New Roman" w:eastAsia="Times New Roman" w:hAnsi="Times New Roman" w:cs="Times New Roman"/>
          <w:b/>
          <w:bCs/>
          <w:lang w:eastAsia="sv-SE"/>
        </w:rPr>
        <w:t xml:space="preserve">1. </w:t>
      </w:r>
      <w:r w:rsidRPr="00156704">
        <w:rPr>
          <w:rFonts w:ascii="Times New Roman" w:eastAsia="Times New Roman" w:hAnsi="Times New Roman" w:cs="Times New Roman"/>
          <w:b/>
          <w:bCs/>
          <w:lang w:eastAsia="sv-SE"/>
        </w:rPr>
        <w:tab/>
        <w:t>Jméno a adresa držitele rozhodnutí o registraci a držitele povolení k výrobě odpovědného za uvolnění šarže, pokud se neshoduje</w:t>
      </w:r>
    </w:p>
    <w:p w14:paraId="34AE3B6B" w14:textId="77777777" w:rsidR="00746332" w:rsidRPr="00156704" w:rsidRDefault="00746332" w:rsidP="00746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3D252C09" w14:textId="77777777" w:rsidR="00191F31" w:rsidRPr="00325A4A" w:rsidRDefault="00191F31" w:rsidP="00191F31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sv-SE"/>
        </w:rPr>
      </w:pPr>
      <w:r w:rsidRPr="00325A4A">
        <w:rPr>
          <w:rFonts w:ascii="Times New Roman" w:eastAsia="Times New Roman" w:hAnsi="Times New Roman" w:cs="Times New Roman"/>
          <w:u w:val="single"/>
          <w:lang w:eastAsia="sv-SE"/>
        </w:rPr>
        <w:t>Držitel rozhodnutí o registraci:</w:t>
      </w:r>
    </w:p>
    <w:p w14:paraId="1343843E" w14:textId="501578CA" w:rsidR="00D01423" w:rsidRDefault="00D01423" w:rsidP="00191F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v-SE"/>
        </w:rPr>
      </w:pPr>
      <w:r w:rsidRPr="00191F31">
        <w:rPr>
          <w:rFonts w:ascii="Times New Roman" w:eastAsia="Times New Roman" w:hAnsi="Times New Roman" w:cs="Times New Roman"/>
          <w:lang w:eastAsia="sv-SE"/>
        </w:rPr>
        <w:t>CEVA ANIMAL HEALTH SLOVAKIA</w:t>
      </w:r>
      <w:r w:rsidR="00191F31" w:rsidRPr="00191F31">
        <w:rPr>
          <w:rFonts w:ascii="Times New Roman" w:eastAsia="Times New Roman" w:hAnsi="Times New Roman" w:cs="Times New Roman"/>
          <w:lang w:eastAsia="sv-SE"/>
        </w:rPr>
        <w:t xml:space="preserve"> spol. s r. o., </w:t>
      </w:r>
      <w:proofErr w:type="spellStart"/>
      <w:r>
        <w:rPr>
          <w:rFonts w:ascii="Times New Roman" w:eastAsia="Times New Roman" w:hAnsi="Times New Roman" w:cs="Times New Roman"/>
          <w:lang w:eastAsia="sv-SE"/>
        </w:rPr>
        <w:t>Prievozská</w:t>
      </w:r>
      <w:proofErr w:type="spellEnd"/>
      <w:r>
        <w:rPr>
          <w:rFonts w:ascii="Times New Roman" w:eastAsia="Times New Roman" w:hAnsi="Times New Roman" w:cs="Times New Roman"/>
          <w:lang w:eastAsia="sv-SE"/>
        </w:rPr>
        <w:t xml:space="preserve"> 5434/6A</w:t>
      </w:r>
      <w:r w:rsidRPr="00191F31">
        <w:rPr>
          <w:rFonts w:ascii="Times New Roman" w:eastAsia="Times New Roman" w:hAnsi="Times New Roman" w:cs="Times New Roman"/>
          <w:lang w:eastAsia="sv-SE"/>
        </w:rPr>
        <w:t>, 8</w:t>
      </w:r>
      <w:r>
        <w:rPr>
          <w:rFonts w:ascii="Times New Roman" w:eastAsia="Times New Roman" w:hAnsi="Times New Roman" w:cs="Times New Roman"/>
          <w:lang w:eastAsia="sv-SE"/>
        </w:rPr>
        <w:t>21 09</w:t>
      </w:r>
      <w:r w:rsidRPr="00191F31">
        <w:rPr>
          <w:rFonts w:ascii="Times New Roman" w:eastAsia="Times New Roman" w:hAnsi="Times New Roman" w:cs="Times New Roman"/>
          <w:lang w:eastAsia="sv-SE"/>
        </w:rPr>
        <w:t xml:space="preserve"> Bratislava</w:t>
      </w:r>
      <w:r>
        <w:rPr>
          <w:rFonts w:ascii="Times New Roman" w:eastAsia="Times New Roman" w:hAnsi="Times New Roman" w:cs="Times New Roman"/>
          <w:lang w:eastAsia="sv-SE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lang w:eastAsia="sv-SE"/>
        </w:rPr>
        <w:t>mestská</w:t>
      </w:r>
      <w:proofErr w:type="spellEnd"/>
      <w:r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sv-SE"/>
        </w:rPr>
        <w:t>časť</w:t>
      </w:r>
      <w:proofErr w:type="spellEnd"/>
      <w:r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sv-SE"/>
        </w:rPr>
        <w:t>Ružinov</w:t>
      </w:r>
      <w:proofErr w:type="spellEnd"/>
      <w:r>
        <w:rPr>
          <w:rFonts w:ascii="Times New Roman" w:eastAsia="Times New Roman" w:hAnsi="Times New Roman" w:cs="Times New Roman"/>
          <w:lang w:eastAsia="sv-SE"/>
        </w:rPr>
        <w:t>, SR</w:t>
      </w:r>
      <w:r w:rsidRPr="00191F31" w:rsidDel="00D01423">
        <w:rPr>
          <w:rFonts w:ascii="Times New Roman" w:eastAsia="Times New Roman" w:hAnsi="Times New Roman" w:cs="Times New Roman"/>
          <w:lang w:eastAsia="sv-SE"/>
        </w:rPr>
        <w:t xml:space="preserve"> </w:t>
      </w:r>
    </w:p>
    <w:p w14:paraId="4FCAF59F" w14:textId="77777777" w:rsidR="00191F31" w:rsidRPr="00191F31" w:rsidRDefault="00191F31" w:rsidP="00191F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v-SE"/>
        </w:rPr>
      </w:pPr>
    </w:p>
    <w:p w14:paraId="383DC3E2" w14:textId="77777777" w:rsidR="00191F31" w:rsidRPr="00325A4A" w:rsidRDefault="00191F31" w:rsidP="00191F31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sv-SE"/>
        </w:rPr>
      </w:pPr>
      <w:r w:rsidRPr="00325A4A">
        <w:rPr>
          <w:rFonts w:ascii="Times New Roman" w:eastAsia="Times New Roman" w:hAnsi="Times New Roman" w:cs="Times New Roman"/>
          <w:u w:val="single"/>
          <w:lang w:eastAsia="sv-SE"/>
        </w:rPr>
        <w:t>Výrobce odpovědný za uvolnění šarže:</w:t>
      </w:r>
    </w:p>
    <w:p w14:paraId="1B2A4EB7" w14:textId="7FA7BD8A" w:rsidR="00746332" w:rsidRPr="00156704" w:rsidRDefault="00191F31" w:rsidP="00191F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191F31">
        <w:rPr>
          <w:rFonts w:ascii="Times New Roman" w:eastAsia="Times New Roman" w:hAnsi="Times New Roman" w:cs="Times New Roman"/>
          <w:lang w:eastAsia="sv-SE"/>
        </w:rPr>
        <w:t>Ceva</w:t>
      </w:r>
      <w:proofErr w:type="spellEnd"/>
      <w:r w:rsidRPr="00191F31">
        <w:rPr>
          <w:rFonts w:ascii="Times New Roman" w:eastAsia="Times New Roman" w:hAnsi="Times New Roman" w:cs="Times New Roman"/>
          <w:lang w:eastAsia="sv-SE"/>
        </w:rPr>
        <w:t xml:space="preserve"> </w:t>
      </w:r>
      <w:r w:rsidR="00543FD9" w:rsidRPr="00543FD9">
        <w:rPr>
          <w:rFonts w:ascii="Times New Roman" w:eastAsia="Times New Roman" w:hAnsi="Times New Roman" w:cs="Times New Roman"/>
          <w:lang w:eastAsia="sv-SE"/>
        </w:rPr>
        <w:t xml:space="preserve">Salute Animale </w:t>
      </w:r>
      <w:proofErr w:type="spellStart"/>
      <w:r w:rsidR="00543FD9" w:rsidRPr="00543FD9">
        <w:rPr>
          <w:rFonts w:ascii="Times New Roman" w:eastAsia="Times New Roman" w:hAnsi="Times New Roman" w:cs="Times New Roman"/>
          <w:lang w:eastAsia="sv-SE"/>
        </w:rPr>
        <w:t>S.p.A</w:t>
      </w:r>
      <w:proofErr w:type="spellEnd"/>
      <w:r w:rsidR="0040700D">
        <w:rPr>
          <w:rFonts w:ascii="Times New Roman" w:eastAsia="Times New Roman" w:hAnsi="Times New Roman" w:cs="Times New Roman"/>
          <w:lang w:eastAsia="sv-SE"/>
        </w:rPr>
        <w:t xml:space="preserve">, </w:t>
      </w:r>
      <w:r w:rsidR="00543FD9" w:rsidRPr="00543FD9">
        <w:rPr>
          <w:rFonts w:ascii="Times New Roman" w:eastAsia="Times New Roman" w:hAnsi="Times New Roman" w:cs="Times New Roman"/>
          <w:lang w:eastAsia="sv-SE"/>
        </w:rPr>
        <w:t xml:space="preserve">Via Leopardi 2/C, 42025 </w:t>
      </w:r>
      <w:proofErr w:type="spellStart"/>
      <w:r w:rsidR="00543FD9" w:rsidRPr="00543FD9">
        <w:rPr>
          <w:rFonts w:ascii="Times New Roman" w:eastAsia="Times New Roman" w:hAnsi="Times New Roman" w:cs="Times New Roman"/>
          <w:lang w:eastAsia="sv-SE"/>
        </w:rPr>
        <w:t>Cavriago</w:t>
      </w:r>
      <w:proofErr w:type="spellEnd"/>
      <w:r w:rsidRPr="00191F31">
        <w:rPr>
          <w:rFonts w:ascii="Times New Roman" w:eastAsia="Times New Roman" w:hAnsi="Times New Roman" w:cs="Times New Roman"/>
          <w:lang w:eastAsia="sv-SE"/>
        </w:rPr>
        <w:t>, Itálie</w:t>
      </w:r>
    </w:p>
    <w:p w14:paraId="411A89F6" w14:textId="77777777" w:rsidR="00746332" w:rsidRPr="00156704" w:rsidRDefault="00746332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v-SE"/>
        </w:rPr>
      </w:pPr>
    </w:p>
    <w:p w14:paraId="322B8726" w14:textId="77777777" w:rsidR="00746332" w:rsidRPr="00156704" w:rsidRDefault="00746332" w:rsidP="00746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v-SE"/>
        </w:rPr>
      </w:pPr>
      <w:r w:rsidRPr="00156704">
        <w:rPr>
          <w:rFonts w:ascii="Times New Roman" w:eastAsia="Times New Roman" w:hAnsi="Times New Roman" w:cs="Times New Roman"/>
          <w:b/>
          <w:lang w:eastAsia="sv-SE"/>
        </w:rPr>
        <w:t xml:space="preserve">2. </w:t>
      </w:r>
      <w:r w:rsidRPr="00156704">
        <w:rPr>
          <w:rFonts w:ascii="Times New Roman" w:eastAsia="Times New Roman" w:hAnsi="Times New Roman" w:cs="Times New Roman"/>
          <w:b/>
          <w:lang w:eastAsia="sv-SE"/>
        </w:rPr>
        <w:tab/>
        <w:t>Název veterinárního léčivého přípravku</w:t>
      </w:r>
    </w:p>
    <w:p w14:paraId="4AEC7C0B" w14:textId="77777777" w:rsidR="00746332" w:rsidRPr="00156704" w:rsidRDefault="00746332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v-SE"/>
        </w:rPr>
      </w:pPr>
    </w:p>
    <w:p w14:paraId="3DFABB03" w14:textId="77777777" w:rsidR="00543FD9" w:rsidRPr="00543FD9" w:rsidRDefault="00543FD9" w:rsidP="00543FD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v-SE"/>
        </w:rPr>
      </w:pPr>
      <w:r w:rsidRPr="00543FD9">
        <w:rPr>
          <w:rFonts w:ascii="Times New Roman" w:eastAsia="Times New Roman" w:hAnsi="Times New Roman" w:cs="Times New Roman"/>
          <w:lang w:eastAsia="sv-SE"/>
        </w:rPr>
        <w:t>TIACLOR 50/200 mg/g premix pro medikaci krmiva</w:t>
      </w:r>
    </w:p>
    <w:p w14:paraId="56E53F73" w14:textId="77777777" w:rsidR="00543FD9" w:rsidRPr="00543FD9" w:rsidRDefault="00543FD9" w:rsidP="00543FD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543FD9">
        <w:rPr>
          <w:rFonts w:ascii="Times New Roman" w:eastAsia="Times New Roman" w:hAnsi="Times New Roman" w:cs="Times New Roman"/>
          <w:lang w:eastAsia="sv-SE"/>
        </w:rPr>
        <w:t>Tiamulini</w:t>
      </w:r>
      <w:proofErr w:type="spellEnd"/>
      <w:r w:rsidRPr="00543FD9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543FD9">
        <w:rPr>
          <w:rFonts w:ascii="Times New Roman" w:eastAsia="Times New Roman" w:hAnsi="Times New Roman" w:cs="Times New Roman"/>
          <w:lang w:eastAsia="sv-SE"/>
        </w:rPr>
        <w:t>hydrogenofumaras</w:t>
      </w:r>
      <w:proofErr w:type="spellEnd"/>
    </w:p>
    <w:p w14:paraId="6D5F9786" w14:textId="33C0050E" w:rsidR="00746332" w:rsidRPr="00156704" w:rsidRDefault="00543FD9" w:rsidP="00543FD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543FD9">
        <w:rPr>
          <w:rFonts w:ascii="Times New Roman" w:eastAsia="Times New Roman" w:hAnsi="Times New Roman" w:cs="Times New Roman"/>
          <w:lang w:eastAsia="sv-SE"/>
        </w:rPr>
        <w:t>Chlortetracyclini</w:t>
      </w:r>
      <w:proofErr w:type="spellEnd"/>
      <w:r w:rsidRPr="00543FD9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543FD9">
        <w:rPr>
          <w:rFonts w:ascii="Times New Roman" w:eastAsia="Times New Roman" w:hAnsi="Times New Roman" w:cs="Times New Roman"/>
          <w:lang w:eastAsia="sv-SE"/>
        </w:rPr>
        <w:t>hydrochloridum</w:t>
      </w:r>
      <w:proofErr w:type="spellEnd"/>
    </w:p>
    <w:p w14:paraId="0744CE3E" w14:textId="77777777" w:rsidR="00746332" w:rsidRPr="00156704" w:rsidRDefault="00746332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v-SE"/>
        </w:rPr>
      </w:pPr>
    </w:p>
    <w:p w14:paraId="75A8DCFD" w14:textId="77777777" w:rsidR="00746332" w:rsidRPr="00156704" w:rsidRDefault="00746332" w:rsidP="00746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sv-SE"/>
        </w:rPr>
      </w:pPr>
      <w:r w:rsidRPr="00156704">
        <w:rPr>
          <w:rFonts w:ascii="Times New Roman" w:eastAsia="Times New Roman" w:hAnsi="Times New Roman" w:cs="Times New Roman"/>
          <w:b/>
          <w:bCs/>
          <w:lang w:eastAsia="sv-SE"/>
        </w:rPr>
        <w:t xml:space="preserve">3. </w:t>
      </w:r>
      <w:r w:rsidRPr="00156704">
        <w:rPr>
          <w:rFonts w:ascii="Times New Roman" w:eastAsia="Times New Roman" w:hAnsi="Times New Roman" w:cs="Times New Roman"/>
          <w:b/>
          <w:bCs/>
          <w:lang w:eastAsia="sv-SE"/>
        </w:rPr>
        <w:tab/>
        <w:t>Obsah léčivých a ostatních látek</w:t>
      </w:r>
    </w:p>
    <w:p w14:paraId="6A32C627" w14:textId="688EC19A" w:rsidR="00746332" w:rsidRDefault="00746332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v-SE"/>
        </w:rPr>
      </w:pPr>
    </w:p>
    <w:p w14:paraId="61E97D1B" w14:textId="77777777" w:rsidR="00543FD9" w:rsidRPr="00543FD9" w:rsidRDefault="00543FD9" w:rsidP="00543FD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v-SE"/>
        </w:rPr>
      </w:pPr>
      <w:r w:rsidRPr="00543FD9">
        <w:rPr>
          <w:rFonts w:ascii="Times New Roman" w:eastAsia="Times New Roman" w:hAnsi="Times New Roman" w:cs="Times New Roman"/>
          <w:lang w:eastAsia="sv-SE"/>
        </w:rPr>
        <w:t>1 g obsahuje:</w:t>
      </w:r>
    </w:p>
    <w:p w14:paraId="76BC55BB" w14:textId="77777777" w:rsidR="0040700D" w:rsidRDefault="0040700D" w:rsidP="00543FD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v-SE"/>
        </w:rPr>
      </w:pPr>
    </w:p>
    <w:p w14:paraId="55716EB7" w14:textId="091E9EBC" w:rsidR="00543FD9" w:rsidRPr="00325A4A" w:rsidRDefault="00543FD9" w:rsidP="00543F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v-SE"/>
        </w:rPr>
      </w:pPr>
      <w:r w:rsidRPr="00325A4A">
        <w:rPr>
          <w:rFonts w:ascii="Times New Roman" w:eastAsia="Times New Roman" w:hAnsi="Times New Roman" w:cs="Times New Roman"/>
          <w:b/>
          <w:lang w:eastAsia="sv-SE"/>
        </w:rPr>
        <w:t>Léčivé látky:</w:t>
      </w:r>
    </w:p>
    <w:p w14:paraId="5C6EE46A" w14:textId="611F4ECB" w:rsidR="00543FD9" w:rsidRPr="00543FD9" w:rsidRDefault="00543FD9" w:rsidP="00543FD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543FD9">
        <w:rPr>
          <w:rFonts w:ascii="Times New Roman" w:eastAsia="Times New Roman" w:hAnsi="Times New Roman" w:cs="Times New Roman"/>
          <w:lang w:eastAsia="sv-SE"/>
        </w:rPr>
        <w:t>Tiamulini</w:t>
      </w:r>
      <w:proofErr w:type="spellEnd"/>
      <w:r w:rsidRPr="00543FD9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543FD9">
        <w:rPr>
          <w:rFonts w:ascii="Times New Roman" w:eastAsia="Times New Roman" w:hAnsi="Times New Roman" w:cs="Times New Roman"/>
          <w:lang w:eastAsia="sv-SE"/>
        </w:rPr>
        <w:t>hydrogenofumaras</w:t>
      </w:r>
      <w:proofErr w:type="spellEnd"/>
      <w:r w:rsidRPr="00543FD9">
        <w:rPr>
          <w:rFonts w:ascii="Times New Roman" w:eastAsia="Times New Roman" w:hAnsi="Times New Roman" w:cs="Times New Roman"/>
          <w:lang w:eastAsia="sv-SE"/>
        </w:rPr>
        <w:t xml:space="preserve"> </w:t>
      </w:r>
      <w:r w:rsidRPr="00543FD9">
        <w:rPr>
          <w:rFonts w:ascii="Times New Roman" w:eastAsia="Times New Roman" w:hAnsi="Times New Roman" w:cs="Times New Roman"/>
          <w:lang w:eastAsia="sv-SE"/>
        </w:rPr>
        <w:tab/>
      </w:r>
      <w:r w:rsidR="0040700D">
        <w:rPr>
          <w:rFonts w:ascii="Times New Roman" w:eastAsia="Times New Roman" w:hAnsi="Times New Roman" w:cs="Times New Roman"/>
          <w:lang w:eastAsia="sv-SE"/>
        </w:rPr>
        <w:tab/>
      </w:r>
      <w:r w:rsidRPr="00543FD9">
        <w:rPr>
          <w:rFonts w:ascii="Times New Roman" w:eastAsia="Times New Roman" w:hAnsi="Times New Roman" w:cs="Times New Roman"/>
          <w:lang w:eastAsia="sv-SE"/>
        </w:rPr>
        <w:t>50 mg</w:t>
      </w:r>
    </w:p>
    <w:p w14:paraId="253D8BB4" w14:textId="77777777" w:rsidR="00543FD9" w:rsidRPr="00543FD9" w:rsidRDefault="00543FD9" w:rsidP="00543FD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543FD9">
        <w:rPr>
          <w:rFonts w:ascii="Times New Roman" w:eastAsia="Times New Roman" w:hAnsi="Times New Roman" w:cs="Times New Roman"/>
          <w:lang w:eastAsia="sv-SE"/>
        </w:rPr>
        <w:t>Chlortetracyclini</w:t>
      </w:r>
      <w:proofErr w:type="spellEnd"/>
      <w:r w:rsidRPr="00543FD9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543FD9">
        <w:rPr>
          <w:rFonts w:ascii="Times New Roman" w:eastAsia="Times New Roman" w:hAnsi="Times New Roman" w:cs="Times New Roman"/>
          <w:lang w:eastAsia="sv-SE"/>
        </w:rPr>
        <w:t>hydrochloridum</w:t>
      </w:r>
      <w:proofErr w:type="spellEnd"/>
      <w:r w:rsidRPr="00543FD9">
        <w:rPr>
          <w:rFonts w:ascii="Times New Roman" w:eastAsia="Times New Roman" w:hAnsi="Times New Roman" w:cs="Times New Roman"/>
          <w:lang w:eastAsia="sv-SE"/>
        </w:rPr>
        <w:t xml:space="preserve"> </w:t>
      </w:r>
      <w:r w:rsidRPr="00543FD9">
        <w:rPr>
          <w:rFonts w:ascii="Times New Roman" w:eastAsia="Times New Roman" w:hAnsi="Times New Roman" w:cs="Times New Roman"/>
          <w:lang w:eastAsia="sv-SE"/>
        </w:rPr>
        <w:tab/>
        <w:t>200 mg</w:t>
      </w:r>
    </w:p>
    <w:p w14:paraId="45254006" w14:textId="77777777" w:rsidR="00543FD9" w:rsidRPr="00543FD9" w:rsidRDefault="00543FD9" w:rsidP="00543FD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v-SE"/>
        </w:rPr>
      </w:pPr>
    </w:p>
    <w:p w14:paraId="47A610C7" w14:textId="020628C5" w:rsidR="00543FD9" w:rsidRPr="00156704" w:rsidRDefault="00543FD9" w:rsidP="00543FD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v-SE"/>
        </w:rPr>
      </w:pPr>
      <w:r w:rsidRPr="00543FD9">
        <w:rPr>
          <w:rFonts w:ascii="Times New Roman" w:eastAsia="Times New Roman" w:hAnsi="Times New Roman" w:cs="Times New Roman"/>
          <w:lang w:eastAsia="sv-SE"/>
        </w:rPr>
        <w:t>Světle žluté granule.</w:t>
      </w:r>
    </w:p>
    <w:p w14:paraId="38E8A3E7" w14:textId="77777777" w:rsidR="00746332" w:rsidRPr="00156704" w:rsidRDefault="00746332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v-SE"/>
        </w:rPr>
      </w:pPr>
    </w:p>
    <w:p w14:paraId="4FE4B7AC" w14:textId="77777777" w:rsidR="00746332" w:rsidRPr="00156704" w:rsidRDefault="00746332" w:rsidP="00746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v-SE"/>
        </w:rPr>
      </w:pPr>
      <w:r w:rsidRPr="00156704">
        <w:rPr>
          <w:rFonts w:ascii="Times New Roman" w:eastAsia="Times New Roman" w:hAnsi="Times New Roman" w:cs="Times New Roman"/>
          <w:b/>
          <w:bCs/>
          <w:lang w:eastAsia="sv-SE"/>
        </w:rPr>
        <w:t>4.</w:t>
      </w:r>
      <w:r w:rsidRPr="00156704">
        <w:rPr>
          <w:rFonts w:ascii="Times New Roman" w:eastAsia="Times New Roman" w:hAnsi="Times New Roman" w:cs="Times New Roman"/>
          <w:b/>
          <w:bCs/>
          <w:lang w:eastAsia="sv-SE"/>
        </w:rPr>
        <w:tab/>
        <w:t>Léková forma</w:t>
      </w:r>
    </w:p>
    <w:p w14:paraId="14672AC3" w14:textId="48DE8858" w:rsidR="00746332" w:rsidRDefault="00746332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sv-SE"/>
        </w:rPr>
      </w:pPr>
    </w:p>
    <w:p w14:paraId="1C2180F2" w14:textId="2AAF12C6" w:rsidR="00543FD9" w:rsidRPr="00325A4A" w:rsidRDefault="00543FD9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sv-SE"/>
        </w:rPr>
      </w:pPr>
      <w:r w:rsidRPr="00543FD9">
        <w:rPr>
          <w:rFonts w:ascii="Times New Roman" w:eastAsia="Times New Roman" w:hAnsi="Times New Roman" w:cs="Times New Roman"/>
          <w:lang w:eastAsia="sv-SE"/>
        </w:rPr>
        <w:t>Premix pro medikaci krmiva.</w:t>
      </w:r>
    </w:p>
    <w:p w14:paraId="54E0362F" w14:textId="77777777" w:rsidR="00746332" w:rsidRPr="00156704" w:rsidRDefault="00746332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sv-SE"/>
        </w:rPr>
      </w:pPr>
    </w:p>
    <w:p w14:paraId="388B7D85" w14:textId="77777777" w:rsidR="00746332" w:rsidRPr="00156704" w:rsidRDefault="00746332" w:rsidP="00746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v-SE"/>
        </w:rPr>
      </w:pPr>
      <w:r w:rsidRPr="00156704">
        <w:rPr>
          <w:rFonts w:ascii="Times New Roman" w:eastAsia="Times New Roman" w:hAnsi="Times New Roman" w:cs="Times New Roman"/>
          <w:b/>
          <w:bCs/>
          <w:lang w:eastAsia="sv-SE"/>
        </w:rPr>
        <w:t>5.</w:t>
      </w:r>
      <w:r w:rsidRPr="00156704">
        <w:rPr>
          <w:rFonts w:ascii="Times New Roman" w:eastAsia="Times New Roman" w:hAnsi="Times New Roman" w:cs="Times New Roman"/>
          <w:b/>
          <w:bCs/>
          <w:lang w:eastAsia="sv-SE"/>
        </w:rPr>
        <w:tab/>
        <w:t>Velikost balení</w:t>
      </w:r>
    </w:p>
    <w:p w14:paraId="5A5B25FD" w14:textId="56028B22" w:rsidR="00746332" w:rsidRDefault="00746332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AA08B6B" w14:textId="7AEAF6B4" w:rsidR="0037374D" w:rsidRDefault="00B96FEA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10 kg</w:t>
      </w:r>
    </w:p>
    <w:p w14:paraId="787F968D" w14:textId="15BB4FE4" w:rsidR="00B96FEA" w:rsidRPr="00156704" w:rsidRDefault="00B96FEA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25A4A">
        <w:rPr>
          <w:rFonts w:ascii="Times New Roman" w:eastAsia="Times New Roman" w:hAnsi="Times New Roman" w:cs="Times New Roman"/>
          <w:highlight w:val="lightGray"/>
          <w:lang w:eastAsia="cs-CZ"/>
        </w:rPr>
        <w:t>25 kg</w:t>
      </w:r>
    </w:p>
    <w:p w14:paraId="75CD5078" w14:textId="77777777" w:rsidR="00746332" w:rsidRPr="00156704" w:rsidRDefault="00746332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v-SE"/>
        </w:rPr>
      </w:pPr>
    </w:p>
    <w:p w14:paraId="60950B92" w14:textId="77777777" w:rsidR="00746332" w:rsidRPr="00156704" w:rsidRDefault="00746332" w:rsidP="0074633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sv-SE"/>
        </w:rPr>
      </w:pPr>
      <w:r w:rsidRPr="00156704">
        <w:rPr>
          <w:rFonts w:ascii="Times New Roman" w:eastAsia="Times New Roman" w:hAnsi="Times New Roman" w:cs="Times New Roman"/>
          <w:b/>
          <w:bCs/>
          <w:highlight w:val="lightGray"/>
          <w:lang w:eastAsia="sv-SE"/>
        </w:rPr>
        <w:t>6.</w:t>
      </w:r>
      <w:r w:rsidRPr="00156704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r w:rsidRPr="00156704">
        <w:rPr>
          <w:rFonts w:ascii="Times New Roman" w:eastAsia="Times New Roman" w:hAnsi="Times New Roman" w:cs="Times New Roman"/>
          <w:b/>
          <w:bCs/>
          <w:lang w:eastAsia="sv-SE"/>
        </w:rPr>
        <w:tab/>
        <w:t>Indikace</w:t>
      </w:r>
    </w:p>
    <w:p w14:paraId="50E9C32B" w14:textId="77777777" w:rsidR="00746332" w:rsidRPr="00156704" w:rsidRDefault="00746332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v-SE"/>
        </w:rPr>
      </w:pPr>
    </w:p>
    <w:p w14:paraId="32F12E60" w14:textId="77777777" w:rsidR="00B474B0" w:rsidRPr="00156704" w:rsidRDefault="00B474B0" w:rsidP="00B474B0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156704">
        <w:rPr>
          <w:rFonts w:ascii="Times New Roman" w:eastAsia="Times New Roman" w:hAnsi="Times New Roman" w:cs="Times New Roman"/>
          <w:lang w:eastAsia="cs-CZ"/>
        </w:rPr>
        <w:t xml:space="preserve">Léčba a </w:t>
      </w:r>
      <w:proofErr w:type="spellStart"/>
      <w:r w:rsidRPr="00156704">
        <w:rPr>
          <w:rFonts w:ascii="Times New Roman" w:eastAsia="Times New Roman" w:hAnsi="Times New Roman" w:cs="Times New Roman"/>
          <w:lang w:eastAsia="cs-CZ"/>
        </w:rPr>
        <w:t>metafylaxe</w:t>
      </w:r>
      <w:proofErr w:type="spellEnd"/>
      <w:r w:rsidRPr="00156704">
        <w:rPr>
          <w:rFonts w:ascii="Times New Roman" w:eastAsia="Times New Roman" w:hAnsi="Times New Roman" w:cs="Times New Roman"/>
          <w:lang w:eastAsia="cs-CZ"/>
        </w:rPr>
        <w:t xml:space="preserve"> i</w:t>
      </w:r>
      <w:r w:rsidRPr="00156704">
        <w:rPr>
          <w:rFonts w:ascii="Times New Roman" w:eastAsia="Times New Roman" w:hAnsi="Times New Roman" w:cs="Times New Roman"/>
          <w:bCs/>
          <w:lang w:eastAsia="cs-CZ"/>
        </w:rPr>
        <w:t>nfekcí respiračního a gastrointestinálního traktu a artritid vyvolaných mikroorganismy citlivými ke kombinaci tiamulinu a chlortetracyklinu.</w:t>
      </w:r>
    </w:p>
    <w:p w14:paraId="698CE5F9" w14:textId="77777777" w:rsidR="00746332" w:rsidRPr="00156704" w:rsidRDefault="00746332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8000"/>
          <w:lang w:eastAsia="cs-CZ"/>
        </w:rPr>
      </w:pPr>
    </w:p>
    <w:p w14:paraId="5D5F7E23" w14:textId="77777777" w:rsidR="00746332" w:rsidRPr="00156704" w:rsidRDefault="00746332" w:rsidP="0074633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highlight w:val="lightGray"/>
          <w:lang w:eastAsia="sv-SE"/>
        </w:rPr>
      </w:pPr>
    </w:p>
    <w:p w14:paraId="3376E825" w14:textId="77777777" w:rsidR="00746332" w:rsidRDefault="00746332" w:rsidP="0074633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v-SE"/>
        </w:rPr>
      </w:pPr>
      <w:r w:rsidRPr="00156704">
        <w:rPr>
          <w:rFonts w:ascii="Times New Roman" w:eastAsia="Times New Roman" w:hAnsi="Times New Roman" w:cs="Times New Roman"/>
          <w:b/>
          <w:bCs/>
          <w:highlight w:val="lightGray"/>
          <w:lang w:eastAsia="sv-SE"/>
        </w:rPr>
        <w:t>7.</w:t>
      </w:r>
      <w:r w:rsidRPr="00156704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r w:rsidRPr="00156704">
        <w:rPr>
          <w:rFonts w:ascii="Times New Roman" w:eastAsia="Times New Roman" w:hAnsi="Times New Roman" w:cs="Times New Roman"/>
          <w:b/>
          <w:bCs/>
          <w:lang w:eastAsia="sv-SE"/>
        </w:rPr>
        <w:tab/>
        <w:t>Kontraindikace</w:t>
      </w:r>
    </w:p>
    <w:p w14:paraId="73B4AEB4" w14:textId="77777777" w:rsidR="00645C33" w:rsidRPr="00156704" w:rsidRDefault="00645C33" w:rsidP="0074633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sv-SE"/>
        </w:rPr>
      </w:pPr>
    </w:p>
    <w:p w14:paraId="759F125E" w14:textId="77777777" w:rsidR="00B474B0" w:rsidRPr="00156704" w:rsidRDefault="00B474B0" w:rsidP="00B474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56704">
        <w:rPr>
          <w:rFonts w:ascii="Times New Roman" w:eastAsia="Times New Roman" w:hAnsi="Times New Roman" w:cs="Times New Roman"/>
          <w:lang w:eastAsia="cs-CZ"/>
        </w:rPr>
        <w:t>Nepoužívejte v případech známé přecitlivělosti na léčivé látky nebo některou z pomocných látek.</w:t>
      </w:r>
    </w:p>
    <w:p w14:paraId="72909E66" w14:textId="77777777" w:rsidR="00B474B0" w:rsidRPr="00156704" w:rsidRDefault="00B474B0" w:rsidP="00B474B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56704">
        <w:rPr>
          <w:rFonts w:ascii="Times New Roman" w:eastAsia="Times New Roman" w:hAnsi="Times New Roman" w:cs="Times New Roman"/>
          <w:lang w:eastAsia="cs-CZ"/>
        </w:rPr>
        <w:t>Nepodávejte zvířatům s přípravky obsahující ionofory (monensin, narasin nebo salinomycin) během nebo minimálně sedm dnů před nebo po léčbě tiamulinem. Může to vést k vážnému omezení růstu nebo k úhynu.</w:t>
      </w:r>
      <w:r w:rsidRPr="00156704">
        <w:rPr>
          <w:rFonts w:ascii="Times New Roman" w:eastAsia="Times New Roman" w:hAnsi="Times New Roman" w:cs="Times New Roman"/>
          <w:lang w:eastAsia="cs-CZ"/>
        </w:rPr>
        <w:tab/>
      </w:r>
      <w:r w:rsidRPr="00156704">
        <w:rPr>
          <w:rFonts w:ascii="Times New Roman" w:eastAsia="Times New Roman" w:hAnsi="Times New Roman" w:cs="Times New Roman"/>
          <w:lang w:eastAsia="cs-CZ"/>
        </w:rPr>
        <w:tab/>
      </w:r>
    </w:p>
    <w:p w14:paraId="3119B1CE" w14:textId="77777777" w:rsidR="00B474B0" w:rsidRPr="00156704" w:rsidRDefault="00B474B0" w:rsidP="00B474B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56704">
        <w:rPr>
          <w:rFonts w:ascii="Times New Roman" w:eastAsia="Times New Roman" w:hAnsi="Times New Roman" w:cs="Times New Roman"/>
          <w:lang w:eastAsia="cs-CZ"/>
        </w:rPr>
        <w:lastRenderedPageBreak/>
        <w:t>Informace týkající se interakce mezi tiamulinem a ionofory jsou obsaženy v bodě 14.</w:t>
      </w:r>
    </w:p>
    <w:p w14:paraId="0AFDD1DA" w14:textId="77777777" w:rsidR="00746332" w:rsidRPr="00156704" w:rsidRDefault="00746332" w:rsidP="00746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466848AD" w14:textId="77777777" w:rsidR="00746332" w:rsidRPr="00156704" w:rsidRDefault="00746332" w:rsidP="007463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930" w:hanging="930"/>
        <w:jc w:val="both"/>
        <w:rPr>
          <w:rFonts w:ascii="Times New Roman" w:eastAsia="Times New Roman" w:hAnsi="Times New Roman" w:cs="Times New Roman"/>
          <w:color w:val="000000"/>
          <w:lang w:eastAsia="sv-SE"/>
        </w:rPr>
      </w:pPr>
      <w:r w:rsidRPr="00156704">
        <w:rPr>
          <w:rFonts w:ascii="Times New Roman" w:eastAsia="Times New Roman" w:hAnsi="Times New Roman" w:cs="Times New Roman"/>
          <w:b/>
          <w:bCs/>
          <w:color w:val="000000"/>
          <w:highlight w:val="lightGray"/>
          <w:lang w:eastAsia="sv-SE"/>
        </w:rPr>
        <w:t>8.</w:t>
      </w:r>
      <w:r w:rsidRPr="00156704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 xml:space="preserve"> </w:t>
      </w:r>
      <w:r w:rsidRPr="00156704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ab/>
        <w:t>Nežádoucí účinky</w:t>
      </w:r>
    </w:p>
    <w:p w14:paraId="29B8DC55" w14:textId="77777777" w:rsidR="00746332" w:rsidRPr="00156704" w:rsidRDefault="00746332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sv-SE"/>
        </w:rPr>
      </w:pPr>
    </w:p>
    <w:p w14:paraId="33E9674C" w14:textId="77777777" w:rsidR="00014D33" w:rsidRPr="00156704" w:rsidRDefault="00014D33" w:rsidP="00014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56704">
        <w:rPr>
          <w:rFonts w:ascii="Times New Roman" w:eastAsia="Times New Roman" w:hAnsi="Times New Roman" w:cs="Times New Roman"/>
          <w:lang w:eastAsia="cs-CZ"/>
        </w:rPr>
        <w:t>Po aplikaci tetracyklinů se u zvířat se mohou projevit příznaky hypersensitivity, anafylaxe a fotosenzitivních reakcí.</w:t>
      </w:r>
    </w:p>
    <w:p w14:paraId="1C2C8DDA" w14:textId="77777777" w:rsidR="00014D33" w:rsidRPr="00156704" w:rsidRDefault="00014D33" w:rsidP="00014D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56704">
        <w:rPr>
          <w:rFonts w:ascii="Times New Roman" w:eastAsia="Times New Roman" w:hAnsi="Times New Roman" w:cs="Times New Roman"/>
          <w:lang w:eastAsia="cs-CZ"/>
        </w:rPr>
        <w:t>U mláďat mohou být pozorovány změny barvy zubů, pokud jsou tetracykliny používány během poslední fáze březosti nebo po dobu vývoje zubů.</w:t>
      </w:r>
    </w:p>
    <w:p w14:paraId="744AA35B" w14:textId="77777777" w:rsidR="00746332" w:rsidRPr="00156704" w:rsidRDefault="00746332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6E69DEFB" w14:textId="77777777" w:rsidR="00014D33" w:rsidRPr="00156704" w:rsidRDefault="00746332" w:rsidP="00014D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v-SE"/>
        </w:rPr>
      </w:pPr>
      <w:r w:rsidRPr="00156704">
        <w:rPr>
          <w:rFonts w:ascii="Times New Roman" w:eastAsia="Times New Roman" w:hAnsi="Times New Roman" w:cs="Times New Roman"/>
          <w:color w:val="000000"/>
          <w:lang w:eastAsia="sv-SE"/>
        </w:rPr>
        <w:t xml:space="preserve">Jestliže zaznamenáte kterýkoliv z nežádoucích účinků a to i takové, které nejsou uvedeny v této příbalové informaci, nebo si myslíte, že léčivo </w:t>
      </w:r>
      <w:r w:rsidR="00014D33" w:rsidRPr="00156704">
        <w:rPr>
          <w:rFonts w:ascii="Times New Roman" w:eastAsia="Times New Roman" w:hAnsi="Times New Roman" w:cs="Times New Roman"/>
          <w:color w:val="000000"/>
          <w:lang w:eastAsia="sv-SE"/>
        </w:rPr>
        <w:t>není účinné</w:t>
      </w:r>
      <w:r w:rsidRPr="00156704">
        <w:rPr>
          <w:rFonts w:ascii="Times New Roman" w:eastAsia="Times New Roman" w:hAnsi="Times New Roman" w:cs="Times New Roman"/>
          <w:color w:val="000000"/>
          <w:lang w:eastAsia="sv-SE"/>
        </w:rPr>
        <w:t>, oznamte to, prosím, vašemu veterinárnímu lékaři.</w:t>
      </w:r>
      <w:r w:rsidR="00014D33" w:rsidRPr="00156704">
        <w:rPr>
          <w:rFonts w:ascii="Times New Roman" w:eastAsia="Times New Roman" w:hAnsi="Times New Roman" w:cs="Times New Roman"/>
          <w:color w:val="000000"/>
          <w:lang w:eastAsia="sv-SE"/>
        </w:rPr>
        <w:t xml:space="preserve"> Nežádoucí účinky můžete hlásit prostřednictvím formuláře na webových stránkách ÚSKVBL elektronicky, nebo také přímo na adresu: </w:t>
      </w:r>
    </w:p>
    <w:p w14:paraId="6E9C2603" w14:textId="77777777" w:rsidR="00014D33" w:rsidRPr="00156704" w:rsidRDefault="00014D33" w:rsidP="00014D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776B3168" w14:textId="77777777" w:rsidR="00014D33" w:rsidRPr="00156704" w:rsidRDefault="00014D33" w:rsidP="00014D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v-SE"/>
        </w:rPr>
      </w:pPr>
      <w:r w:rsidRPr="00156704">
        <w:rPr>
          <w:rFonts w:ascii="Times New Roman" w:eastAsia="Times New Roman" w:hAnsi="Times New Roman" w:cs="Times New Roman"/>
          <w:color w:val="000000"/>
          <w:lang w:eastAsia="sv-SE"/>
        </w:rPr>
        <w:t xml:space="preserve">Ústav pro státní kontrolu veterinárních biopreparátů a léčiv </w:t>
      </w:r>
    </w:p>
    <w:p w14:paraId="66534768" w14:textId="77777777" w:rsidR="00014D33" w:rsidRPr="00156704" w:rsidRDefault="00014D33" w:rsidP="00014D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v-SE"/>
        </w:rPr>
      </w:pPr>
      <w:r w:rsidRPr="00156704">
        <w:rPr>
          <w:rFonts w:ascii="Times New Roman" w:eastAsia="Times New Roman" w:hAnsi="Times New Roman" w:cs="Times New Roman"/>
          <w:color w:val="000000"/>
          <w:lang w:eastAsia="sv-SE"/>
        </w:rPr>
        <w:t>Hudcova 56a</w:t>
      </w:r>
    </w:p>
    <w:p w14:paraId="23E75EE3" w14:textId="77777777" w:rsidR="00014D33" w:rsidRPr="00156704" w:rsidRDefault="00014D33" w:rsidP="00014D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v-SE"/>
        </w:rPr>
      </w:pPr>
      <w:r w:rsidRPr="00156704">
        <w:rPr>
          <w:rFonts w:ascii="Times New Roman" w:eastAsia="Times New Roman" w:hAnsi="Times New Roman" w:cs="Times New Roman"/>
          <w:color w:val="000000"/>
          <w:lang w:eastAsia="sv-SE"/>
        </w:rPr>
        <w:t xml:space="preserve">621 00 Brno </w:t>
      </w:r>
    </w:p>
    <w:p w14:paraId="7E2FF8D6" w14:textId="77777777" w:rsidR="00014D33" w:rsidRPr="00156704" w:rsidRDefault="00014D33" w:rsidP="00014D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v-SE"/>
        </w:rPr>
      </w:pPr>
      <w:r w:rsidRPr="00156704">
        <w:rPr>
          <w:rFonts w:ascii="Times New Roman" w:eastAsia="Times New Roman" w:hAnsi="Times New Roman" w:cs="Times New Roman"/>
          <w:color w:val="000000"/>
          <w:lang w:eastAsia="sv-SE"/>
        </w:rPr>
        <w:t>e-mail: adr@uskvbl.cz</w:t>
      </w:r>
    </w:p>
    <w:p w14:paraId="116A29CC" w14:textId="77777777" w:rsidR="00014D33" w:rsidRPr="00156704" w:rsidRDefault="00014D33" w:rsidP="00014D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v-SE"/>
        </w:rPr>
      </w:pPr>
      <w:r w:rsidRPr="00156704">
        <w:rPr>
          <w:rFonts w:ascii="Times New Roman" w:eastAsia="Times New Roman" w:hAnsi="Times New Roman" w:cs="Times New Roman"/>
          <w:color w:val="000000"/>
          <w:lang w:eastAsia="sv-SE"/>
        </w:rPr>
        <w:t xml:space="preserve">webové stránky: </w:t>
      </w:r>
      <w:hyperlink r:id="rId9" w:history="1">
        <w:r w:rsidRPr="00156704">
          <w:rPr>
            <w:rFonts w:ascii="Times New Roman" w:eastAsia="Times New Roman" w:hAnsi="Times New Roman" w:cs="Times New Roman"/>
            <w:color w:val="000000"/>
            <w:lang w:eastAsia="sv-SE"/>
          </w:rPr>
          <w:t>http://www.uskvbl.cz/cs/farmakovigilance</w:t>
        </w:r>
      </w:hyperlink>
    </w:p>
    <w:p w14:paraId="30D23AEC" w14:textId="77777777" w:rsidR="00746332" w:rsidRPr="00156704" w:rsidRDefault="00746332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sv-SE"/>
        </w:rPr>
      </w:pPr>
    </w:p>
    <w:p w14:paraId="7028E6CF" w14:textId="77777777" w:rsidR="00746332" w:rsidRPr="00156704" w:rsidRDefault="00746332" w:rsidP="00746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sv-SE"/>
        </w:rPr>
      </w:pPr>
      <w:r w:rsidRPr="00156704">
        <w:rPr>
          <w:rFonts w:ascii="Times New Roman" w:eastAsia="Times New Roman" w:hAnsi="Times New Roman" w:cs="Times New Roman"/>
          <w:b/>
          <w:bCs/>
          <w:lang w:eastAsia="sv-SE"/>
        </w:rPr>
        <w:t>9.</w:t>
      </w:r>
      <w:r w:rsidRPr="00156704">
        <w:rPr>
          <w:rFonts w:ascii="Times New Roman" w:eastAsia="Times New Roman" w:hAnsi="Times New Roman" w:cs="Times New Roman"/>
          <w:b/>
          <w:bCs/>
          <w:lang w:eastAsia="sv-SE"/>
        </w:rPr>
        <w:tab/>
        <w:t>Cílový druh zvířat</w:t>
      </w:r>
    </w:p>
    <w:p w14:paraId="6C2B8CBB" w14:textId="77777777" w:rsidR="00746332" w:rsidRPr="00156704" w:rsidRDefault="00746332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sv-SE"/>
        </w:rPr>
      </w:pPr>
    </w:p>
    <w:p w14:paraId="5DC2D3C0" w14:textId="77777777" w:rsidR="00746332" w:rsidRPr="00156704" w:rsidRDefault="00014D33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56704">
        <w:rPr>
          <w:rFonts w:ascii="Times New Roman" w:eastAsia="Times New Roman" w:hAnsi="Times New Roman" w:cs="Times New Roman"/>
          <w:lang w:eastAsia="cs-CZ"/>
        </w:rPr>
        <w:t>Prasata.</w:t>
      </w:r>
    </w:p>
    <w:p w14:paraId="1642434C" w14:textId="77777777" w:rsidR="00014D33" w:rsidRPr="00156704" w:rsidRDefault="00014D33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71C6639" w14:textId="77777777" w:rsidR="00746332" w:rsidRDefault="00746332" w:rsidP="0074633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v-SE"/>
        </w:rPr>
      </w:pPr>
      <w:r w:rsidRPr="00156704">
        <w:rPr>
          <w:rFonts w:ascii="Times New Roman" w:eastAsia="Times New Roman" w:hAnsi="Times New Roman" w:cs="Times New Roman"/>
          <w:b/>
          <w:bCs/>
          <w:highlight w:val="lightGray"/>
          <w:lang w:eastAsia="sv-SE"/>
        </w:rPr>
        <w:t>10.</w:t>
      </w:r>
      <w:r w:rsidRPr="00156704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r w:rsidRPr="00156704">
        <w:rPr>
          <w:rFonts w:ascii="Times New Roman" w:eastAsia="Times New Roman" w:hAnsi="Times New Roman" w:cs="Times New Roman"/>
          <w:b/>
          <w:bCs/>
          <w:lang w:eastAsia="sv-SE"/>
        </w:rPr>
        <w:tab/>
        <w:t>Dávkování pro každý druh, cesta(y) a způsob podání</w:t>
      </w:r>
    </w:p>
    <w:p w14:paraId="678A413E" w14:textId="77777777" w:rsidR="00645C33" w:rsidRPr="00156704" w:rsidRDefault="00645C33" w:rsidP="0074633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sv-SE"/>
        </w:rPr>
      </w:pPr>
    </w:p>
    <w:p w14:paraId="3DF5CBA1" w14:textId="77777777" w:rsidR="00014D33" w:rsidRPr="00156704" w:rsidRDefault="00014D33" w:rsidP="00014D33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156704">
        <w:rPr>
          <w:rFonts w:ascii="Times New Roman" w:eastAsia="Times New Roman" w:hAnsi="Times New Roman" w:cs="Times New Roman"/>
          <w:bCs/>
          <w:lang w:eastAsia="cs-CZ"/>
        </w:rPr>
        <w:t>Perorální podání v krmivu.</w:t>
      </w:r>
    </w:p>
    <w:p w14:paraId="1991ACBE" w14:textId="77777777" w:rsidR="00014D33" w:rsidRPr="00156704" w:rsidRDefault="00014D33" w:rsidP="00014D33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049CB2EB" w14:textId="77777777" w:rsidR="00014D33" w:rsidRPr="00156704" w:rsidRDefault="00014D33" w:rsidP="00014D33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156704">
        <w:rPr>
          <w:rFonts w:ascii="Times New Roman" w:eastAsia="Times New Roman" w:hAnsi="Times New Roman" w:cs="Times New Roman"/>
          <w:lang w:eastAsia="sk-SK"/>
        </w:rPr>
        <w:t>Dávkování:</w:t>
      </w:r>
    </w:p>
    <w:p w14:paraId="0A889633" w14:textId="2F942281" w:rsidR="00014D33" w:rsidRPr="00156704" w:rsidRDefault="00014D33" w:rsidP="00014D33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156704">
        <w:rPr>
          <w:rFonts w:ascii="Times New Roman" w:eastAsia="Times New Roman" w:hAnsi="Times New Roman" w:cs="Times New Roman"/>
          <w:lang w:eastAsia="sk-SK"/>
        </w:rPr>
        <w:t xml:space="preserve">5 mg tiamulin </w:t>
      </w:r>
      <w:proofErr w:type="spellStart"/>
      <w:r w:rsidRPr="00156704">
        <w:rPr>
          <w:rFonts w:ascii="Times New Roman" w:eastAsia="Times New Roman" w:hAnsi="Times New Roman" w:cs="Times New Roman"/>
          <w:lang w:eastAsia="sk-SK"/>
        </w:rPr>
        <w:t>hydrogenfumar</w:t>
      </w:r>
      <w:r w:rsidR="007E4148">
        <w:rPr>
          <w:rFonts w:ascii="Times New Roman" w:eastAsia="Times New Roman" w:hAnsi="Times New Roman" w:cs="Times New Roman"/>
          <w:lang w:eastAsia="sk-SK"/>
        </w:rPr>
        <w:t>átu</w:t>
      </w:r>
      <w:proofErr w:type="spellEnd"/>
      <w:r w:rsidRPr="00156704">
        <w:rPr>
          <w:rFonts w:ascii="Times New Roman" w:eastAsia="Times New Roman" w:hAnsi="Times New Roman" w:cs="Times New Roman"/>
          <w:lang w:eastAsia="sk-SK"/>
        </w:rPr>
        <w:t xml:space="preserve"> a 20 mg chlortetracyklin </w:t>
      </w:r>
      <w:proofErr w:type="spellStart"/>
      <w:r w:rsidRPr="00156704">
        <w:rPr>
          <w:rFonts w:ascii="Times New Roman" w:eastAsia="Times New Roman" w:hAnsi="Times New Roman" w:cs="Times New Roman"/>
          <w:lang w:eastAsia="sk-SK"/>
        </w:rPr>
        <w:t>hydrochloridu</w:t>
      </w:r>
      <w:proofErr w:type="spellEnd"/>
      <w:r w:rsidRPr="00156704">
        <w:rPr>
          <w:rFonts w:ascii="Times New Roman" w:eastAsia="Times New Roman" w:hAnsi="Times New Roman" w:cs="Times New Roman"/>
          <w:lang w:eastAsia="sk-SK"/>
        </w:rPr>
        <w:t xml:space="preserve"> na kg ž. </w:t>
      </w:r>
      <w:proofErr w:type="gramStart"/>
      <w:r w:rsidRPr="00156704">
        <w:rPr>
          <w:rFonts w:ascii="Times New Roman" w:eastAsia="Times New Roman" w:hAnsi="Times New Roman" w:cs="Times New Roman"/>
          <w:lang w:eastAsia="sk-SK"/>
        </w:rPr>
        <w:t>hm</w:t>
      </w:r>
      <w:proofErr w:type="gramEnd"/>
      <w:r w:rsidRPr="00156704">
        <w:rPr>
          <w:rFonts w:ascii="Times New Roman" w:eastAsia="Times New Roman" w:hAnsi="Times New Roman" w:cs="Times New Roman"/>
          <w:lang w:eastAsia="sk-SK"/>
        </w:rPr>
        <w:t xml:space="preserve">. a den po dobu </w:t>
      </w:r>
      <w:r w:rsidR="00F36BE0">
        <w:rPr>
          <w:rFonts w:ascii="Times New Roman" w:eastAsia="Times New Roman" w:hAnsi="Times New Roman" w:cs="Times New Roman"/>
          <w:lang w:eastAsia="sk-SK"/>
        </w:rPr>
        <w:t xml:space="preserve"> </w:t>
      </w:r>
      <w:bookmarkStart w:id="0" w:name="_GoBack"/>
      <w:bookmarkEnd w:id="0"/>
      <w:r w:rsidRPr="00325A4A">
        <w:rPr>
          <w:rFonts w:ascii="Times New Roman" w:eastAsia="Times New Roman" w:hAnsi="Times New Roman" w:cs="Times New Roman"/>
          <w:lang w:eastAsia="sk-SK"/>
        </w:rPr>
        <w:t>5 dní,</w:t>
      </w:r>
      <w:r w:rsidR="00BE1639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156704">
        <w:rPr>
          <w:rFonts w:ascii="Times New Roman" w:eastAsia="Times New Roman" w:hAnsi="Times New Roman" w:cs="Times New Roman"/>
          <w:lang w:eastAsia="sk-SK"/>
        </w:rPr>
        <w:t>což odpovídá 100 mg přípravku na kg ž.hm. a den.</w:t>
      </w:r>
    </w:p>
    <w:p w14:paraId="34F6D82D" w14:textId="77777777" w:rsidR="00014D33" w:rsidRPr="00156704" w:rsidRDefault="00014D33" w:rsidP="00014D33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7CD01248" w14:textId="77777777" w:rsidR="00014D33" w:rsidRPr="00156704" w:rsidRDefault="00014D33" w:rsidP="00014D3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156704">
        <w:rPr>
          <w:rFonts w:ascii="Times New Roman" w:eastAsia="Times New Roman" w:hAnsi="Times New Roman" w:cs="Times New Roman"/>
          <w:lang w:eastAsia="cs-CZ"/>
        </w:rPr>
        <w:t>Pro výpočet množství přípravku na 1 tunu krmiva a den lze použít následující vzorec:</w:t>
      </w:r>
    </w:p>
    <w:p w14:paraId="555A4F7D" w14:textId="77777777" w:rsidR="00014D33" w:rsidRPr="00156704" w:rsidRDefault="00014D33" w:rsidP="00014D3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tbl>
      <w:tblPr>
        <w:tblW w:w="8389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5"/>
        <w:gridCol w:w="289"/>
        <w:gridCol w:w="2459"/>
        <w:gridCol w:w="290"/>
        <w:gridCol w:w="3326"/>
      </w:tblGrid>
      <w:tr w:rsidR="00014D33" w:rsidRPr="00156704" w14:paraId="318C7346" w14:textId="77777777" w:rsidTr="00116A6A">
        <w:trPr>
          <w:cantSplit/>
          <w:trHeight w:val="608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847A7" w14:textId="77777777" w:rsidR="00014D33" w:rsidRPr="00156704" w:rsidRDefault="00014D33" w:rsidP="0001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56704">
              <w:rPr>
                <w:rFonts w:ascii="Times New Roman" w:eastAsia="Times New Roman" w:hAnsi="Times New Roman" w:cs="Times New Roman"/>
                <w:lang w:eastAsia="cs-CZ"/>
              </w:rPr>
              <w:t>100 mg přípravku/kg ž. hm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191F5" w14:textId="77777777" w:rsidR="00014D33" w:rsidRPr="00156704" w:rsidRDefault="00014D33" w:rsidP="0001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56704">
              <w:rPr>
                <w:rFonts w:ascii="Times New Roman" w:eastAsia="Times New Roman" w:hAnsi="Times New Roman" w:cs="Times New Roman"/>
                <w:lang w:eastAsia="cs-CZ"/>
              </w:rPr>
              <w:t>x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937FF" w14:textId="77777777" w:rsidR="00014D33" w:rsidRPr="00156704" w:rsidRDefault="00014D33" w:rsidP="0001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56704">
              <w:rPr>
                <w:rFonts w:ascii="Times New Roman" w:eastAsia="Times New Roman" w:hAnsi="Times New Roman" w:cs="Times New Roman"/>
                <w:lang w:eastAsia="cs-CZ"/>
              </w:rPr>
              <w:t>průměrná živá hmotnost (kg) zvířete</w:t>
            </w:r>
          </w:p>
        </w:tc>
        <w:tc>
          <w:tcPr>
            <w:tcW w:w="2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6233A" w14:textId="77777777" w:rsidR="00014D33" w:rsidRPr="00156704" w:rsidRDefault="00014D33" w:rsidP="00014D33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napToGrid w:val="0"/>
                <w:lang w:eastAsia="cs-CZ"/>
              </w:rPr>
            </w:pPr>
          </w:p>
          <w:p w14:paraId="15C25000" w14:textId="77777777" w:rsidR="00014D33" w:rsidRPr="00156704" w:rsidRDefault="00014D33" w:rsidP="00014D33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snapToGrid w:val="0"/>
              </w:rPr>
            </w:pPr>
            <w:r w:rsidRPr="00156704">
              <w:rPr>
                <w:rFonts w:ascii="Times New Roman" w:eastAsia="Times New Roman" w:hAnsi="Times New Roman" w:cs="Times New Roman"/>
                <w:bCs/>
                <w:snapToGrid w:val="0"/>
                <w:lang w:eastAsia="cs-CZ"/>
              </w:rPr>
              <w:t>=</w:t>
            </w:r>
          </w:p>
        </w:tc>
        <w:tc>
          <w:tcPr>
            <w:tcW w:w="33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3C100" w14:textId="77777777" w:rsidR="00014D33" w:rsidRPr="00156704" w:rsidRDefault="00014D33" w:rsidP="00014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B901543" w14:textId="77777777" w:rsidR="00014D33" w:rsidRPr="00156704" w:rsidRDefault="00014D33" w:rsidP="00014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56704">
              <w:rPr>
                <w:rFonts w:ascii="Times New Roman" w:eastAsia="Times New Roman" w:hAnsi="Times New Roman" w:cs="Times New Roman"/>
                <w:lang w:eastAsia="cs-CZ"/>
              </w:rPr>
              <w:t>... g přípravku na 1 tunu krmiva</w:t>
            </w:r>
          </w:p>
        </w:tc>
      </w:tr>
      <w:tr w:rsidR="00014D33" w:rsidRPr="00156704" w14:paraId="7A3F39CD" w14:textId="77777777" w:rsidTr="00116A6A">
        <w:trPr>
          <w:cantSplit/>
          <w:trHeight w:val="387"/>
        </w:trPr>
        <w:tc>
          <w:tcPr>
            <w:tcW w:w="47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42F064A" w14:textId="77777777" w:rsidR="00014D33" w:rsidRPr="00156704" w:rsidRDefault="00014D33" w:rsidP="00014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156704">
              <w:rPr>
                <w:rFonts w:ascii="Times New Roman" w:eastAsia="Times New Roman" w:hAnsi="Times New Roman" w:cs="Times New Roman"/>
                <w:lang w:eastAsia="cs-CZ"/>
              </w:rPr>
              <w:t>průměrná denní spotřeba krmiva (kg) na zvíře</w:t>
            </w: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1381F" w14:textId="77777777" w:rsidR="00014D33" w:rsidRPr="00156704" w:rsidRDefault="00014D33" w:rsidP="00014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</w:rPr>
            </w:pPr>
          </w:p>
        </w:tc>
        <w:tc>
          <w:tcPr>
            <w:tcW w:w="33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2E52F" w14:textId="77777777" w:rsidR="00014D33" w:rsidRPr="00156704" w:rsidRDefault="00014D33" w:rsidP="00014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</w:rPr>
            </w:pPr>
          </w:p>
        </w:tc>
      </w:tr>
    </w:tbl>
    <w:p w14:paraId="669965E1" w14:textId="77777777" w:rsidR="00014D33" w:rsidRPr="00156704" w:rsidRDefault="00014D33" w:rsidP="00014D3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</w:p>
    <w:p w14:paraId="34CC45C4" w14:textId="77777777" w:rsidR="00746332" w:rsidRPr="00156704" w:rsidRDefault="00746332" w:rsidP="0074633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sv-SE"/>
        </w:rPr>
      </w:pPr>
      <w:r w:rsidRPr="00156704">
        <w:rPr>
          <w:rFonts w:ascii="Times New Roman" w:eastAsia="Times New Roman" w:hAnsi="Times New Roman" w:cs="Times New Roman"/>
          <w:b/>
          <w:bCs/>
          <w:highlight w:val="lightGray"/>
          <w:lang w:eastAsia="sv-SE"/>
        </w:rPr>
        <w:t>11.</w:t>
      </w:r>
      <w:r w:rsidRPr="00156704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r w:rsidRPr="00156704">
        <w:rPr>
          <w:rFonts w:ascii="Times New Roman" w:eastAsia="Times New Roman" w:hAnsi="Times New Roman" w:cs="Times New Roman"/>
          <w:b/>
          <w:bCs/>
          <w:lang w:eastAsia="sv-SE"/>
        </w:rPr>
        <w:tab/>
        <w:t>Pokyny pro správné podání</w:t>
      </w:r>
    </w:p>
    <w:p w14:paraId="1B9D3344" w14:textId="77777777" w:rsidR="00746332" w:rsidRPr="00156704" w:rsidRDefault="00746332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8C480FB" w14:textId="77777777" w:rsidR="00014D33" w:rsidRPr="00156704" w:rsidRDefault="00014D33" w:rsidP="00014D3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156704">
        <w:rPr>
          <w:rFonts w:ascii="Times New Roman" w:eastAsia="Times New Roman" w:hAnsi="Times New Roman" w:cs="Times New Roman"/>
          <w:lang w:eastAsia="cs-CZ"/>
        </w:rPr>
        <w:t>Pro zajištění podání správné dávky by měla být co možná nejpřesněji stanovena živá hmotnost zvířat, aby se předešlo poddávkování.</w:t>
      </w:r>
    </w:p>
    <w:p w14:paraId="25950FC0" w14:textId="77777777" w:rsidR="00746332" w:rsidRPr="00156704" w:rsidRDefault="00746332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sv-SE"/>
        </w:rPr>
      </w:pPr>
    </w:p>
    <w:p w14:paraId="628A083F" w14:textId="77777777" w:rsidR="00746332" w:rsidRPr="00156704" w:rsidRDefault="00746332" w:rsidP="00746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sv-SE"/>
        </w:rPr>
      </w:pPr>
      <w:r w:rsidRPr="00156704">
        <w:rPr>
          <w:rFonts w:ascii="Times New Roman" w:eastAsia="Times New Roman" w:hAnsi="Times New Roman" w:cs="Times New Roman"/>
          <w:b/>
          <w:bCs/>
          <w:lang w:eastAsia="sv-SE"/>
        </w:rPr>
        <w:t xml:space="preserve">12. </w:t>
      </w:r>
      <w:r w:rsidRPr="00156704">
        <w:rPr>
          <w:rFonts w:ascii="Times New Roman" w:eastAsia="Times New Roman" w:hAnsi="Times New Roman" w:cs="Times New Roman"/>
          <w:b/>
          <w:bCs/>
          <w:lang w:eastAsia="sv-SE"/>
        </w:rPr>
        <w:tab/>
        <w:t>Ochranná(é) lhůta(y):</w:t>
      </w:r>
    </w:p>
    <w:p w14:paraId="4E591106" w14:textId="77777777" w:rsidR="00FC0B6F" w:rsidRDefault="00FC0B6F" w:rsidP="00325A4A">
      <w:pPr>
        <w:spacing w:after="0"/>
      </w:pPr>
    </w:p>
    <w:p w14:paraId="03AA8B86" w14:textId="77777777" w:rsidR="00746332" w:rsidRPr="00482D87" w:rsidRDefault="00482D87" w:rsidP="00482D87">
      <w:pPr>
        <w:rPr>
          <w:rFonts w:ascii="Times New Roman" w:eastAsia="Times New Roman" w:hAnsi="Times New Roman" w:cs="Times New Roman"/>
          <w:i/>
          <w:iCs/>
          <w:lang w:eastAsia="sv-SE"/>
        </w:rPr>
      </w:pPr>
      <w:r w:rsidRPr="00482D87">
        <w:rPr>
          <w:rFonts w:ascii="Times New Roman" w:hAnsi="Times New Roman" w:cs="Times New Roman"/>
        </w:rPr>
        <w:t>Prasata: maso: 10 dní</w:t>
      </w:r>
    </w:p>
    <w:p w14:paraId="5434240E" w14:textId="77777777" w:rsidR="00746332" w:rsidRPr="00156704" w:rsidRDefault="00746332" w:rsidP="00746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sv-SE"/>
        </w:rPr>
      </w:pPr>
      <w:r w:rsidRPr="00156704">
        <w:rPr>
          <w:rFonts w:ascii="Times New Roman" w:eastAsia="Times New Roman" w:hAnsi="Times New Roman" w:cs="Times New Roman"/>
          <w:b/>
          <w:bCs/>
          <w:lang w:eastAsia="sv-SE"/>
        </w:rPr>
        <w:t>13.</w:t>
      </w:r>
      <w:r w:rsidRPr="00156704">
        <w:rPr>
          <w:rFonts w:ascii="Times New Roman" w:eastAsia="Times New Roman" w:hAnsi="Times New Roman" w:cs="Times New Roman"/>
          <w:b/>
          <w:bCs/>
          <w:lang w:eastAsia="sv-SE"/>
        </w:rPr>
        <w:tab/>
        <w:t>Zvláštní podmínky pro uchovávání</w:t>
      </w:r>
    </w:p>
    <w:p w14:paraId="6F57FDB5" w14:textId="77777777" w:rsidR="00746332" w:rsidRPr="00156704" w:rsidRDefault="00746332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sv-SE"/>
        </w:rPr>
      </w:pPr>
    </w:p>
    <w:p w14:paraId="57E3D65A" w14:textId="0A1D6D4C" w:rsidR="00FC0B6F" w:rsidRPr="00FC0B6F" w:rsidRDefault="00FC0B6F" w:rsidP="00FC0B6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sv-SE"/>
        </w:rPr>
      </w:pPr>
      <w:r w:rsidRPr="00FC0B6F">
        <w:rPr>
          <w:rFonts w:ascii="Times New Roman" w:eastAsia="Times New Roman" w:hAnsi="Times New Roman" w:cs="Times New Roman"/>
          <w:iCs/>
          <w:lang w:eastAsia="sv-SE"/>
        </w:rPr>
        <w:t xml:space="preserve">Uchovávejte při teplotě do 25 </w:t>
      </w:r>
      <w:r>
        <w:rPr>
          <w:rFonts w:ascii="Times New Roman" w:eastAsia="Times New Roman" w:hAnsi="Times New Roman" w:cs="Times New Roman"/>
          <w:iCs/>
          <w:lang w:eastAsia="sv-SE"/>
        </w:rPr>
        <w:t>°</w:t>
      </w:r>
      <w:r w:rsidRPr="00FC0B6F">
        <w:rPr>
          <w:rFonts w:ascii="Times New Roman" w:eastAsia="Times New Roman" w:hAnsi="Times New Roman" w:cs="Times New Roman"/>
          <w:iCs/>
          <w:lang w:eastAsia="sv-SE"/>
        </w:rPr>
        <w:t>C.</w:t>
      </w:r>
    </w:p>
    <w:p w14:paraId="1DACF3AE" w14:textId="0E60441E" w:rsidR="00746332" w:rsidRDefault="00FC0B6F" w:rsidP="00FC0B6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sv-SE"/>
        </w:rPr>
      </w:pPr>
      <w:r w:rsidRPr="00FC0B6F">
        <w:rPr>
          <w:rFonts w:ascii="Times New Roman" w:eastAsia="Times New Roman" w:hAnsi="Times New Roman" w:cs="Times New Roman"/>
          <w:iCs/>
          <w:lang w:eastAsia="sv-SE"/>
        </w:rPr>
        <w:t>Uchovávejte v suchu.</w:t>
      </w:r>
    </w:p>
    <w:p w14:paraId="09DB1444" w14:textId="6263A917" w:rsidR="00FC0B6F" w:rsidRPr="00325A4A" w:rsidRDefault="00FC0B6F" w:rsidP="00FC0B6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sv-SE"/>
        </w:rPr>
      </w:pPr>
      <w:r w:rsidRPr="00FC0B6F">
        <w:rPr>
          <w:rFonts w:ascii="Times New Roman" w:eastAsia="Times New Roman" w:hAnsi="Times New Roman" w:cs="Times New Roman"/>
          <w:iCs/>
          <w:lang w:eastAsia="sv-SE"/>
        </w:rPr>
        <w:t>Nepoužívejte tento veterinární léčivý přípravek po uplynutí doby použitelnosti uvedené po EXP.</w:t>
      </w:r>
    </w:p>
    <w:p w14:paraId="0F0D157C" w14:textId="77777777" w:rsidR="00746332" w:rsidRPr="00156704" w:rsidRDefault="00746332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sv-SE"/>
        </w:rPr>
      </w:pPr>
    </w:p>
    <w:p w14:paraId="03FDDD2A" w14:textId="77777777" w:rsidR="00746332" w:rsidRPr="00156704" w:rsidRDefault="00746332" w:rsidP="0074633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sv-SE"/>
        </w:rPr>
      </w:pPr>
      <w:r w:rsidRPr="00156704">
        <w:rPr>
          <w:rFonts w:ascii="Times New Roman" w:eastAsia="Times New Roman" w:hAnsi="Times New Roman" w:cs="Times New Roman"/>
          <w:b/>
          <w:bCs/>
          <w:highlight w:val="lightGray"/>
          <w:lang w:eastAsia="sv-SE"/>
        </w:rPr>
        <w:lastRenderedPageBreak/>
        <w:t>14.</w:t>
      </w:r>
      <w:r w:rsidRPr="00156704">
        <w:rPr>
          <w:rFonts w:ascii="Times New Roman" w:eastAsia="Times New Roman" w:hAnsi="Times New Roman" w:cs="Times New Roman"/>
          <w:b/>
          <w:bCs/>
          <w:lang w:eastAsia="sv-SE"/>
        </w:rPr>
        <w:tab/>
        <w:t>Zvláštní opatření</w:t>
      </w:r>
    </w:p>
    <w:p w14:paraId="3D1A40B1" w14:textId="77777777" w:rsidR="00746332" w:rsidRPr="00156704" w:rsidRDefault="00746332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69D5C9C2" w14:textId="77777777" w:rsidR="00746332" w:rsidRPr="00645C33" w:rsidRDefault="00746332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sv-SE"/>
        </w:rPr>
      </w:pPr>
      <w:r w:rsidRPr="00325A4A">
        <w:rPr>
          <w:rFonts w:ascii="Times New Roman" w:eastAsia="Times New Roman" w:hAnsi="Times New Roman" w:cs="Times New Roman"/>
          <w:color w:val="000000"/>
          <w:u w:val="single"/>
          <w:lang w:eastAsia="sv-SE"/>
        </w:rPr>
        <w:t>Zvláštní opatření pro použití u zvířat:</w:t>
      </w:r>
    </w:p>
    <w:p w14:paraId="49AA0F36" w14:textId="77777777" w:rsidR="00746332" w:rsidRPr="00156704" w:rsidRDefault="00746332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v-SE"/>
        </w:rPr>
      </w:pPr>
    </w:p>
    <w:p w14:paraId="2399DCD9" w14:textId="77777777" w:rsidR="00014D33" w:rsidRPr="00156704" w:rsidRDefault="00014D33" w:rsidP="00014D33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156704">
        <w:rPr>
          <w:rFonts w:ascii="Times New Roman" w:eastAsia="Times New Roman" w:hAnsi="Times New Roman" w:cs="Times New Roman"/>
          <w:lang w:eastAsia="cs-CZ"/>
        </w:rPr>
        <w:t>Při použití přípravku je nutno vzít v úvahu oficiální a místní pravidla antibiotické politiky.</w:t>
      </w:r>
    </w:p>
    <w:p w14:paraId="60BA3B16" w14:textId="77777777" w:rsidR="00014D33" w:rsidRPr="00156704" w:rsidRDefault="00014D33" w:rsidP="00014D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56704">
        <w:rPr>
          <w:rFonts w:ascii="Times New Roman" w:eastAsia="Times New Roman" w:hAnsi="Times New Roman" w:cs="Times New Roman"/>
          <w:lang w:eastAsia="cs-CZ"/>
        </w:rPr>
        <w:t xml:space="preserve">Kvůli pravděpodobné variabilitě (čas, zeměpisné faktory) v citlivosti bakterií ke kombinaci chlortetracyklinu a tiamulinu se důrazně doporučuje provést odběr bakteriologických vzorků a testování citlivosti mikroorganismů získaných z nemocných zvířat v chovu. Pokud to není možné, je nutné založit terapii na místních (regionální, na úrovni farmy) epizootologických informacích o citlivosti cílové bakterie. </w:t>
      </w:r>
    </w:p>
    <w:p w14:paraId="6379950E" w14:textId="77777777" w:rsidR="00014D33" w:rsidRPr="00156704" w:rsidRDefault="00014D33" w:rsidP="00014D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56704">
        <w:rPr>
          <w:rFonts w:ascii="Times New Roman" w:eastAsia="Times New Roman" w:hAnsi="Times New Roman" w:cs="Times New Roman"/>
          <w:lang w:eastAsia="cs-CZ"/>
        </w:rPr>
        <w:t>Jedná se o fixní kombinaci dvou léčivých antimikrobních látek, která by měla být využívána pouze v případě, že dle laboratorních výsledků a klinických předpokladů je nutno použít kombinaci.</w:t>
      </w:r>
    </w:p>
    <w:p w14:paraId="4A5820AA" w14:textId="77777777" w:rsidR="00014D33" w:rsidRPr="00156704" w:rsidRDefault="00014D33" w:rsidP="00014D33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1E9E6C9" w14:textId="77777777" w:rsidR="00014D33" w:rsidRPr="00156704" w:rsidRDefault="00014D33" w:rsidP="00014D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56704">
        <w:rPr>
          <w:rFonts w:ascii="Times New Roman" w:eastAsia="Times New Roman" w:hAnsi="Times New Roman" w:cs="Times New Roman"/>
          <w:lang w:eastAsia="cs-CZ"/>
        </w:rPr>
        <w:t>Použití přípravku, které je odlišné od pokynů uvedených na této etiketě, může zvýšit prevalenci bakterií rezistentních na chlortetracyklin nebo tiamulin a snížit účinnost terapie ostatními tetracykliny nebo pleuromutiliny z důvodu možné zkřížené rezistence/</w:t>
      </w:r>
      <w:proofErr w:type="spellStart"/>
      <w:r w:rsidRPr="00156704">
        <w:rPr>
          <w:rFonts w:ascii="Times New Roman" w:eastAsia="Times New Roman" w:hAnsi="Times New Roman" w:cs="Times New Roman"/>
          <w:lang w:eastAsia="cs-CZ"/>
        </w:rPr>
        <w:t>ko</w:t>
      </w:r>
      <w:proofErr w:type="spellEnd"/>
      <w:r w:rsidRPr="00156704">
        <w:rPr>
          <w:rFonts w:ascii="Times New Roman" w:eastAsia="Times New Roman" w:hAnsi="Times New Roman" w:cs="Times New Roman"/>
          <w:lang w:eastAsia="cs-CZ"/>
        </w:rPr>
        <w:t xml:space="preserve">-selekce rezistence. </w:t>
      </w:r>
    </w:p>
    <w:p w14:paraId="75477C5E" w14:textId="77777777" w:rsidR="00746332" w:rsidRPr="00156704" w:rsidRDefault="00746332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v-SE"/>
        </w:rPr>
      </w:pPr>
    </w:p>
    <w:p w14:paraId="527B09B3" w14:textId="77777777" w:rsidR="00746332" w:rsidRPr="00645C33" w:rsidRDefault="00746332" w:rsidP="00325A4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sv-SE"/>
        </w:rPr>
      </w:pPr>
      <w:r w:rsidRPr="00325A4A">
        <w:rPr>
          <w:rFonts w:ascii="Times New Roman" w:eastAsia="Times New Roman" w:hAnsi="Times New Roman" w:cs="Times New Roman"/>
          <w:u w:val="single"/>
          <w:lang w:eastAsia="sv-SE"/>
        </w:rPr>
        <w:t>Zvláštní opatření určené osobám, které podávají veterinární léčivý přípravek zvířatům</w:t>
      </w:r>
      <w:r w:rsidRPr="00325A4A">
        <w:rPr>
          <w:rFonts w:ascii="Times New Roman" w:eastAsia="Times New Roman" w:hAnsi="Times New Roman" w:cs="Times New Roman"/>
          <w:lang w:eastAsia="sv-SE"/>
        </w:rPr>
        <w:t>:</w:t>
      </w:r>
    </w:p>
    <w:p w14:paraId="552FF310" w14:textId="77777777" w:rsidR="00746332" w:rsidRPr="00156704" w:rsidRDefault="00746332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B8CA141" w14:textId="77777777" w:rsidR="00E71936" w:rsidRPr="00325A4A" w:rsidRDefault="00E71936" w:rsidP="00325A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25A4A">
        <w:rPr>
          <w:rFonts w:ascii="Times New Roman" w:eastAsia="Times New Roman" w:hAnsi="Times New Roman" w:cs="Times New Roman"/>
          <w:lang w:eastAsia="cs-CZ"/>
        </w:rPr>
        <w:t>Lidé se známou přecitlivělostí na tetracykliny nebo tiamulin b</w:t>
      </w:r>
      <w:r>
        <w:rPr>
          <w:rFonts w:ascii="Times New Roman" w:eastAsia="Times New Roman" w:hAnsi="Times New Roman" w:cs="Times New Roman"/>
          <w:lang w:eastAsia="cs-CZ"/>
        </w:rPr>
        <w:t>y se měli vyhnout kontaktu s </w:t>
      </w:r>
      <w:r w:rsidRPr="00325A4A">
        <w:rPr>
          <w:rFonts w:ascii="Times New Roman" w:eastAsia="Times New Roman" w:hAnsi="Times New Roman" w:cs="Times New Roman"/>
          <w:lang w:eastAsia="cs-CZ"/>
        </w:rPr>
        <w:t xml:space="preserve">veterinárním léčivým přípravkem. </w:t>
      </w:r>
    </w:p>
    <w:p w14:paraId="4D12F86E" w14:textId="77777777" w:rsidR="00E71936" w:rsidRPr="00325A4A" w:rsidRDefault="00E71936" w:rsidP="00325A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25A4A">
        <w:rPr>
          <w:rFonts w:ascii="Times New Roman" w:eastAsia="Times New Roman" w:hAnsi="Times New Roman" w:cs="Times New Roman"/>
          <w:lang w:eastAsia="cs-CZ"/>
        </w:rPr>
        <w:t xml:space="preserve">Zabraňte kontaktu přípravku s kůží, očima a sliznicemi. </w:t>
      </w:r>
    </w:p>
    <w:p w14:paraId="6BD1682E" w14:textId="77777777" w:rsidR="00E71936" w:rsidRPr="00325A4A" w:rsidRDefault="00E71936" w:rsidP="00325A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25A4A">
        <w:rPr>
          <w:rFonts w:ascii="Times New Roman" w:eastAsia="Times New Roman" w:hAnsi="Times New Roman" w:cs="Times New Roman"/>
          <w:lang w:eastAsia="cs-CZ"/>
        </w:rPr>
        <w:t>Při nakládání s veterinárním léčivým přípravkem by se měly používat osobní ochranné prostředky skládající se z ochranného oděvu, ochranných brýlí a gumových či latexových rukavic a buď z</w:t>
      </w:r>
      <w:r>
        <w:rPr>
          <w:rFonts w:ascii="Times New Roman" w:eastAsia="Times New Roman" w:hAnsi="Times New Roman" w:cs="Times New Roman"/>
          <w:lang w:eastAsia="cs-CZ"/>
        </w:rPr>
        <w:t> </w:t>
      </w:r>
      <w:r w:rsidRPr="00325A4A">
        <w:rPr>
          <w:rFonts w:ascii="Times New Roman" w:eastAsia="Times New Roman" w:hAnsi="Times New Roman" w:cs="Times New Roman"/>
          <w:lang w:eastAsia="cs-CZ"/>
        </w:rPr>
        <w:t>jednorázového respirátoru s polomaskou vyhovující evropské normě EN149 nebo z respirátoru na více použití podle evropské normy EN140 s filtrem podle normy EN143.</w:t>
      </w:r>
    </w:p>
    <w:p w14:paraId="5B968CD8" w14:textId="77777777" w:rsidR="00E71936" w:rsidRPr="00325A4A" w:rsidRDefault="00E71936" w:rsidP="00325A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25A4A">
        <w:rPr>
          <w:rFonts w:ascii="Times New Roman" w:eastAsia="Times New Roman" w:hAnsi="Times New Roman" w:cs="Times New Roman"/>
          <w:lang w:eastAsia="cs-CZ"/>
        </w:rPr>
        <w:t>V případě potřísnění pokožky či sliznice opláchněte ihned exponovanou část velkým množstvím vody a odstraňte kontaminovaný oděv, který je v přímém kontaktu s pokožkou. V případě zasažení očí vypláchněte oči velkým množstvím pitné vody. Dojde-li k podrážděn</w:t>
      </w:r>
      <w:r>
        <w:rPr>
          <w:rFonts w:ascii="Times New Roman" w:eastAsia="Times New Roman" w:hAnsi="Times New Roman" w:cs="Times New Roman"/>
          <w:lang w:eastAsia="cs-CZ"/>
        </w:rPr>
        <w:t>í, vyhledejte lékařskou pomoc a </w:t>
      </w:r>
      <w:r w:rsidRPr="00325A4A">
        <w:rPr>
          <w:rFonts w:ascii="Times New Roman" w:eastAsia="Times New Roman" w:hAnsi="Times New Roman" w:cs="Times New Roman"/>
          <w:lang w:eastAsia="cs-CZ"/>
        </w:rPr>
        <w:t>ukažte příbalovou informaci nebo etiketu praktickému lékaři.</w:t>
      </w:r>
    </w:p>
    <w:p w14:paraId="39A6161B" w14:textId="77777777" w:rsidR="00E71936" w:rsidRPr="00325A4A" w:rsidRDefault="00E71936" w:rsidP="00325A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25A4A">
        <w:rPr>
          <w:rFonts w:ascii="Times New Roman" w:eastAsia="Times New Roman" w:hAnsi="Times New Roman" w:cs="Times New Roman"/>
          <w:lang w:eastAsia="cs-CZ"/>
        </w:rPr>
        <w:t>Po použití přípravku si důkladně umyjte ruce vodou a mýdlem.</w:t>
      </w:r>
    </w:p>
    <w:p w14:paraId="3B8ADD0D" w14:textId="77777777" w:rsidR="00746332" w:rsidRPr="00156704" w:rsidRDefault="00746332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594F0BF8" w14:textId="77777777" w:rsidR="00746332" w:rsidRPr="00325A4A" w:rsidRDefault="00746332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v-SE"/>
        </w:rPr>
      </w:pPr>
      <w:r w:rsidRPr="00325A4A">
        <w:rPr>
          <w:rFonts w:ascii="Times New Roman" w:eastAsia="Times New Roman" w:hAnsi="Times New Roman" w:cs="Times New Roman"/>
          <w:color w:val="000000"/>
          <w:u w:val="single"/>
          <w:lang w:eastAsia="sv-SE"/>
        </w:rPr>
        <w:t>Březost a laktace</w:t>
      </w:r>
      <w:r w:rsidRPr="00325A4A">
        <w:rPr>
          <w:rFonts w:ascii="Times New Roman" w:eastAsia="Times New Roman" w:hAnsi="Times New Roman" w:cs="Times New Roman"/>
          <w:color w:val="000000"/>
          <w:lang w:eastAsia="sv-SE"/>
        </w:rPr>
        <w:t>:</w:t>
      </w:r>
    </w:p>
    <w:p w14:paraId="488B178A" w14:textId="77777777" w:rsidR="00376116" w:rsidRPr="00156704" w:rsidRDefault="00376116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1B12D8EF" w14:textId="77777777" w:rsidR="00376116" w:rsidRPr="00156704" w:rsidRDefault="00376116" w:rsidP="003761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56704">
        <w:rPr>
          <w:rFonts w:ascii="Times New Roman" w:eastAsia="Times New Roman" w:hAnsi="Times New Roman" w:cs="Times New Roman"/>
          <w:lang w:eastAsia="cs-CZ"/>
        </w:rPr>
        <w:t xml:space="preserve">Tetracykliny prostupují placentou a mohou způsobit poškození skeletu plodu. Tetracykliny jsou vylučovány do mléka. U březích a laktujících zvířat podávat jen se zvýšenou opatrností. </w:t>
      </w:r>
    </w:p>
    <w:p w14:paraId="3D190D76" w14:textId="77777777" w:rsidR="00746332" w:rsidRPr="00156704" w:rsidRDefault="00376116" w:rsidP="003761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v-SE"/>
        </w:rPr>
      </w:pPr>
      <w:r w:rsidRPr="00156704">
        <w:rPr>
          <w:rFonts w:ascii="Times New Roman" w:eastAsia="Times New Roman" w:hAnsi="Times New Roman" w:cs="Times New Roman"/>
          <w:lang w:eastAsia="cs-CZ"/>
        </w:rPr>
        <w:t>Použít pouze po zvážení terapeutického prospěchu a rizika příslušným veterinárním lékařem.</w:t>
      </w:r>
    </w:p>
    <w:p w14:paraId="05262A08" w14:textId="77777777" w:rsidR="00746332" w:rsidRPr="00156704" w:rsidRDefault="00746332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2427374B" w14:textId="77777777" w:rsidR="00746332" w:rsidRPr="00325A4A" w:rsidRDefault="00746332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sv-SE"/>
        </w:rPr>
      </w:pPr>
      <w:r w:rsidRPr="00325A4A">
        <w:rPr>
          <w:rFonts w:ascii="Times New Roman" w:eastAsia="Times New Roman" w:hAnsi="Times New Roman" w:cs="Times New Roman"/>
          <w:color w:val="000000"/>
          <w:u w:val="single"/>
          <w:lang w:eastAsia="sv-SE"/>
        </w:rPr>
        <w:t>Interakce s dalšími léčivými přípravky a další formy interakce:</w:t>
      </w:r>
    </w:p>
    <w:p w14:paraId="0F810F8A" w14:textId="77777777" w:rsidR="00376116" w:rsidRPr="00156704" w:rsidRDefault="00376116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sv-SE"/>
        </w:rPr>
      </w:pPr>
    </w:p>
    <w:p w14:paraId="653DEC0F" w14:textId="6DB30074" w:rsidR="00376116" w:rsidRPr="00156704" w:rsidRDefault="00376116" w:rsidP="0037611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56704">
        <w:rPr>
          <w:rFonts w:ascii="Times New Roman" w:eastAsia="Times New Roman" w:hAnsi="Times New Roman" w:cs="Times New Roman"/>
          <w:lang w:eastAsia="cs-CZ"/>
        </w:rPr>
        <w:t>Přípravek nepodávejte současně s monensinem, nara</w:t>
      </w:r>
      <w:r w:rsidR="00130D0D">
        <w:rPr>
          <w:rFonts w:ascii="Times New Roman" w:eastAsia="Times New Roman" w:hAnsi="Times New Roman" w:cs="Times New Roman"/>
          <w:lang w:eastAsia="cs-CZ"/>
        </w:rPr>
        <w:t>s</w:t>
      </w:r>
      <w:r w:rsidRPr="00156704">
        <w:rPr>
          <w:rFonts w:ascii="Times New Roman" w:eastAsia="Times New Roman" w:hAnsi="Times New Roman" w:cs="Times New Roman"/>
          <w:lang w:eastAsia="cs-CZ"/>
        </w:rPr>
        <w:t>inem a salinomycinem. Tiamulin vykazuje interakce s těmito ionofory a může vyústit v příznaky nerozeznatelné od ion</w:t>
      </w:r>
      <w:r w:rsidR="00130D0D">
        <w:rPr>
          <w:rFonts w:ascii="Times New Roman" w:eastAsia="Times New Roman" w:hAnsi="Times New Roman" w:cs="Times New Roman"/>
          <w:lang w:eastAsia="cs-CZ"/>
        </w:rPr>
        <w:t>o</w:t>
      </w:r>
      <w:r w:rsidRPr="00156704">
        <w:rPr>
          <w:rFonts w:ascii="Times New Roman" w:eastAsia="Times New Roman" w:hAnsi="Times New Roman" w:cs="Times New Roman"/>
          <w:lang w:eastAsia="cs-CZ"/>
        </w:rPr>
        <w:t>forové toxikózy. Zvířatům by se neměly podávat přípravky obsahující monensin, salinomycin nebo narasin během nebo alespoň 7 dní před nebo po léčbě tiamulinem. Následkem může být těžká deprese růstu, ataxie, paralýza nebo úhyn.</w:t>
      </w:r>
    </w:p>
    <w:p w14:paraId="1395EDDE" w14:textId="77777777" w:rsidR="00376116" w:rsidRPr="00156704" w:rsidRDefault="00376116" w:rsidP="0037611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56704">
        <w:rPr>
          <w:rFonts w:ascii="Times New Roman" w:eastAsia="Times New Roman" w:hAnsi="Times New Roman" w:cs="Times New Roman"/>
          <w:lang w:eastAsia="cs-CZ"/>
        </w:rPr>
        <w:t xml:space="preserve">Pokud se objeví příznaky interakce, zastavte okamžitě podávání kontaminovaného krmiva a odstraňte je. Nahraďte čerstvým krmivem neobsahujícím žádný z výše uvedených ionoforů.  </w:t>
      </w:r>
    </w:p>
    <w:p w14:paraId="79D31F22" w14:textId="77777777" w:rsidR="00376116" w:rsidRPr="00156704" w:rsidRDefault="00376116" w:rsidP="0037611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56704">
        <w:rPr>
          <w:rFonts w:ascii="Times New Roman" w:eastAsia="Times New Roman" w:hAnsi="Times New Roman" w:cs="Times New Roman"/>
          <w:lang w:eastAsia="cs-CZ"/>
        </w:rPr>
        <w:t xml:space="preserve">Chlortetracyklin tvoří s dvoj- a trojmocnými kationty nerozpustné komplexy v důsledku čeho může dojít ke snížené absorpci z gastrointestinálního traktu. Nepodávejte současně s baktericidními antibiotiky (např. beta-laktamy a aminoglykosidy). </w:t>
      </w:r>
    </w:p>
    <w:p w14:paraId="335E521D" w14:textId="77777777" w:rsidR="00376116" w:rsidRPr="00156704" w:rsidRDefault="00376116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22CF0704" w14:textId="77777777" w:rsidR="00746332" w:rsidRPr="00325A4A" w:rsidRDefault="00746332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v-SE"/>
        </w:rPr>
      </w:pPr>
      <w:r w:rsidRPr="00325A4A">
        <w:rPr>
          <w:rFonts w:ascii="Times New Roman" w:eastAsia="Times New Roman" w:hAnsi="Times New Roman" w:cs="Times New Roman"/>
          <w:color w:val="000000"/>
          <w:u w:val="single"/>
          <w:lang w:eastAsia="sv-SE"/>
        </w:rPr>
        <w:t>Předávkování (symptomy, první pomoc, antidota)</w:t>
      </w:r>
      <w:r w:rsidRPr="00325A4A">
        <w:rPr>
          <w:rFonts w:ascii="Times New Roman" w:eastAsia="Times New Roman" w:hAnsi="Times New Roman" w:cs="Times New Roman"/>
          <w:color w:val="000000"/>
          <w:lang w:eastAsia="sv-SE"/>
        </w:rPr>
        <w:t>:</w:t>
      </w:r>
    </w:p>
    <w:p w14:paraId="7B4CE5B6" w14:textId="77777777" w:rsidR="00BD1C6B" w:rsidRPr="00156704" w:rsidRDefault="00BD1C6B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50157F56" w14:textId="07254EA4" w:rsidR="00746332" w:rsidRPr="00156704" w:rsidRDefault="00BD1C6B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56704">
        <w:rPr>
          <w:rFonts w:ascii="Times New Roman" w:eastAsia="Times New Roman" w:hAnsi="Times New Roman" w:cs="Times New Roman"/>
          <w:lang w:eastAsia="cs-CZ"/>
        </w:rPr>
        <w:t>Předávkování tetracykliny není obvyklé, protože velmi vysoké dávky jsou zvířaty většinou tolerovány. V případě příznaků z předávkování léčbu přípravkem přerušte.</w:t>
      </w:r>
    </w:p>
    <w:p w14:paraId="63C2E8C5" w14:textId="77777777" w:rsidR="00D67645" w:rsidRPr="00156704" w:rsidRDefault="00D67645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4768C84C" w14:textId="77777777" w:rsidR="00746332" w:rsidRPr="00325A4A" w:rsidRDefault="00746332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v-SE"/>
        </w:rPr>
      </w:pPr>
      <w:r w:rsidRPr="00325A4A">
        <w:rPr>
          <w:rFonts w:ascii="Times New Roman" w:eastAsia="Times New Roman" w:hAnsi="Times New Roman" w:cs="Times New Roman"/>
          <w:color w:val="000000"/>
          <w:u w:val="single"/>
          <w:lang w:eastAsia="sv-SE"/>
        </w:rPr>
        <w:t>Inkompatibility</w:t>
      </w:r>
      <w:r w:rsidRPr="00325A4A">
        <w:rPr>
          <w:rFonts w:ascii="Times New Roman" w:eastAsia="Times New Roman" w:hAnsi="Times New Roman" w:cs="Times New Roman"/>
          <w:color w:val="000000"/>
          <w:lang w:eastAsia="sv-SE"/>
        </w:rPr>
        <w:t>:</w:t>
      </w:r>
    </w:p>
    <w:p w14:paraId="19D8F9AF" w14:textId="296532FC" w:rsidR="00C524F3" w:rsidRDefault="00FC0B6F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v-SE"/>
        </w:rPr>
      </w:pPr>
      <w:r>
        <w:rPr>
          <w:rFonts w:ascii="Times New Roman" w:eastAsia="Times New Roman" w:hAnsi="Times New Roman" w:cs="Times New Roman"/>
          <w:color w:val="000000"/>
          <w:lang w:eastAsia="sv-SE"/>
        </w:rPr>
        <w:t>Nejsou známy.</w:t>
      </w:r>
    </w:p>
    <w:p w14:paraId="46F12598" w14:textId="77777777" w:rsidR="00746332" w:rsidRPr="00156704" w:rsidRDefault="00746332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2C3C0C37" w14:textId="77777777" w:rsidR="00746332" w:rsidRDefault="00746332" w:rsidP="00325A4A">
      <w:pPr>
        <w:keepNext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lang w:eastAsia="sv-SE"/>
        </w:rPr>
      </w:pPr>
      <w:r w:rsidRPr="00156704">
        <w:rPr>
          <w:rFonts w:ascii="Times New Roman" w:eastAsia="Times New Roman" w:hAnsi="Times New Roman" w:cs="Times New Roman"/>
          <w:b/>
          <w:bCs/>
          <w:highlight w:val="lightGray"/>
          <w:lang w:eastAsia="sv-SE"/>
        </w:rPr>
        <w:t>15.</w:t>
      </w:r>
      <w:r w:rsidRPr="00156704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r w:rsidRPr="00156704">
        <w:rPr>
          <w:rFonts w:ascii="Times New Roman" w:eastAsia="Times New Roman" w:hAnsi="Times New Roman" w:cs="Times New Roman"/>
          <w:b/>
          <w:bCs/>
          <w:lang w:eastAsia="sv-SE"/>
        </w:rPr>
        <w:tab/>
        <w:t>Zvláštní opatření pro zneškodňování nepoužitých přípravků nebo odpadu, pokud je jich třeba</w:t>
      </w:r>
    </w:p>
    <w:p w14:paraId="16AD70AD" w14:textId="77777777" w:rsidR="00645C33" w:rsidRPr="00156704" w:rsidRDefault="00645C33" w:rsidP="00325A4A">
      <w:pPr>
        <w:keepNext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i/>
          <w:iCs/>
          <w:lang w:eastAsia="sv-SE"/>
        </w:rPr>
      </w:pPr>
    </w:p>
    <w:p w14:paraId="16C85665" w14:textId="77777777" w:rsidR="00645C33" w:rsidRPr="00325A4A" w:rsidRDefault="00645C33" w:rsidP="00325A4A">
      <w:pPr>
        <w:spacing w:after="0" w:line="240" w:lineRule="auto"/>
        <w:ind w:right="-318"/>
        <w:rPr>
          <w:rFonts w:ascii="Times New Roman" w:hAnsi="Times New Roman" w:cs="Times New Roman"/>
        </w:rPr>
      </w:pPr>
      <w:r w:rsidRPr="00325A4A">
        <w:rPr>
          <w:rFonts w:ascii="Times New Roman" w:hAnsi="Times New Roman" w:cs="Times New Roman"/>
        </w:rPr>
        <w:t>Léčivé přípravky se nesmí likvidovat prostřednictvím odpadní vody či domovního odpadu.</w:t>
      </w:r>
    </w:p>
    <w:p w14:paraId="1EA7275A" w14:textId="77777777" w:rsidR="00746332" w:rsidRPr="00325A4A" w:rsidRDefault="00645C33" w:rsidP="00746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25A4A">
        <w:rPr>
          <w:rFonts w:ascii="Times New Roman" w:eastAsia="Times New Roman" w:hAnsi="Times New Roman" w:cs="Times New Roman"/>
          <w:lang w:eastAsia="cs-CZ"/>
        </w:rPr>
        <w:t>Všechen nepoužitý veterinární léčivý přípravek nebo odpad, který pochází z tohoto přípravku, musí být likvidován podle místních právních předpisů</w:t>
      </w:r>
      <w:r w:rsidRPr="00645C33">
        <w:rPr>
          <w:rFonts w:ascii="Times New Roman" w:eastAsia="Times New Roman" w:hAnsi="Times New Roman" w:cs="Times New Roman"/>
          <w:lang w:eastAsia="cs-CZ"/>
        </w:rPr>
        <w:t>.</w:t>
      </w:r>
    </w:p>
    <w:p w14:paraId="0D9D6630" w14:textId="77777777" w:rsidR="00746332" w:rsidRPr="00156704" w:rsidRDefault="00746332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sv-SE"/>
        </w:rPr>
      </w:pPr>
    </w:p>
    <w:p w14:paraId="6A6605A5" w14:textId="77777777" w:rsidR="00746332" w:rsidRPr="00156704" w:rsidRDefault="00746332" w:rsidP="0074633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sv-SE"/>
        </w:rPr>
      </w:pPr>
      <w:r w:rsidRPr="00156704">
        <w:rPr>
          <w:rFonts w:ascii="Times New Roman" w:eastAsia="Times New Roman" w:hAnsi="Times New Roman" w:cs="Times New Roman"/>
          <w:b/>
          <w:bCs/>
          <w:highlight w:val="lightGray"/>
          <w:lang w:eastAsia="sv-SE"/>
        </w:rPr>
        <w:t>16.</w:t>
      </w:r>
      <w:r w:rsidRPr="00156704">
        <w:rPr>
          <w:rFonts w:ascii="Times New Roman" w:eastAsia="Times New Roman" w:hAnsi="Times New Roman" w:cs="Times New Roman"/>
          <w:b/>
          <w:bCs/>
          <w:lang w:eastAsia="sv-SE"/>
        </w:rPr>
        <w:tab/>
        <w:t>Datum poslední revize příbalové informace</w:t>
      </w:r>
    </w:p>
    <w:p w14:paraId="66F36C59" w14:textId="77777777" w:rsidR="00746332" w:rsidRPr="00156704" w:rsidRDefault="00746332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v-SE"/>
        </w:rPr>
      </w:pPr>
    </w:p>
    <w:p w14:paraId="23907145" w14:textId="2167B14C" w:rsidR="00746332" w:rsidRPr="00156704" w:rsidRDefault="00325A4A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sv-SE"/>
        </w:rPr>
      </w:pPr>
      <w:r>
        <w:rPr>
          <w:rFonts w:ascii="Times New Roman" w:eastAsia="Times New Roman" w:hAnsi="Times New Roman" w:cs="Times New Roman"/>
          <w:iCs/>
          <w:lang w:eastAsia="sv-SE"/>
        </w:rPr>
        <w:t>Září</w:t>
      </w:r>
      <w:r w:rsidR="00645C33" w:rsidRPr="00156704">
        <w:rPr>
          <w:rFonts w:ascii="Times New Roman" w:eastAsia="Times New Roman" w:hAnsi="Times New Roman" w:cs="Times New Roman"/>
          <w:iCs/>
          <w:lang w:eastAsia="sv-SE"/>
        </w:rPr>
        <w:t xml:space="preserve"> </w:t>
      </w:r>
      <w:r w:rsidR="00C524F3" w:rsidRPr="00156704">
        <w:rPr>
          <w:rFonts w:ascii="Times New Roman" w:eastAsia="Times New Roman" w:hAnsi="Times New Roman" w:cs="Times New Roman"/>
          <w:iCs/>
          <w:lang w:eastAsia="sv-SE"/>
        </w:rPr>
        <w:t>2021</w:t>
      </w:r>
    </w:p>
    <w:p w14:paraId="77561CDC" w14:textId="77777777" w:rsidR="00850F3E" w:rsidRPr="00156704" w:rsidRDefault="00850F3E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sv-SE"/>
        </w:rPr>
      </w:pPr>
    </w:p>
    <w:p w14:paraId="3D9E17FC" w14:textId="77777777" w:rsidR="00746332" w:rsidRPr="00156704" w:rsidRDefault="00746332" w:rsidP="0074633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sv-SE"/>
        </w:rPr>
      </w:pPr>
      <w:r w:rsidRPr="00156704">
        <w:rPr>
          <w:rFonts w:ascii="Times New Roman" w:eastAsia="Times New Roman" w:hAnsi="Times New Roman" w:cs="Times New Roman"/>
          <w:b/>
          <w:bCs/>
          <w:highlight w:val="lightGray"/>
          <w:lang w:eastAsia="sv-SE"/>
        </w:rPr>
        <w:t>17.</w:t>
      </w:r>
      <w:r w:rsidR="00B777F0" w:rsidRPr="00156704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r w:rsidR="00B777F0" w:rsidRPr="00156704">
        <w:rPr>
          <w:rFonts w:ascii="Times New Roman" w:eastAsia="Times New Roman" w:hAnsi="Times New Roman" w:cs="Times New Roman"/>
          <w:b/>
          <w:bCs/>
          <w:lang w:eastAsia="sv-SE"/>
        </w:rPr>
        <w:tab/>
        <w:t>Další informace</w:t>
      </w:r>
    </w:p>
    <w:p w14:paraId="750B0652" w14:textId="50989A45" w:rsidR="00746332" w:rsidRDefault="00746332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9633498" w14:textId="2070E3A0" w:rsidR="00FC0B6F" w:rsidRDefault="00FC0B6F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Velikosti balení: 10 kg, 25 kg</w:t>
      </w:r>
    </w:p>
    <w:p w14:paraId="25D93CCE" w14:textId="300963AF" w:rsidR="00FC0B6F" w:rsidRDefault="00FC0B6F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Na trhu nemusí být všechny velikosti balení.</w:t>
      </w:r>
    </w:p>
    <w:p w14:paraId="2171DB3B" w14:textId="77777777" w:rsidR="00FC0B6F" w:rsidRPr="00156704" w:rsidRDefault="00FC0B6F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4D89945" w14:textId="77777777" w:rsidR="00746332" w:rsidRPr="00156704" w:rsidRDefault="00746332" w:rsidP="00746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v-SE"/>
        </w:rPr>
      </w:pPr>
      <w:r w:rsidRPr="00156704">
        <w:rPr>
          <w:rFonts w:ascii="Times New Roman" w:eastAsia="Times New Roman" w:hAnsi="Times New Roman" w:cs="Times New Roman"/>
          <w:color w:val="000000"/>
          <w:lang w:eastAsia="sv-SE"/>
        </w:rPr>
        <w:t>Pokud chcete získat informace o tomto veterinárním léčivém přípravku, kontaktujte prosím příslušného místního zástupce dr</w:t>
      </w:r>
      <w:r w:rsidR="00B777F0" w:rsidRPr="00156704">
        <w:rPr>
          <w:rFonts w:ascii="Times New Roman" w:eastAsia="Times New Roman" w:hAnsi="Times New Roman" w:cs="Times New Roman"/>
          <w:color w:val="000000"/>
          <w:lang w:eastAsia="sv-SE"/>
        </w:rPr>
        <w:t>žitele rozhodnutí o registraci.</w:t>
      </w:r>
      <w:r w:rsidRPr="00156704">
        <w:rPr>
          <w:rFonts w:ascii="Times New Roman" w:eastAsia="Times New Roman" w:hAnsi="Times New Roman" w:cs="Times New Roman"/>
          <w:color w:val="000000"/>
          <w:lang w:eastAsia="sv-SE"/>
        </w:rPr>
        <w:t xml:space="preserve"> </w:t>
      </w:r>
    </w:p>
    <w:p w14:paraId="747CB33F" w14:textId="77777777" w:rsidR="00746332" w:rsidRPr="00156704" w:rsidRDefault="00746332" w:rsidP="00746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6EF56727" w14:textId="77777777" w:rsidR="00B0152E" w:rsidRPr="00156704" w:rsidRDefault="00B0152E" w:rsidP="00B0152E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lang w:eastAsia="sv-SE"/>
        </w:rPr>
      </w:pPr>
      <w:bookmarkStart w:id="1" w:name="_Toc488408228"/>
      <w:bookmarkStart w:id="2" w:name="_Toc490657313"/>
      <w:r w:rsidRPr="00156704">
        <w:rPr>
          <w:rFonts w:ascii="Times New Roman" w:eastAsia="Times New Roman" w:hAnsi="Times New Roman" w:cs="Times New Roman"/>
          <w:color w:val="000000"/>
          <w:lang w:eastAsia="sv-SE"/>
        </w:rPr>
        <w:t>CEVA ANIMAL HEALTH SLOVAKIA, s.r.o.</w:t>
      </w:r>
    </w:p>
    <w:p w14:paraId="57833954" w14:textId="77777777" w:rsidR="00B0152E" w:rsidRPr="00156704" w:rsidRDefault="00B0152E" w:rsidP="00B0152E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lang w:eastAsia="sv-SE"/>
        </w:rPr>
      </w:pPr>
      <w:proofErr w:type="spellStart"/>
      <w:r w:rsidRPr="00156704">
        <w:rPr>
          <w:rFonts w:ascii="Times New Roman" w:eastAsia="Times New Roman" w:hAnsi="Times New Roman" w:cs="Times New Roman"/>
          <w:color w:val="000000"/>
          <w:lang w:eastAsia="sv-SE"/>
        </w:rPr>
        <w:t>Prievozská</w:t>
      </w:r>
      <w:proofErr w:type="spellEnd"/>
      <w:r w:rsidRPr="00156704">
        <w:rPr>
          <w:rFonts w:ascii="Times New Roman" w:eastAsia="Times New Roman" w:hAnsi="Times New Roman" w:cs="Times New Roman"/>
          <w:color w:val="000000"/>
          <w:lang w:eastAsia="sv-SE"/>
        </w:rPr>
        <w:t xml:space="preserve"> 5434/6A</w:t>
      </w:r>
    </w:p>
    <w:p w14:paraId="603B3696" w14:textId="77777777" w:rsidR="00B0152E" w:rsidRPr="00156704" w:rsidRDefault="00B0152E" w:rsidP="00B0152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sv-SE"/>
        </w:rPr>
      </w:pPr>
      <w:r w:rsidRPr="00156704">
        <w:rPr>
          <w:rFonts w:ascii="Times New Roman" w:eastAsia="Times New Roman" w:hAnsi="Times New Roman" w:cs="Times New Roman"/>
          <w:color w:val="000000"/>
          <w:lang w:eastAsia="sv-SE"/>
        </w:rPr>
        <w:t xml:space="preserve">821 09 Bratislava - </w:t>
      </w:r>
      <w:proofErr w:type="spellStart"/>
      <w:r w:rsidRPr="00156704">
        <w:rPr>
          <w:rFonts w:ascii="Times New Roman" w:eastAsia="Times New Roman" w:hAnsi="Times New Roman" w:cs="Times New Roman"/>
          <w:color w:val="000000"/>
          <w:lang w:eastAsia="sv-SE"/>
        </w:rPr>
        <w:t>mestská</w:t>
      </w:r>
      <w:proofErr w:type="spellEnd"/>
      <w:r w:rsidRPr="00156704">
        <w:rPr>
          <w:rFonts w:ascii="Times New Roman" w:eastAsia="Times New Roman" w:hAnsi="Times New Roman" w:cs="Times New Roman"/>
          <w:color w:val="000000"/>
          <w:lang w:eastAsia="sv-SE"/>
        </w:rPr>
        <w:t xml:space="preserve"> </w:t>
      </w:r>
      <w:proofErr w:type="spellStart"/>
      <w:r w:rsidRPr="00156704">
        <w:rPr>
          <w:rFonts w:ascii="Times New Roman" w:eastAsia="Times New Roman" w:hAnsi="Times New Roman" w:cs="Times New Roman"/>
          <w:color w:val="000000"/>
          <w:lang w:eastAsia="sv-SE"/>
        </w:rPr>
        <w:t>časť</w:t>
      </w:r>
      <w:proofErr w:type="spellEnd"/>
      <w:r w:rsidRPr="00156704">
        <w:rPr>
          <w:rFonts w:ascii="Times New Roman" w:eastAsia="Times New Roman" w:hAnsi="Times New Roman" w:cs="Times New Roman"/>
          <w:color w:val="000000"/>
          <w:lang w:eastAsia="sv-SE"/>
        </w:rPr>
        <w:t xml:space="preserve"> </w:t>
      </w:r>
      <w:proofErr w:type="spellStart"/>
      <w:r w:rsidRPr="00156704">
        <w:rPr>
          <w:rFonts w:ascii="Times New Roman" w:eastAsia="Times New Roman" w:hAnsi="Times New Roman" w:cs="Times New Roman"/>
          <w:color w:val="000000"/>
          <w:lang w:eastAsia="sv-SE"/>
        </w:rPr>
        <w:t>Ružinov</w:t>
      </w:r>
      <w:proofErr w:type="spellEnd"/>
      <w:r w:rsidRPr="00156704">
        <w:rPr>
          <w:rFonts w:ascii="Times New Roman" w:eastAsia="Times New Roman" w:hAnsi="Times New Roman" w:cs="Times New Roman"/>
          <w:color w:val="000000"/>
          <w:lang w:eastAsia="sv-SE"/>
        </w:rPr>
        <w:t>.</w:t>
      </w:r>
    </w:p>
    <w:bookmarkEnd w:id="1"/>
    <w:bookmarkEnd w:id="2"/>
    <w:p w14:paraId="5AAA07FC" w14:textId="77777777" w:rsidR="00746332" w:rsidRPr="00156704" w:rsidRDefault="00746332" w:rsidP="00746332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801332D" w14:textId="77777777" w:rsidR="00746332" w:rsidRPr="00156704" w:rsidRDefault="00746332" w:rsidP="00746332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71151D03" w14:textId="77777777" w:rsidR="00746332" w:rsidRPr="00156704" w:rsidRDefault="00746332" w:rsidP="00746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lang w:eastAsia="sv-SE"/>
        </w:rPr>
      </w:pPr>
      <w:r w:rsidRPr="00156704">
        <w:rPr>
          <w:rFonts w:ascii="Times New Roman" w:eastAsia="Times New Roman" w:hAnsi="Times New Roman" w:cs="Times New Roman"/>
          <w:b/>
          <w:lang w:eastAsia="sv-SE"/>
        </w:rPr>
        <w:t>18.</w:t>
      </w:r>
      <w:r w:rsidRPr="00156704">
        <w:rPr>
          <w:rFonts w:ascii="Times New Roman" w:eastAsia="Times New Roman" w:hAnsi="Times New Roman" w:cs="Times New Roman"/>
          <w:b/>
          <w:lang w:eastAsia="sv-SE"/>
        </w:rPr>
        <w:tab/>
        <w:t>Označení “Pouze pro zvířata” a podmínky nebo omezení týkající se výdeje a použití, pokud je jich třeba</w:t>
      </w:r>
    </w:p>
    <w:p w14:paraId="5206E9DC" w14:textId="77777777" w:rsidR="00746332" w:rsidRPr="00156704" w:rsidRDefault="00746332" w:rsidP="00746332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</w:p>
    <w:p w14:paraId="6E467ACE" w14:textId="77777777" w:rsidR="00746332" w:rsidRPr="00156704" w:rsidRDefault="00B777F0" w:rsidP="00746332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 w:rsidRPr="00156704">
        <w:rPr>
          <w:rFonts w:ascii="Times New Roman" w:eastAsia="Times New Roman" w:hAnsi="Times New Roman" w:cs="Times New Roman"/>
          <w:lang w:eastAsia="sv-SE"/>
        </w:rPr>
        <w:t xml:space="preserve">Pouze pro zvířata. </w:t>
      </w:r>
      <w:r w:rsidR="00746332" w:rsidRPr="00156704">
        <w:rPr>
          <w:rFonts w:ascii="Times New Roman" w:eastAsia="Times New Roman" w:hAnsi="Times New Roman" w:cs="Times New Roman"/>
          <w:lang w:eastAsia="sv-SE"/>
        </w:rPr>
        <w:t>Veterinární léčivý příprav</w:t>
      </w:r>
      <w:r w:rsidRPr="00156704">
        <w:rPr>
          <w:rFonts w:ascii="Times New Roman" w:eastAsia="Times New Roman" w:hAnsi="Times New Roman" w:cs="Times New Roman"/>
          <w:lang w:eastAsia="sv-SE"/>
        </w:rPr>
        <w:t>ek je vydáván pouze na předpis.</w:t>
      </w:r>
    </w:p>
    <w:p w14:paraId="20E22188" w14:textId="77777777" w:rsidR="00C54C5D" w:rsidRPr="00156704" w:rsidRDefault="00C54C5D" w:rsidP="00C54C5D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 w:rsidRPr="00156704">
        <w:rPr>
          <w:rFonts w:ascii="Times New Roman" w:eastAsia="Times New Roman" w:hAnsi="Times New Roman" w:cs="Times New Roman"/>
          <w:lang w:eastAsia="sv-SE"/>
        </w:rPr>
        <w:t>Musí být respektována úřední pravidla pro míchání medikovaných premixů do konečných krmiv.</w:t>
      </w:r>
    </w:p>
    <w:p w14:paraId="4327D05C" w14:textId="77777777" w:rsidR="00746332" w:rsidRPr="00156704" w:rsidRDefault="00746332" w:rsidP="00746332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</w:p>
    <w:p w14:paraId="697126D2" w14:textId="77777777" w:rsidR="00746332" w:rsidRPr="00156704" w:rsidRDefault="00746332" w:rsidP="00746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sv-SE"/>
        </w:rPr>
      </w:pPr>
      <w:r w:rsidRPr="00156704">
        <w:rPr>
          <w:rFonts w:ascii="Times New Roman" w:eastAsia="Times New Roman" w:hAnsi="Times New Roman" w:cs="Times New Roman"/>
          <w:b/>
          <w:lang w:eastAsia="sv-SE"/>
        </w:rPr>
        <w:t>19.</w:t>
      </w:r>
      <w:r w:rsidRPr="00156704">
        <w:rPr>
          <w:rFonts w:ascii="Times New Roman" w:eastAsia="Times New Roman" w:hAnsi="Times New Roman" w:cs="Times New Roman"/>
          <w:b/>
          <w:lang w:eastAsia="sv-SE"/>
        </w:rPr>
        <w:tab/>
        <w:t>Označení “Uchovávat mimo dohled a dosah dětí”</w:t>
      </w:r>
    </w:p>
    <w:p w14:paraId="34EB387B" w14:textId="77777777" w:rsidR="00746332" w:rsidRPr="00156704" w:rsidRDefault="00746332" w:rsidP="00746332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sv-SE"/>
        </w:rPr>
      </w:pPr>
    </w:p>
    <w:p w14:paraId="3EE299A1" w14:textId="77777777" w:rsidR="00746332" w:rsidRPr="00156704" w:rsidRDefault="00746332" w:rsidP="00746332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 w:rsidRPr="00156704">
        <w:rPr>
          <w:rFonts w:ascii="Times New Roman" w:eastAsia="Times New Roman" w:hAnsi="Times New Roman" w:cs="Times New Roman"/>
          <w:lang w:eastAsia="sv-SE"/>
        </w:rPr>
        <w:t>Uchovávat mimo dohled a dosah dětí.</w:t>
      </w:r>
    </w:p>
    <w:p w14:paraId="46F37625" w14:textId="77777777" w:rsidR="00746332" w:rsidRPr="00156704" w:rsidRDefault="00746332" w:rsidP="00746332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sv-SE"/>
        </w:rPr>
      </w:pPr>
    </w:p>
    <w:p w14:paraId="05083B91" w14:textId="77777777" w:rsidR="00746332" w:rsidRPr="00156704" w:rsidRDefault="00746332" w:rsidP="00746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sv-SE"/>
        </w:rPr>
      </w:pPr>
      <w:r w:rsidRPr="00156704">
        <w:rPr>
          <w:rFonts w:ascii="Times New Roman" w:eastAsia="Times New Roman" w:hAnsi="Times New Roman" w:cs="Times New Roman"/>
          <w:b/>
          <w:bCs/>
          <w:lang w:eastAsia="sv-SE"/>
        </w:rPr>
        <w:t>20.</w:t>
      </w:r>
      <w:r w:rsidRPr="00156704">
        <w:rPr>
          <w:rFonts w:ascii="Times New Roman" w:eastAsia="Times New Roman" w:hAnsi="Times New Roman" w:cs="Times New Roman"/>
          <w:b/>
          <w:bCs/>
          <w:lang w:eastAsia="sv-SE"/>
        </w:rPr>
        <w:tab/>
        <w:t>Datum exspirace</w:t>
      </w:r>
    </w:p>
    <w:p w14:paraId="27E1E027" w14:textId="77777777" w:rsidR="00746332" w:rsidRPr="00156704" w:rsidRDefault="00746332" w:rsidP="00746332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</w:p>
    <w:p w14:paraId="1F60EDAB" w14:textId="734208F3" w:rsidR="00746332" w:rsidRDefault="00FC0B6F" w:rsidP="00746332">
      <w:pPr>
        <w:spacing w:after="0" w:line="240" w:lineRule="auto"/>
        <w:rPr>
          <w:rFonts w:ascii="Times New Roman" w:eastAsia="Times New Roman" w:hAnsi="Times New Roman" w:cs="Times New Roman"/>
          <w:iCs/>
          <w:lang w:eastAsia="sv-SE"/>
        </w:rPr>
      </w:pPr>
      <w:r w:rsidRPr="00FC0B6F">
        <w:rPr>
          <w:rFonts w:ascii="Times New Roman" w:eastAsia="Times New Roman" w:hAnsi="Times New Roman" w:cs="Times New Roman"/>
          <w:iCs/>
          <w:lang w:eastAsia="sv-SE"/>
        </w:rPr>
        <w:t>EXP: {měsíc/rok}</w:t>
      </w:r>
    </w:p>
    <w:p w14:paraId="0218B4D9" w14:textId="77777777" w:rsidR="00FC0B6F" w:rsidRPr="00FC0B6F" w:rsidRDefault="00FC0B6F" w:rsidP="00FC0B6F">
      <w:pPr>
        <w:spacing w:after="0" w:line="240" w:lineRule="auto"/>
        <w:rPr>
          <w:rFonts w:ascii="Times New Roman" w:eastAsia="Times New Roman" w:hAnsi="Times New Roman" w:cs="Times New Roman"/>
          <w:iCs/>
          <w:lang w:eastAsia="sv-SE"/>
        </w:rPr>
      </w:pPr>
      <w:r w:rsidRPr="00FC0B6F">
        <w:rPr>
          <w:rFonts w:ascii="Times New Roman" w:eastAsia="Times New Roman" w:hAnsi="Times New Roman" w:cs="Times New Roman"/>
          <w:iCs/>
          <w:lang w:eastAsia="sv-SE"/>
        </w:rPr>
        <w:t>Doba použitelnosti po prvním otevření vnitřního obalu: 3 měsíce.</w:t>
      </w:r>
    </w:p>
    <w:p w14:paraId="475E48B4" w14:textId="30BA5DBF" w:rsidR="00FC0B6F" w:rsidRPr="00325A4A" w:rsidRDefault="00FC0B6F" w:rsidP="00FC0B6F">
      <w:pPr>
        <w:spacing w:after="0" w:line="240" w:lineRule="auto"/>
        <w:rPr>
          <w:rFonts w:ascii="Times New Roman" w:eastAsia="Times New Roman" w:hAnsi="Times New Roman" w:cs="Times New Roman"/>
          <w:iCs/>
          <w:lang w:eastAsia="sv-SE"/>
        </w:rPr>
      </w:pPr>
      <w:r w:rsidRPr="00FC0B6F">
        <w:rPr>
          <w:rFonts w:ascii="Times New Roman" w:eastAsia="Times New Roman" w:hAnsi="Times New Roman" w:cs="Times New Roman"/>
          <w:iCs/>
          <w:lang w:eastAsia="sv-SE"/>
        </w:rPr>
        <w:t xml:space="preserve">Doba použitelnosti po zamíchání do </w:t>
      </w:r>
      <w:r w:rsidR="00480866">
        <w:rPr>
          <w:rFonts w:ascii="Times New Roman" w:eastAsia="Times New Roman" w:hAnsi="Times New Roman" w:cs="Times New Roman"/>
          <w:iCs/>
          <w:lang w:eastAsia="sv-SE"/>
        </w:rPr>
        <w:t>sypkého</w:t>
      </w:r>
      <w:r w:rsidRPr="00FC0B6F">
        <w:rPr>
          <w:rFonts w:ascii="Times New Roman" w:eastAsia="Times New Roman" w:hAnsi="Times New Roman" w:cs="Times New Roman"/>
          <w:iCs/>
          <w:lang w:eastAsia="sv-SE"/>
        </w:rPr>
        <w:t xml:space="preserve"> nebo peletovaného krmiva: 4 měsíce.</w:t>
      </w:r>
    </w:p>
    <w:p w14:paraId="648A871F" w14:textId="77777777" w:rsidR="00746332" w:rsidRPr="00156704" w:rsidRDefault="00746332" w:rsidP="00746332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sv-SE"/>
        </w:rPr>
      </w:pPr>
    </w:p>
    <w:p w14:paraId="316E8D79" w14:textId="77777777" w:rsidR="00746332" w:rsidRPr="00156704" w:rsidRDefault="00746332" w:rsidP="00746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sv-SE"/>
        </w:rPr>
      </w:pPr>
      <w:r w:rsidRPr="00156704">
        <w:rPr>
          <w:rFonts w:ascii="Times New Roman" w:eastAsia="Times New Roman" w:hAnsi="Times New Roman" w:cs="Times New Roman"/>
          <w:b/>
          <w:bCs/>
          <w:lang w:eastAsia="sv-SE"/>
        </w:rPr>
        <w:t>21.</w:t>
      </w:r>
      <w:r w:rsidRPr="00156704">
        <w:rPr>
          <w:rFonts w:ascii="Times New Roman" w:eastAsia="Times New Roman" w:hAnsi="Times New Roman" w:cs="Times New Roman"/>
          <w:b/>
          <w:bCs/>
          <w:lang w:eastAsia="sv-SE"/>
        </w:rPr>
        <w:tab/>
        <w:t>Registrační číslo(a)</w:t>
      </w:r>
    </w:p>
    <w:p w14:paraId="7936334B" w14:textId="77777777" w:rsidR="00645C33" w:rsidRDefault="00645C33" w:rsidP="003B557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F5ACA5E" w14:textId="77777777" w:rsidR="00746332" w:rsidRPr="00156704" w:rsidRDefault="003B5575" w:rsidP="003B557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156704">
        <w:rPr>
          <w:rFonts w:ascii="Times New Roman" w:eastAsia="Times New Roman" w:hAnsi="Times New Roman" w:cs="Times New Roman"/>
          <w:lang w:eastAsia="cs-CZ"/>
        </w:rPr>
        <w:t>98/001/05-C</w:t>
      </w:r>
    </w:p>
    <w:p w14:paraId="49125762" w14:textId="77777777" w:rsidR="00746332" w:rsidRPr="00156704" w:rsidRDefault="00746332" w:rsidP="00746332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</w:p>
    <w:p w14:paraId="5FAF1F45" w14:textId="77777777" w:rsidR="00746332" w:rsidRPr="00156704" w:rsidRDefault="00746332" w:rsidP="00746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sv-SE"/>
        </w:rPr>
      </w:pPr>
      <w:r w:rsidRPr="00156704">
        <w:rPr>
          <w:rFonts w:ascii="Times New Roman" w:eastAsia="Times New Roman" w:hAnsi="Times New Roman" w:cs="Times New Roman"/>
          <w:b/>
          <w:bCs/>
          <w:lang w:eastAsia="sv-SE"/>
        </w:rPr>
        <w:t>22. Číslo šarže od výrobce</w:t>
      </w:r>
    </w:p>
    <w:p w14:paraId="5C4F7DA5" w14:textId="77777777" w:rsidR="00746332" w:rsidRPr="00156704" w:rsidRDefault="00746332" w:rsidP="007463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sv-SE"/>
        </w:rPr>
      </w:pPr>
    </w:p>
    <w:p w14:paraId="70940C23" w14:textId="77777777" w:rsidR="00746332" w:rsidRPr="00156704" w:rsidRDefault="00746332" w:rsidP="00746332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 w:rsidRPr="00156704">
        <w:rPr>
          <w:rFonts w:ascii="Times New Roman" w:eastAsia="Times New Roman" w:hAnsi="Times New Roman" w:cs="Times New Roman"/>
          <w:lang w:eastAsia="sv-SE"/>
        </w:rPr>
        <w:t>&lt;Šarže&gt; &lt;</w:t>
      </w:r>
      <w:proofErr w:type="spellStart"/>
      <w:r w:rsidRPr="00156704">
        <w:rPr>
          <w:rFonts w:ascii="Times New Roman" w:eastAsia="Times New Roman" w:hAnsi="Times New Roman" w:cs="Times New Roman"/>
          <w:lang w:eastAsia="sv-SE"/>
        </w:rPr>
        <w:t>Č.š</w:t>
      </w:r>
      <w:proofErr w:type="spellEnd"/>
      <w:r w:rsidRPr="00156704">
        <w:rPr>
          <w:rFonts w:ascii="Times New Roman" w:eastAsia="Times New Roman" w:hAnsi="Times New Roman" w:cs="Times New Roman"/>
          <w:lang w:eastAsia="sv-SE"/>
        </w:rPr>
        <w:t>.:&gt; {číslo}</w:t>
      </w:r>
    </w:p>
    <w:p w14:paraId="7AA29BD0" w14:textId="77777777" w:rsidR="00746332" w:rsidRPr="00156704" w:rsidRDefault="00746332" w:rsidP="00746332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3848506" w14:textId="77777777" w:rsidR="00635334" w:rsidRPr="00156704" w:rsidRDefault="00635334">
      <w:pPr>
        <w:rPr>
          <w:rFonts w:ascii="Times New Roman" w:hAnsi="Times New Roman" w:cs="Times New Roman"/>
          <w:lang w:val="en-GB"/>
        </w:rPr>
      </w:pPr>
    </w:p>
    <w:sectPr w:rsidR="00635334" w:rsidRPr="00156704" w:rsidSect="004F4C53">
      <w:headerReference w:type="default" r:id="rId10"/>
      <w:footerReference w:type="default" r:id="rId11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C0ADF" w14:textId="77777777" w:rsidR="005C5776" w:rsidRDefault="005C5776" w:rsidP="00746332">
      <w:pPr>
        <w:spacing w:after="0" w:line="240" w:lineRule="auto"/>
      </w:pPr>
      <w:r>
        <w:separator/>
      </w:r>
    </w:p>
  </w:endnote>
  <w:endnote w:type="continuationSeparator" w:id="0">
    <w:p w14:paraId="2A0802A6" w14:textId="77777777" w:rsidR="005C5776" w:rsidRDefault="005C5776" w:rsidP="0074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6C889" w14:textId="77777777" w:rsidR="00EB2851" w:rsidRDefault="0074633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1EAAD9" wp14:editId="3A8D0446">
              <wp:simplePos x="0" y="0"/>
              <wp:positionH relativeFrom="column">
                <wp:posOffset>2691130</wp:posOffset>
              </wp:positionH>
              <wp:positionV relativeFrom="paragraph">
                <wp:posOffset>51435</wp:posOffset>
              </wp:positionV>
              <wp:extent cx="1419225" cy="554990"/>
              <wp:effectExtent l="0" t="3810" r="4445" b="3175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225" cy="554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E9C92C" w14:textId="77777777" w:rsidR="00EB2851" w:rsidRPr="00AA27C1" w:rsidRDefault="005C5776" w:rsidP="0090193C">
                          <w:pPr>
                            <w:rPr>
                              <w:rFonts w:cs="Calibri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331EAAD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211.9pt;margin-top:4.05pt;width:111.75pt;height:4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" filled="f" stroked="f">
              <v:textbox>
                <w:txbxContent>
                  <w:p w14:paraId="4EE9C92C" w14:textId="77777777" w:rsidR="00EB2851" w:rsidRPr="00AA27C1" w:rsidRDefault="00D85B8A" w:rsidP="0090193C">
                    <w:pPr>
                      <w:rPr>
                        <w:rFonts w:cs="Calibri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42714" w14:textId="77777777" w:rsidR="005C5776" w:rsidRDefault="005C5776" w:rsidP="00746332">
      <w:pPr>
        <w:spacing w:after="0" w:line="240" w:lineRule="auto"/>
      </w:pPr>
      <w:r>
        <w:separator/>
      </w:r>
    </w:p>
  </w:footnote>
  <w:footnote w:type="continuationSeparator" w:id="0">
    <w:p w14:paraId="0F1F22C2" w14:textId="77777777" w:rsidR="005C5776" w:rsidRDefault="005C5776" w:rsidP="0074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EC65A" w14:textId="53B1F797" w:rsidR="00EB2851" w:rsidRPr="00FA388A" w:rsidRDefault="00ED66FC" w:rsidP="00FA388A">
    <w:r>
      <w:t xml:space="preserve"> </w:t>
    </w:r>
  </w:p>
  <w:p w14:paraId="209C22E5" w14:textId="77777777" w:rsidR="00EB2851" w:rsidRDefault="005C57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B2F19"/>
    <w:multiLevelType w:val="hybridMultilevel"/>
    <w:tmpl w:val="3E9C50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B48D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šková Zdenka">
    <w15:presenceInfo w15:providerId="AD" w15:userId="S-1-5-21-1482476501-1326574676-839522115-36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332"/>
    <w:rsid w:val="00014D33"/>
    <w:rsid w:val="000216D7"/>
    <w:rsid w:val="00067B27"/>
    <w:rsid w:val="00130D0D"/>
    <w:rsid w:val="00156704"/>
    <w:rsid w:val="001827D4"/>
    <w:rsid w:val="00191F31"/>
    <w:rsid w:val="00285518"/>
    <w:rsid w:val="00325A4A"/>
    <w:rsid w:val="00330F57"/>
    <w:rsid w:val="0037374D"/>
    <w:rsid w:val="00373940"/>
    <w:rsid w:val="00376116"/>
    <w:rsid w:val="003B5575"/>
    <w:rsid w:val="0040700D"/>
    <w:rsid w:val="004207DB"/>
    <w:rsid w:val="0046591A"/>
    <w:rsid w:val="00480866"/>
    <w:rsid w:val="00482D87"/>
    <w:rsid w:val="00543FD9"/>
    <w:rsid w:val="005466AD"/>
    <w:rsid w:val="0057790A"/>
    <w:rsid w:val="005C5776"/>
    <w:rsid w:val="00635334"/>
    <w:rsid w:val="00645C33"/>
    <w:rsid w:val="00746332"/>
    <w:rsid w:val="007E4148"/>
    <w:rsid w:val="00850F3E"/>
    <w:rsid w:val="00857FDA"/>
    <w:rsid w:val="008D06F3"/>
    <w:rsid w:val="008F286B"/>
    <w:rsid w:val="00A1775A"/>
    <w:rsid w:val="00B0152E"/>
    <w:rsid w:val="00B474B0"/>
    <w:rsid w:val="00B777F0"/>
    <w:rsid w:val="00B96FEA"/>
    <w:rsid w:val="00BB1A2D"/>
    <w:rsid w:val="00BD1C6B"/>
    <w:rsid w:val="00BE1639"/>
    <w:rsid w:val="00C524F3"/>
    <w:rsid w:val="00C54C5D"/>
    <w:rsid w:val="00C71064"/>
    <w:rsid w:val="00D01423"/>
    <w:rsid w:val="00D60F4C"/>
    <w:rsid w:val="00D67645"/>
    <w:rsid w:val="00D85B8A"/>
    <w:rsid w:val="00DD4B74"/>
    <w:rsid w:val="00E23B4A"/>
    <w:rsid w:val="00E71936"/>
    <w:rsid w:val="00EA664F"/>
    <w:rsid w:val="00ED66FC"/>
    <w:rsid w:val="00F36BE0"/>
    <w:rsid w:val="00F55D49"/>
    <w:rsid w:val="00F56CE9"/>
    <w:rsid w:val="00FB1D03"/>
    <w:rsid w:val="00FC0B6F"/>
    <w:rsid w:val="00FE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756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4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46332"/>
  </w:style>
  <w:style w:type="paragraph" w:styleId="Zpat">
    <w:name w:val="footer"/>
    <w:basedOn w:val="Normln"/>
    <w:link w:val="ZpatChar"/>
    <w:uiPriority w:val="99"/>
    <w:unhideWhenUsed/>
    <w:rsid w:val="0074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6332"/>
  </w:style>
  <w:style w:type="paragraph" w:styleId="Textbubliny">
    <w:name w:val="Balloon Text"/>
    <w:basedOn w:val="Normln"/>
    <w:link w:val="TextbublinyChar"/>
    <w:uiPriority w:val="99"/>
    <w:semiHidden/>
    <w:unhideWhenUsed/>
    <w:rsid w:val="0074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6332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014D33"/>
    <w:rPr>
      <w:sz w:val="16"/>
      <w:szCs w:val="16"/>
    </w:rPr>
  </w:style>
  <w:style w:type="paragraph" w:styleId="Textkomente">
    <w:name w:val="annotation text"/>
    <w:basedOn w:val="Normln"/>
    <w:link w:val="TextkomenteChar"/>
    <w:rsid w:val="00014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014D3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E7193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719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">
    <w:name w:val="Text"/>
    <w:basedOn w:val="Normln"/>
    <w:rsid w:val="00E71936"/>
    <w:pPr>
      <w:spacing w:before="120" w:after="0" w:line="240" w:lineRule="auto"/>
      <w:jc w:val="both"/>
    </w:pPr>
    <w:rPr>
      <w:rFonts w:ascii="Arial" w:eastAsia="Times New Roman" w:hAnsi="Arial" w:cs="Times New Roman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4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46332"/>
  </w:style>
  <w:style w:type="paragraph" w:styleId="Zpat">
    <w:name w:val="footer"/>
    <w:basedOn w:val="Normln"/>
    <w:link w:val="ZpatChar"/>
    <w:uiPriority w:val="99"/>
    <w:unhideWhenUsed/>
    <w:rsid w:val="0074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6332"/>
  </w:style>
  <w:style w:type="paragraph" w:styleId="Textbubliny">
    <w:name w:val="Balloon Text"/>
    <w:basedOn w:val="Normln"/>
    <w:link w:val="TextbublinyChar"/>
    <w:uiPriority w:val="99"/>
    <w:semiHidden/>
    <w:unhideWhenUsed/>
    <w:rsid w:val="0074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6332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014D33"/>
    <w:rPr>
      <w:sz w:val="16"/>
      <w:szCs w:val="16"/>
    </w:rPr>
  </w:style>
  <w:style w:type="paragraph" w:styleId="Textkomente">
    <w:name w:val="annotation text"/>
    <w:basedOn w:val="Normln"/>
    <w:link w:val="TextkomenteChar"/>
    <w:rsid w:val="00014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014D3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E7193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719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">
    <w:name w:val="Text"/>
    <w:basedOn w:val="Normln"/>
    <w:rsid w:val="00E71936"/>
    <w:pPr>
      <w:spacing w:before="120" w:after="0" w:line="240" w:lineRule="auto"/>
      <w:jc w:val="both"/>
    </w:pPr>
    <w:rPr>
      <w:rFonts w:ascii="Arial" w:eastAsia="Times New Roman" w:hAnsi="Arial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uskvbl.cz/cs/farmakovigilance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27F77-3D1B-4398-86D7-307DB862E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1172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ÚSKVBL</Company>
  <LinksUpToDate>false</LinksUpToDate>
  <CharactersWithSpaces>8077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Mašková Zdenka</dc:creator>
  <cp:lastModifiedBy>Pokludová Lucie</cp:lastModifiedBy>
  <cp:revision>8</cp:revision>
  <dcterms:created xsi:type="dcterms:W3CDTF">2021-08-30T05:44:00Z</dcterms:created>
  <dcterms:modified xsi:type="dcterms:W3CDTF">2021-09-09T11:05:00Z</dcterms:modified>
</cp:coreProperties>
</file>