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1D2D2" w14:textId="6F34190A" w:rsidR="00C9023E" w:rsidRDefault="00C9023E">
      <w:pPr>
        <w:pStyle w:val="StylZarovnatdoblokuDolejednoduchAutomatick075b"/>
        <w:rPr>
          <w:szCs w:val="24"/>
        </w:rPr>
      </w:pPr>
    </w:p>
    <w:p w14:paraId="22C196F6" w14:textId="77777777" w:rsidR="002D7BCB" w:rsidRPr="00DA183D" w:rsidRDefault="002D7BCB">
      <w:pPr>
        <w:jc w:val="center"/>
        <w:rPr>
          <w:b/>
          <w:bCs/>
          <w:szCs w:val="24"/>
        </w:rPr>
      </w:pPr>
      <w:r w:rsidRPr="00DA183D">
        <w:rPr>
          <w:b/>
          <w:bCs/>
          <w:szCs w:val="24"/>
        </w:rPr>
        <w:t>PŘÍBALOVÁ INFORMACE</w:t>
      </w:r>
      <w:r w:rsidR="00F705C2" w:rsidRPr="00DA183D">
        <w:rPr>
          <w:b/>
          <w:bCs/>
          <w:szCs w:val="24"/>
        </w:rPr>
        <w:t>:</w:t>
      </w:r>
    </w:p>
    <w:p w14:paraId="77C91895" w14:textId="77777777" w:rsidR="00F705C2" w:rsidRPr="00DA183D" w:rsidRDefault="00F705C2" w:rsidP="00F705C2">
      <w:pPr>
        <w:widowControl w:val="0"/>
        <w:spacing w:line="240" w:lineRule="atLeast"/>
        <w:jc w:val="center"/>
        <w:rPr>
          <w:szCs w:val="24"/>
        </w:rPr>
      </w:pPr>
      <w:r w:rsidRPr="00DA183D">
        <w:rPr>
          <w:szCs w:val="24"/>
        </w:rPr>
        <w:t>OXTRA LA 200 mg/ml injekční roztok</w:t>
      </w:r>
    </w:p>
    <w:p w14:paraId="497C0041" w14:textId="77777777" w:rsidR="002D7BCB" w:rsidRPr="00DA183D" w:rsidRDefault="002D7BCB">
      <w:pPr>
        <w:ind w:left="567" w:right="113" w:hanging="567"/>
        <w:rPr>
          <w:szCs w:val="24"/>
        </w:rPr>
      </w:pPr>
    </w:p>
    <w:p w14:paraId="352292E2" w14:textId="77777777" w:rsidR="002D7BCB" w:rsidRPr="00DA183D" w:rsidRDefault="002D7BCB">
      <w:pPr>
        <w:ind w:left="567" w:hanging="567"/>
        <w:rPr>
          <w:b/>
          <w:szCs w:val="24"/>
        </w:rPr>
      </w:pPr>
      <w:r w:rsidRPr="00DA183D">
        <w:rPr>
          <w:b/>
          <w:szCs w:val="24"/>
          <w:highlight w:val="lightGray"/>
        </w:rPr>
        <w:t>1.</w:t>
      </w:r>
      <w:r w:rsidRPr="00DA183D">
        <w:rPr>
          <w:b/>
          <w:szCs w:val="24"/>
        </w:rPr>
        <w:tab/>
        <w:t>JMÉNO A ADRESA DRŽITELE ROZHODNUTÍ O REGISTRACI A DRŽITELE POVOLENÍ K VÝROBĚ ODPOVĚDNÉHO ZA UVOLNĚNÍ ŠARŽE, POKUD SE NESHODUJE</w:t>
      </w:r>
      <w:r w:rsidR="00F705C2" w:rsidRPr="00DA183D">
        <w:rPr>
          <w:b/>
          <w:szCs w:val="24"/>
        </w:rPr>
        <w:t>:</w:t>
      </w:r>
    </w:p>
    <w:p w14:paraId="0A69B6B4" w14:textId="77777777" w:rsidR="002D7BCB" w:rsidRPr="00DA183D" w:rsidRDefault="002D7BCB">
      <w:pPr>
        <w:ind w:left="567" w:hanging="567"/>
        <w:rPr>
          <w:szCs w:val="24"/>
        </w:rPr>
      </w:pPr>
    </w:p>
    <w:p w14:paraId="1492DFA0" w14:textId="77777777" w:rsidR="00F705C2" w:rsidRPr="00DA183D" w:rsidRDefault="00F705C2">
      <w:pPr>
        <w:rPr>
          <w:bCs/>
          <w:szCs w:val="24"/>
        </w:rPr>
      </w:pPr>
      <w:r w:rsidRPr="00DA183D">
        <w:rPr>
          <w:bCs/>
          <w:szCs w:val="24"/>
        </w:rPr>
        <w:t xml:space="preserve">Držitel rozhodnutí o registraci a výrobce odpovědný za uvolnění šarže: </w:t>
      </w:r>
    </w:p>
    <w:p w14:paraId="6199B47F" w14:textId="29D80D3C" w:rsidR="002D7BCB" w:rsidRPr="00DA183D" w:rsidRDefault="002D7BCB">
      <w:pPr>
        <w:rPr>
          <w:szCs w:val="24"/>
        </w:rPr>
      </w:pPr>
      <w:r w:rsidRPr="00DA183D">
        <w:rPr>
          <w:bCs/>
          <w:szCs w:val="24"/>
        </w:rPr>
        <w:t>F</w:t>
      </w:r>
      <w:r w:rsidR="00F705C2" w:rsidRPr="00DA183D">
        <w:rPr>
          <w:bCs/>
          <w:szCs w:val="24"/>
        </w:rPr>
        <w:t>ATRO,</w:t>
      </w:r>
      <w:r w:rsidRPr="00DA183D">
        <w:rPr>
          <w:bCs/>
          <w:szCs w:val="24"/>
        </w:rPr>
        <w:t xml:space="preserve"> </w:t>
      </w:r>
      <w:proofErr w:type="spellStart"/>
      <w:r w:rsidRPr="00DA183D">
        <w:rPr>
          <w:bCs/>
          <w:szCs w:val="24"/>
        </w:rPr>
        <w:t>S.p.A</w:t>
      </w:r>
      <w:proofErr w:type="spellEnd"/>
      <w:r w:rsidRPr="00DA183D">
        <w:rPr>
          <w:bCs/>
          <w:szCs w:val="24"/>
        </w:rPr>
        <w:t xml:space="preserve">., </w:t>
      </w:r>
      <w:r w:rsidR="00F705C2" w:rsidRPr="00DA183D">
        <w:rPr>
          <w:bCs/>
          <w:szCs w:val="24"/>
        </w:rPr>
        <w:t xml:space="preserve">Via Emilia 285, 40064 </w:t>
      </w:r>
      <w:proofErr w:type="spellStart"/>
      <w:r w:rsidRPr="00DA183D">
        <w:rPr>
          <w:bCs/>
          <w:szCs w:val="24"/>
        </w:rPr>
        <w:t>Ozzano</w:t>
      </w:r>
      <w:proofErr w:type="spellEnd"/>
      <w:r w:rsidRPr="00DA183D">
        <w:rPr>
          <w:bCs/>
          <w:szCs w:val="24"/>
        </w:rPr>
        <w:t xml:space="preserve"> </w:t>
      </w:r>
      <w:proofErr w:type="gramStart"/>
      <w:r w:rsidRPr="00DA183D">
        <w:rPr>
          <w:bCs/>
          <w:szCs w:val="24"/>
        </w:rPr>
        <w:t>Emilia  (</w:t>
      </w:r>
      <w:proofErr w:type="gramEnd"/>
      <w:r w:rsidRPr="00DA183D">
        <w:rPr>
          <w:bCs/>
          <w:szCs w:val="24"/>
        </w:rPr>
        <w:t>Bologna), Itálie</w:t>
      </w:r>
    </w:p>
    <w:p w14:paraId="60AE4EE4" w14:textId="77777777" w:rsidR="002D7BCB" w:rsidRPr="00DA183D" w:rsidRDefault="002D7BCB">
      <w:pPr>
        <w:ind w:right="113"/>
        <w:rPr>
          <w:szCs w:val="24"/>
        </w:rPr>
      </w:pPr>
    </w:p>
    <w:p w14:paraId="1A156A1B" w14:textId="77777777" w:rsidR="002D7BCB" w:rsidRPr="00DA183D" w:rsidRDefault="002D7BCB">
      <w:pPr>
        <w:ind w:right="113"/>
        <w:rPr>
          <w:szCs w:val="24"/>
        </w:rPr>
      </w:pPr>
      <w:r w:rsidRPr="00DA183D">
        <w:rPr>
          <w:b/>
          <w:bCs/>
          <w:szCs w:val="24"/>
          <w:highlight w:val="lightGray"/>
        </w:rPr>
        <w:t>2.</w:t>
      </w:r>
      <w:r w:rsidRPr="00DA183D">
        <w:rPr>
          <w:b/>
          <w:bCs/>
          <w:szCs w:val="24"/>
        </w:rPr>
        <w:tab/>
        <w:t>NÁZEV VETERINÁRNÍHO LÉČIVÉHO PŘÍPRAVKU</w:t>
      </w:r>
    </w:p>
    <w:p w14:paraId="42944927" w14:textId="77777777" w:rsidR="002D7BCB" w:rsidRPr="00DA183D" w:rsidRDefault="002D7BCB">
      <w:pPr>
        <w:rPr>
          <w:szCs w:val="24"/>
        </w:rPr>
      </w:pPr>
    </w:p>
    <w:p w14:paraId="4DC7319D" w14:textId="77777777" w:rsidR="002D7BCB" w:rsidRPr="00DA183D" w:rsidRDefault="002D7BCB" w:rsidP="005135EE">
      <w:pPr>
        <w:widowControl w:val="0"/>
        <w:spacing w:line="240" w:lineRule="atLeast"/>
        <w:rPr>
          <w:szCs w:val="24"/>
        </w:rPr>
      </w:pPr>
      <w:r w:rsidRPr="00DA183D">
        <w:rPr>
          <w:szCs w:val="24"/>
        </w:rPr>
        <w:t>OXTRA LA 200 mg/ml injekční roztok</w:t>
      </w:r>
    </w:p>
    <w:p w14:paraId="6DC722B5" w14:textId="3D1A52D5" w:rsidR="002D7BCB" w:rsidRPr="00DA183D" w:rsidRDefault="002D7BCB" w:rsidP="005135EE">
      <w:pPr>
        <w:widowControl w:val="0"/>
        <w:spacing w:line="240" w:lineRule="atLeast"/>
        <w:rPr>
          <w:szCs w:val="24"/>
        </w:rPr>
      </w:pPr>
      <w:proofErr w:type="spellStart"/>
      <w:r w:rsidRPr="00DA183D">
        <w:rPr>
          <w:szCs w:val="24"/>
        </w:rPr>
        <w:t>Oxytetracyclinum</w:t>
      </w:r>
      <w:proofErr w:type="spellEnd"/>
    </w:p>
    <w:p w14:paraId="0B8B6F52" w14:textId="77777777" w:rsidR="002D7BCB" w:rsidRPr="00DA183D" w:rsidRDefault="002D7BCB">
      <w:pPr>
        <w:pStyle w:val="StylZarovnatdoblokuDolejednoduchAutomatick075b"/>
        <w:widowControl w:val="0"/>
        <w:spacing w:line="240" w:lineRule="atLeast"/>
        <w:rPr>
          <w:szCs w:val="24"/>
        </w:rPr>
      </w:pPr>
    </w:p>
    <w:p w14:paraId="7F3A501D" w14:textId="77777777" w:rsidR="002D7BCB" w:rsidRPr="00DA183D" w:rsidRDefault="002D7BCB">
      <w:pPr>
        <w:ind w:left="567" w:hanging="567"/>
        <w:rPr>
          <w:b/>
          <w:bCs/>
          <w:szCs w:val="24"/>
        </w:rPr>
      </w:pPr>
      <w:r w:rsidRPr="00DA183D">
        <w:rPr>
          <w:b/>
          <w:bCs/>
          <w:szCs w:val="24"/>
          <w:highlight w:val="lightGray"/>
        </w:rPr>
        <w:t>3.</w:t>
      </w:r>
      <w:r w:rsidRPr="00DA183D">
        <w:rPr>
          <w:b/>
          <w:bCs/>
          <w:szCs w:val="24"/>
        </w:rPr>
        <w:tab/>
        <w:t xml:space="preserve">OBSAH LÉČIVÝCH A OSTATNÍCH LÁTEK </w:t>
      </w:r>
    </w:p>
    <w:p w14:paraId="7B2052A1" w14:textId="77777777" w:rsidR="000C39EC" w:rsidRPr="00DA183D" w:rsidRDefault="000C39EC">
      <w:pPr>
        <w:widowControl w:val="0"/>
        <w:spacing w:line="240" w:lineRule="atLeast"/>
        <w:rPr>
          <w:szCs w:val="24"/>
        </w:rPr>
      </w:pPr>
    </w:p>
    <w:p w14:paraId="220EF27C" w14:textId="77777777" w:rsidR="002D7BCB" w:rsidRPr="00DA183D" w:rsidRDefault="002D7BCB">
      <w:pPr>
        <w:widowControl w:val="0"/>
        <w:spacing w:line="240" w:lineRule="atLeast"/>
        <w:rPr>
          <w:szCs w:val="24"/>
        </w:rPr>
      </w:pPr>
      <w:r w:rsidRPr="00DA183D">
        <w:rPr>
          <w:szCs w:val="24"/>
        </w:rPr>
        <w:t xml:space="preserve">1 ml obsahuje: </w:t>
      </w:r>
    </w:p>
    <w:p w14:paraId="727C6358" w14:textId="77777777" w:rsidR="00537C64" w:rsidRPr="00DA183D" w:rsidRDefault="00537C64" w:rsidP="00537C64">
      <w:pPr>
        <w:rPr>
          <w:b/>
          <w:bCs/>
          <w:szCs w:val="24"/>
        </w:rPr>
      </w:pPr>
      <w:r w:rsidRPr="00DA183D">
        <w:rPr>
          <w:b/>
          <w:bCs/>
          <w:szCs w:val="24"/>
        </w:rPr>
        <w:t>Léčivá látka:</w:t>
      </w:r>
    </w:p>
    <w:p w14:paraId="28FC180A" w14:textId="77777777" w:rsidR="00537C64" w:rsidRPr="00DA183D" w:rsidRDefault="00537C64" w:rsidP="00537C64">
      <w:pPr>
        <w:rPr>
          <w:szCs w:val="24"/>
        </w:rPr>
      </w:pPr>
      <w:proofErr w:type="spellStart"/>
      <w:r w:rsidRPr="00DA183D">
        <w:rPr>
          <w:szCs w:val="24"/>
        </w:rPr>
        <w:t>Oxytetracyclinum</w:t>
      </w:r>
      <w:proofErr w:type="spellEnd"/>
      <w:r w:rsidRPr="00DA183D">
        <w:rPr>
          <w:szCs w:val="24"/>
        </w:rPr>
        <w:t xml:space="preserve">                                 200 mg</w:t>
      </w:r>
    </w:p>
    <w:p w14:paraId="6A32EEDA" w14:textId="24E444CC" w:rsidR="00920F46" w:rsidRPr="00DA183D" w:rsidRDefault="00920F46" w:rsidP="00920F46">
      <w:pPr>
        <w:rPr>
          <w:szCs w:val="24"/>
        </w:rPr>
      </w:pPr>
      <w:r w:rsidRPr="00DA183D">
        <w:rPr>
          <w:szCs w:val="24"/>
        </w:rPr>
        <w:t>(</w:t>
      </w:r>
      <w:r w:rsidR="0043740C" w:rsidRPr="00DA183D">
        <w:rPr>
          <w:szCs w:val="24"/>
        </w:rPr>
        <w:t xml:space="preserve">jako </w:t>
      </w:r>
      <w:proofErr w:type="spellStart"/>
      <w:r w:rsidRPr="00DA183D">
        <w:rPr>
          <w:szCs w:val="24"/>
        </w:rPr>
        <w:t>Oxytetracyclinum</w:t>
      </w:r>
      <w:proofErr w:type="spellEnd"/>
      <w:r w:rsidRPr="00DA183D">
        <w:rPr>
          <w:szCs w:val="24"/>
        </w:rPr>
        <w:t xml:space="preserve"> </w:t>
      </w:r>
      <w:proofErr w:type="spellStart"/>
      <w:r w:rsidR="00A10BE4" w:rsidRPr="00DA183D">
        <w:rPr>
          <w:szCs w:val="24"/>
        </w:rPr>
        <w:t>hydrochloridum</w:t>
      </w:r>
      <w:proofErr w:type="spellEnd"/>
      <w:r w:rsidR="00A10BE4" w:rsidRPr="00DA183D">
        <w:rPr>
          <w:szCs w:val="24"/>
        </w:rPr>
        <w:t xml:space="preserve"> 216 </w:t>
      </w:r>
      <w:r w:rsidRPr="00DA183D">
        <w:rPr>
          <w:szCs w:val="24"/>
        </w:rPr>
        <w:t>mg)</w:t>
      </w:r>
    </w:p>
    <w:p w14:paraId="3F021C61" w14:textId="77777777" w:rsidR="00537C64" w:rsidRPr="00DA183D" w:rsidRDefault="00537C64" w:rsidP="00537C64">
      <w:pPr>
        <w:rPr>
          <w:szCs w:val="24"/>
        </w:rPr>
      </w:pPr>
      <w:r w:rsidRPr="00DA183D">
        <w:rPr>
          <w:szCs w:val="24"/>
        </w:rPr>
        <w:t xml:space="preserve">                                                     </w:t>
      </w:r>
    </w:p>
    <w:p w14:paraId="4F078064" w14:textId="77777777" w:rsidR="00537C64" w:rsidRPr="00DA183D" w:rsidRDefault="00537C64" w:rsidP="00537C64">
      <w:pPr>
        <w:rPr>
          <w:szCs w:val="24"/>
        </w:rPr>
      </w:pPr>
      <w:r w:rsidRPr="00DA183D">
        <w:rPr>
          <w:b/>
          <w:bCs/>
          <w:szCs w:val="24"/>
        </w:rPr>
        <w:t>Pomocné látky</w:t>
      </w:r>
      <w:r w:rsidRPr="00DA183D">
        <w:rPr>
          <w:szCs w:val="24"/>
        </w:rPr>
        <w:t>:</w:t>
      </w:r>
    </w:p>
    <w:p w14:paraId="6DD55D48" w14:textId="3C022E68" w:rsidR="00537C64" w:rsidRPr="00DA183D" w:rsidRDefault="00537C64" w:rsidP="005135EE">
      <w:pPr>
        <w:tabs>
          <w:tab w:val="left" w:pos="3686"/>
          <w:tab w:val="left" w:pos="6480"/>
        </w:tabs>
        <w:rPr>
          <w:szCs w:val="24"/>
        </w:rPr>
      </w:pPr>
      <w:r w:rsidRPr="00DA183D">
        <w:rPr>
          <w:szCs w:val="24"/>
        </w:rPr>
        <w:t>Natrium-</w:t>
      </w:r>
      <w:proofErr w:type="spellStart"/>
      <w:r w:rsidR="0043740C" w:rsidRPr="00DA183D">
        <w:rPr>
          <w:szCs w:val="24"/>
        </w:rPr>
        <w:t>hydroxymethansulfinát</w:t>
      </w:r>
      <w:proofErr w:type="spellEnd"/>
      <w:r w:rsidR="0043740C" w:rsidRPr="00DA183D">
        <w:rPr>
          <w:szCs w:val="24"/>
        </w:rPr>
        <w:tab/>
      </w:r>
      <w:r w:rsidR="000C39EC" w:rsidRPr="00DA183D">
        <w:rPr>
          <w:szCs w:val="24"/>
        </w:rPr>
        <w:t>5</w:t>
      </w:r>
      <w:r w:rsidRPr="00DA183D">
        <w:rPr>
          <w:szCs w:val="24"/>
        </w:rPr>
        <w:t xml:space="preserve"> mg</w:t>
      </w:r>
    </w:p>
    <w:p w14:paraId="2D689502" w14:textId="77777777" w:rsidR="0043740C" w:rsidRPr="00DA183D" w:rsidRDefault="0043740C" w:rsidP="0043740C">
      <w:pPr>
        <w:tabs>
          <w:tab w:val="left" w:pos="3686"/>
          <w:tab w:val="left" w:pos="6480"/>
        </w:tabs>
        <w:rPr>
          <w:szCs w:val="24"/>
        </w:rPr>
      </w:pPr>
      <w:proofErr w:type="spellStart"/>
      <w:r w:rsidRPr="00DA183D">
        <w:rPr>
          <w:szCs w:val="24"/>
        </w:rPr>
        <w:t>Dinatrium-edetát</w:t>
      </w:r>
      <w:proofErr w:type="spellEnd"/>
      <w:r w:rsidRPr="00DA183D">
        <w:rPr>
          <w:szCs w:val="24"/>
        </w:rPr>
        <w:tab/>
        <w:t>0,5 mg</w:t>
      </w:r>
    </w:p>
    <w:p w14:paraId="20293F53" w14:textId="77777777" w:rsidR="00537C64" w:rsidRPr="00DA183D" w:rsidRDefault="00537C64">
      <w:pPr>
        <w:pStyle w:val="StylZarovnatdoblokuDolejednoduchAutomatick075b"/>
        <w:widowControl w:val="0"/>
        <w:spacing w:line="240" w:lineRule="atLeast"/>
        <w:rPr>
          <w:szCs w:val="24"/>
          <w:u w:val="single"/>
        </w:rPr>
      </w:pPr>
    </w:p>
    <w:p w14:paraId="696F2592" w14:textId="77777777" w:rsidR="00317A99" w:rsidRPr="00DA183D" w:rsidRDefault="00317A99" w:rsidP="00317A99">
      <w:pPr>
        <w:rPr>
          <w:szCs w:val="24"/>
        </w:rPr>
      </w:pPr>
      <w:r w:rsidRPr="00DA183D">
        <w:rPr>
          <w:szCs w:val="24"/>
        </w:rPr>
        <w:t>Čirý červeno-žlutý</w:t>
      </w:r>
      <w:r w:rsidR="0043740C" w:rsidRPr="00DA183D">
        <w:rPr>
          <w:szCs w:val="24"/>
        </w:rPr>
        <w:t xml:space="preserve"> injekční</w:t>
      </w:r>
      <w:r w:rsidRPr="00DA183D">
        <w:rPr>
          <w:szCs w:val="24"/>
        </w:rPr>
        <w:t xml:space="preserve"> roztok.</w:t>
      </w:r>
    </w:p>
    <w:p w14:paraId="68014ABF" w14:textId="77777777" w:rsidR="00920F46" w:rsidRPr="00DA183D" w:rsidRDefault="00920F46">
      <w:pPr>
        <w:pStyle w:val="StylZarovnatdoblokuDolejednoduchAutomatick075b"/>
        <w:widowControl w:val="0"/>
        <w:spacing w:line="240" w:lineRule="atLeast"/>
        <w:rPr>
          <w:szCs w:val="24"/>
          <w:u w:val="single"/>
        </w:rPr>
      </w:pPr>
    </w:p>
    <w:p w14:paraId="7756887C" w14:textId="77777777" w:rsidR="002D7BCB" w:rsidRPr="00DA183D" w:rsidRDefault="002D7BCB">
      <w:pPr>
        <w:ind w:left="567" w:hanging="567"/>
        <w:rPr>
          <w:b/>
          <w:bCs/>
          <w:szCs w:val="24"/>
        </w:rPr>
      </w:pPr>
      <w:r w:rsidRPr="00DA183D">
        <w:rPr>
          <w:b/>
          <w:bCs/>
          <w:szCs w:val="24"/>
          <w:highlight w:val="lightGray"/>
        </w:rPr>
        <w:t>4.</w:t>
      </w:r>
      <w:r w:rsidRPr="00DA183D">
        <w:rPr>
          <w:b/>
          <w:bCs/>
          <w:szCs w:val="24"/>
        </w:rPr>
        <w:tab/>
        <w:t>INDIKACE</w:t>
      </w:r>
    </w:p>
    <w:p w14:paraId="4DBEF289" w14:textId="77777777" w:rsidR="00A930B9" w:rsidRPr="00DA183D" w:rsidRDefault="00A930B9">
      <w:pPr>
        <w:ind w:left="567" w:hanging="567"/>
        <w:rPr>
          <w:b/>
          <w:bCs/>
          <w:szCs w:val="24"/>
        </w:rPr>
      </w:pPr>
    </w:p>
    <w:p w14:paraId="316B446B" w14:textId="37B920C8" w:rsidR="002D7BCB" w:rsidRPr="00DA183D" w:rsidRDefault="0039253A">
      <w:pPr>
        <w:jc w:val="both"/>
        <w:rPr>
          <w:szCs w:val="24"/>
        </w:rPr>
      </w:pPr>
      <w:r w:rsidRPr="00DA183D">
        <w:rPr>
          <w:szCs w:val="24"/>
        </w:rPr>
        <w:t>Léčba onemocnění vyvolaných</w:t>
      </w:r>
      <w:r w:rsidR="00B41007" w:rsidRPr="00DA183D">
        <w:rPr>
          <w:szCs w:val="24"/>
        </w:rPr>
        <w:t xml:space="preserve"> mikroorganizmy citlivými k</w:t>
      </w:r>
      <w:r w:rsidR="00766CF5" w:rsidRPr="00DA183D">
        <w:rPr>
          <w:szCs w:val="24"/>
        </w:rPr>
        <w:t> </w:t>
      </w:r>
      <w:r w:rsidR="00B41007" w:rsidRPr="00DA183D">
        <w:rPr>
          <w:szCs w:val="24"/>
        </w:rPr>
        <w:t>oxytetracyklinu</w:t>
      </w:r>
      <w:r w:rsidR="00766CF5" w:rsidRPr="00DA183D">
        <w:rPr>
          <w:szCs w:val="24"/>
        </w:rPr>
        <w:t xml:space="preserve"> jako jsou:</w:t>
      </w:r>
      <w:r w:rsidR="002D7BCB" w:rsidRPr="00DA183D">
        <w:rPr>
          <w:szCs w:val="24"/>
        </w:rPr>
        <w:t xml:space="preserve"> </w:t>
      </w:r>
    </w:p>
    <w:p w14:paraId="7B2C7DC1" w14:textId="7D5BA4AF" w:rsidR="002D7BCB" w:rsidRPr="00DA183D" w:rsidRDefault="002D7BCB">
      <w:pPr>
        <w:numPr>
          <w:ilvl w:val="0"/>
          <w:numId w:val="35"/>
        </w:numPr>
        <w:jc w:val="both"/>
        <w:rPr>
          <w:szCs w:val="24"/>
        </w:rPr>
      </w:pPr>
      <w:r w:rsidRPr="00DA183D">
        <w:rPr>
          <w:szCs w:val="24"/>
        </w:rPr>
        <w:t>respira</w:t>
      </w:r>
      <w:r w:rsidR="00766CF5" w:rsidRPr="00DA183D">
        <w:rPr>
          <w:szCs w:val="24"/>
        </w:rPr>
        <w:t>č</w:t>
      </w:r>
      <w:r w:rsidRPr="00DA183D">
        <w:rPr>
          <w:szCs w:val="24"/>
        </w:rPr>
        <w:t>ní infekce (bronchiti</w:t>
      </w:r>
      <w:r w:rsidR="00766CF5" w:rsidRPr="00DA183D">
        <w:rPr>
          <w:szCs w:val="24"/>
        </w:rPr>
        <w:t>da</w:t>
      </w:r>
      <w:r w:rsidRPr="00DA183D">
        <w:rPr>
          <w:szCs w:val="24"/>
        </w:rPr>
        <w:t>, bronchopneumonie, pleuriti</w:t>
      </w:r>
      <w:r w:rsidR="00766CF5" w:rsidRPr="00DA183D">
        <w:rPr>
          <w:szCs w:val="24"/>
        </w:rPr>
        <w:t>da</w:t>
      </w:r>
      <w:r w:rsidRPr="00DA183D">
        <w:rPr>
          <w:szCs w:val="24"/>
        </w:rPr>
        <w:t>)</w:t>
      </w:r>
    </w:p>
    <w:p w14:paraId="74E160DA" w14:textId="3D804AAD" w:rsidR="002D7BCB" w:rsidRPr="00DA183D" w:rsidRDefault="002D7BCB">
      <w:pPr>
        <w:numPr>
          <w:ilvl w:val="0"/>
          <w:numId w:val="35"/>
        </w:numPr>
        <w:jc w:val="both"/>
        <w:rPr>
          <w:szCs w:val="24"/>
        </w:rPr>
      </w:pPr>
      <w:r w:rsidRPr="00DA183D">
        <w:rPr>
          <w:szCs w:val="24"/>
        </w:rPr>
        <w:t>gastrointestinální infekce (gastriti</w:t>
      </w:r>
      <w:r w:rsidR="00766CF5" w:rsidRPr="00DA183D">
        <w:rPr>
          <w:szCs w:val="24"/>
        </w:rPr>
        <w:t>da</w:t>
      </w:r>
      <w:r w:rsidRPr="00DA183D">
        <w:rPr>
          <w:szCs w:val="24"/>
        </w:rPr>
        <w:t>, enteriti</w:t>
      </w:r>
      <w:r w:rsidR="00766CF5" w:rsidRPr="00DA183D">
        <w:rPr>
          <w:szCs w:val="24"/>
        </w:rPr>
        <w:t>da</w:t>
      </w:r>
      <w:r w:rsidRPr="00DA183D">
        <w:rPr>
          <w:szCs w:val="24"/>
        </w:rPr>
        <w:t xml:space="preserve">, </w:t>
      </w:r>
      <w:proofErr w:type="spellStart"/>
      <w:r w:rsidRPr="00DA183D">
        <w:rPr>
          <w:szCs w:val="24"/>
        </w:rPr>
        <w:t>difteroid</w:t>
      </w:r>
      <w:proofErr w:type="spellEnd"/>
      <w:r w:rsidRPr="00DA183D">
        <w:rPr>
          <w:szCs w:val="24"/>
        </w:rPr>
        <w:t xml:space="preserve"> telat)</w:t>
      </w:r>
    </w:p>
    <w:p w14:paraId="054D8243" w14:textId="77777777" w:rsidR="002D7BCB" w:rsidRPr="00DA183D" w:rsidRDefault="002D7BCB">
      <w:pPr>
        <w:numPr>
          <w:ilvl w:val="0"/>
          <w:numId w:val="35"/>
        </w:numPr>
        <w:jc w:val="both"/>
        <w:rPr>
          <w:szCs w:val="24"/>
        </w:rPr>
      </w:pPr>
      <w:r w:rsidRPr="00DA183D">
        <w:rPr>
          <w:szCs w:val="24"/>
        </w:rPr>
        <w:t>infekce mléčné žlázy (septické mastitidy, akutní parenchymatózní mastitidy)</w:t>
      </w:r>
    </w:p>
    <w:p w14:paraId="098AE995" w14:textId="77777777" w:rsidR="002D7BCB" w:rsidRPr="00DA183D" w:rsidRDefault="002D7BCB">
      <w:pPr>
        <w:numPr>
          <w:ilvl w:val="0"/>
          <w:numId w:val="35"/>
        </w:numPr>
        <w:jc w:val="both"/>
        <w:rPr>
          <w:szCs w:val="24"/>
        </w:rPr>
      </w:pPr>
      <w:r w:rsidRPr="00DA183D">
        <w:rPr>
          <w:szCs w:val="24"/>
        </w:rPr>
        <w:t>infekce močových cest (pyelonefritidy, septické infekce močových cest)</w:t>
      </w:r>
    </w:p>
    <w:p w14:paraId="312FB72C" w14:textId="77777777" w:rsidR="002D7BCB" w:rsidRPr="00DA183D" w:rsidRDefault="002D7BCB">
      <w:pPr>
        <w:numPr>
          <w:ilvl w:val="0"/>
          <w:numId w:val="35"/>
        </w:numPr>
        <w:jc w:val="both"/>
        <w:rPr>
          <w:szCs w:val="24"/>
        </w:rPr>
      </w:pPr>
      <w:r w:rsidRPr="00DA183D">
        <w:rPr>
          <w:szCs w:val="24"/>
        </w:rPr>
        <w:t xml:space="preserve">infekce končetin (infekční </w:t>
      </w:r>
      <w:proofErr w:type="spellStart"/>
      <w:r w:rsidRPr="00DA183D">
        <w:rPr>
          <w:szCs w:val="24"/>
        </w:rPr>
        <w:t>polyartritidy</w:t>
      </w:r>
      <w:proofErr w:type="spellEnd"/>
      <w:r w:rsidRPr="00DA183D">
        <w:rPr>
          <w:szCs w:val="24"/>
        </w:rPr>
        <w:t>, nekrotizující gangrenózní infekce prstů, hniloba paznehtů skotu a virulentní hniloba paznehtů ovcí)</w:t>
      </w:r>
    </w:p>
    <w:p w14:paraId="0E92D5C0" w14:textId="7DBDA576" w:rsidR="002D7BCB" w:rsidRPr="00DA183D" w:rsidRDefault="002D7BCB">
      <w:pPr>
        <w:numPr>
          <w:ilvl w:val="0"/>
          <w:numId w:val="35"/>
        </w:numPr>
        <w:jc w:val="both"/>
        <w:rPr>
          <w:szCs w:val="24"/>
        </w:rPr>
      </w:pPr>
      <w:r w:rsidRPr="00DA183D">
        <w:rPr>
          <w:szCs w:val="24"/>
        </w:rPr>
        <w:t xml:space="preserve">metritidy, </w:t>
      </w:r>
      <w:proofErr w:type="spellStart"/>
      <w:r w:rsidRPr="00DA183D">
        <w:rPr>
          <w:szCs w:val="24"/>
        </w:rPr>
        <w:t>metroperitonitidy</w:t>
      </w:r>
      <w:proofErr w:type="spellEnd"/>
      <w:r w:rsidRPr="00DA183D">
        <w:rPr>
          <w:szCs w:val="24"/>
        </w:rPr>
        <w:t>, poporodní sepse</w:t>
      </w:r>
    </w:p>
    <w:p w14:paraId="321ED428" w14:textId="77777777" w:rsidR="002D7BCB" w:rsidRPr="00DA183D" w:rsidRDefault="002D7BCB">
      <w:pPr>
        <w:numPr>
          <w:ilvl w:val="0"/>
          <w:numId w:val="35"/>
        </w:numPr>
        <w:jc w:val="both"/>
        <w:rPr>
          <w:szCs w:val="24"/>
        </w:rPr>
      </w:pPr>
      <w:r w:rsidRPr="00DA183D">
        <w:rPr>
          <w:szCs w:val="24"/>
        </w:rPr>
        <w:t xml:space="preserve">flegmóny, infikované rány, hnisavé infekce, posttraumatická a před nebo pooperační ošetření. </w:t>
      </w:r>
    </w:p>
    <w:p w14:paraId="63BDDF37" w14:textId="77777777" w:rsidR="002D7BCB" w:rsidRPr="00DA183D" w:rsidRDefault="002D7BCB">
      <w:pPr>
        <w:rPr>
          <w:szCs w:val="24"/>
        </w:rPr>
      </w:pPr>
    </w:p>
    <w:p w14:paraId="06293546" w14:textId="77777777" w:rsidR="002D7BCB" w:rsidRPr="00DA183D" w:rsidRDefault="002D7BCB">
      <w:pPr>
        <w:ind w:left="567" w:hanging="567"/>
        <w:rPr>
          <w:b/>
          <w:bCs/>
          <w:szCs w:val="24"/>
        </w:rPr>
      </w:pPr>
      <w:r w:rsidRPr="00DA183D">
        <w:rPr>
          <w:b/>
          <w:bCs/>
          <w:szCs w:val="24"/>
          <w:highlight w:val="lightGray"/>
        </w:rPr>
        <w:t>5.</w:t>
      </w:r>
      <w:r w:rsidRPr="00DA183D">
        <w:rPr>
          <w:b/>
          <w:bCs/>
          <w:szCs w:val="24"/>
        </w:rPr>
        <w:tab/>
        <w:t>KONTRAINDIKACE</w:t>
      </w:r>
    </w:p>
    <w:p w14:paraId="75ED6E4E" w14:textId="77777777" w:rsidR="00A930B9" w:rsidRPr="00DA183D" w:rsidRDefault="00A930B9">
      <w:pPr>
        <w:ind w:left="567" w:hanging="567"/>
        <w:rPr>
          <w:szCs w:val="24"/>
        </w:rPr>
      </w:pPr>
    </w:p>
    <w:p w14:paraId="7F67172C" w14:textId="77777777" w:rsidR="00317A99" w:rsidRPr="00DA183D" w:rsidRDefault="00317A99" w:rsidP="00317A99">
      <w:pPr>
        <w:autoSpaceDE w:val="0"/>
        <w:autoSpaceDN w:val="0"/>
        <w:adjustRightInd w:val="0"/>
        <w:snapToGrid w:val="0"/>
        <w:jc w:val="both"/>
        <w:rPr>
          <w:szCs w:val="24"/>
          <w:lang w:val="x-none"/>
        </w:rPr>
      </w:pPr>
      <w:r w:rsidRPr="00DA183D">
        <w:rPr>
          <w:szCs w:val="24"/>
          <w:lang w:val="x-none"/>
        </w:rPr>
        <w:t>Nepoužívat v případě přecitlivělosti na léčivou látku</w:t>
      </w:r>
      <w:r w:rsidRPr="00DA183D">
        <w:rPr>
          <w:szCs w:val="24"/>
        </w:rPr>
        <w:t>,</w:t>
      </w:r>
      <w:r w:rsidRPr="00DA183D">
        <w:rPr>
          <w:szCs w:val="24"/>
          <w:lang w:val="x-none"/>
        </w:rPr>
        <w:t xml:space="preserve"> nebo na některou z pomocných látek.</w:t>
      </w:r>
    </w:p>
    <w:p w14:paraId="30F0DDAF" w14:textId="77777777" w:rsidR="00317A99" w:rsidRPr="00DA183D" w:rsidRDefault="00317A99" w:rsidP="00317A99">
      <w:pPr>
        <w:autoSpaceDE w:val="0"/>
        <w:autoSpaceDN w:val="0"/>
        <w:adjustRightInd w:val="0"/>
        <w:snapToGrid w:val="0"/>
        <w:jc w:val="both"/>
        <w:rPr>
          <w:szCs w:val="24"/>
          <w:lang w:val="x-none"/>
        </w:rPr>
      </w:pPr>
      <w:r w:rsidRPr="00DA183D">
        <w:rPr>
          <w:szCs w:val="24"/>
          <w:lang w:val="x-none"/>
        </w:rPr>
        <w:t>Nepoužívat a nebo používat s opatrností u zvířat s poruchami ledvin, může dojít</w:t>
      </w:r>
    </w:p>
    <w:p w14:paraId="23754F3A" w14:textId="0108C979" w:rsidR="00317A99" w:rsidRPr="00DA183D" w:rsidRDefault="00317A99" w:rsidP="00317A99">
      <w:pPr>
        <w:autoSpaceDE w:val="0"/>
        <w:autoSpaceDN w:val="0"/>
        <w:adjustRightInd w:val="0"/>
        <w:snapToGrid w:val="0"/>
        <w:jc w:val="both"/>
        <w:rPr>
          <w:szCs w:val="24"/>
        </w:rPr>
      </w:pPr>
      <w:r w:rsidRPr="00DA183D">
        <w:rPr>
          <w:szCs w:val="24"/>
          <w:lang w:val="x-none"/>
        </w:rPr>
        <w:t>k nahromadění oxytetracyklinu v krvi v důsledku nedostatečného vylučování přípravku</w:t>
      </w:r>
      <w:r w:rsidR="00766CF5" w:rsidRPr="00DA183D">
        <w:rPr>
          <w:szCs w:val="24"/>
        </w:rPr>
        <w:t>.</w:t>
      </w:r>
    </w:p>
    <w:p w14:paraId="666D36F0" w14:textId="77777777" w:rsidR="002D7BCB" w:rsidRPr="00DA183D" w:rsidRDefault="002D7BCB">
      <w:pPr>
        <w:widowControl w:val="0"/>
        <w:spacing w:line="240" w:lineRule="atLeast"/>
        <w:rPr>
          <w:szCs w:val="24"/>
        </w:rPr>
      </w:pPr>
    </w:p>
    <w:p w14:paraId="06E19159" w14:textId="77777777" w:rsidR="002D7BCB" w:rsidRPr="00DA183D" w:rsidRDefault="002D7BCB" w:rsidP="005135EE">
      <w:pPr>
        <w:keepNext/>
        <w:tabs>
          <w:tab w:val="left" w:pos="540"/>
        </w:tabs>
        <w:rPr>
          <w:b/>
          <w:bCs/>
          <w:caps/>
          <w:szCs w:val="24"/>
        </w:rPr>
      </w:pPr>
      <w:r w:rsidRPr="00DA183D">
        <w:rPr>
          <w:b/>
          <w:bCs/>
          <w:caps/>
          <w:szCs w:val="24"/>
          <w:highlight w:val="lightGray"/>
        </w:rPr>
        <w:lastRenderedPageBreak/>
        <w:t>6.</w:t>
      </w:r>
      <w:r w:rsidRPr="00DA183D">
        <w:rPr>
          <w:b/>
          <w:bCs/>
          <w:caps/>
          <w:szCs w:val="24"/>
        </w:rPr>
        <w:t xml:space="preserve"> </w:t>
      </w:r>
      <w:r w:rsidRPr="00DA183D">
        <w:rPr>
          <w:b/>
          <w:bCs/>
          <w:caps/>
          <w:szCs w:val="24"/>
        </w:rPr>
        <w:tab/>
        <w:t>Nežádoucí účinky</w:t>
      </w:r>
    </w:p>
    <w:p w14:paraId="1691B5FD" w14:textId="77777777" w:rsidR="00317A99" w:rsidRPr="00DA183D" w:rsidRDefault="00317A99" w:rsidP="005135EE">
      <w:pPr>
        <w:pStyle w:val="Zkladntext"/>
        <w:keepNext/>
        <w:rPr>
          <w:szCs w:val="24"/>
          <w:lang w:val="cs-CZ"/>
        </w:rPr>
      </w:pPr>
    </w:p>
    <w:p w14:paraId="6EFF564B" w14:textId="77777777" w:rsidR="002D7BCB" w:rsidRPr="00DA183D" w:rsidRDefault="002D7BCB">
      <w:pPr>
        <w:pStyle w:val="Zkladntext"/>
        <w:rPr>
          <w:szCs w:val="24"/>
          <w:lang w:val="cs-CZ"/>
        </w:rPr>
      </w:pPr>
      <w:r w:rsidRPr="00DA183D">
        <w:rPr>
          <w:szCs w:val="24"/>
          <w:lang w:val="cs-CZ"/>
        </w:rPr>
        <w:t>Vysoká koncentrace účinné látky a prodloužený účinek mohou způsobit dočasnou místní reakci, trvající přibližně 5 dnů.</w:t>
      </w:r>
    </w:p>
    <w:p w14:paraId="549E5B9A" w14:textId="77777777" w:rsidR="002D7BCB" w:rsidRPr="00DA183D" w:rsidRDefault="002D7BCB">
      <w:pPr>
        <w:jc w:val="both"/>
        <w:rPr>
          <w:szCs w:val="24"/>
        </w:rPr>
      </w:pPr>
      <w:r w:rsidRPr="00DA183D">
        <w:rPr>
          <w:szCs w:val="24"/>
        </w:rPr>
        <w:t xml:space="preserve">U přecitlivělých zvířat se mohou objevit alergické nebo anafylaktické reakce, charakterizované neklidem, </w:t>
      </w:r>
      <w:proofErr w:type="spellStart"/>
      <w:r w:rsidRPr="00DA183D">
        <w:rPr>
          <w:szCs w:val="24"/>
        </w:rPr>
        <w:t>zježením</w:t>
      </w:r>
      <w:proofErr w:type="spellEnd"/>
      <w:r w:rsidRPr="00DA183D">
        <w:rPr>
          <w:szCs w:val="24"/>
        </w:rPr>
        <w:t xml:space="preserve"> srsti, svalovým třesem, zarudnutím, ztíženým dýcháním, salivací či skleslostí. </w:t>
      </w:r>
    </w:p>
    <w:p w14:paraId="5A2D1390" w14:textId="2DD7DD0F" w:rsidR="002D7BCB" w:rsidRPr="00DA183D" w:rsidRDefault="002D7BCB">
      <w:pPr>
        <w:jc w:val="both"/>
        <w:rPr>
          <w:szCs w:val="24"/>
        </w:rPr>
      </w:pPr>
      <w:r w:rsidRPr="00DA183D">
        <w:rPr>
          <w:szCs w:val="24"/>
        </w:rPr>
        <w:t xml:space="preserve">V případě výskytu těchto příznaků musí být </w:t>
      </w:r>
      <w:r w:rsidR="00766CF5" w:rsidRPr="00DA183D">
        <w:rPr>
          <w:szCs w:val="24"/>
        </w:rPr>
        <w:t>zahájena vhodná léčba</w:t>
      </w:r>
      <w:r w:rsidRPr="00DA183D">
        <w:rPr>
          <w:szCs w:val="24"/>
        </w:rPr>
        <w:t xml:space="preserve"> (epinefrin, adrenalin, kortizon, antihistaminika, kalciové ionty atd.).</w:t>
      </w:r>
    </w:p>
    <w:p w14:paraId="0E545561" w14:textId="77777777" w:rsidR="002D7BCB" w:rsidRPr="00DA183D" w:rsidRDefault="002D7BCB">
      <w:pPr>
        <w:widowControl w:val="0"/>
        <w:spacing w:line="240" w:lineRule="atLeast"/>
        <w:rPr>
          <w:szCs w:val="24"/>
        </w:rPr>
      </w:pPr>
    </w:p>
    <w:p w14:paraId="545C2A73" w14:textId="77777777" w:rsidR="002D7BCB" w:rsidRPr="00DA183D" w:rsidRDefault="002D7BCB">
      <w:pPr>
        <w:ind w:left="567" w:hanging="567"/>
        <w:rPr>
          <w:szCs w:val="24"/>
        </w:rPr>
      </w:pPr>
      <w:r w:rsidRPr="00DA183D">
        <w:rPr>
          <w:b/>
          <w:bCs/>
          <w:szCs w:val="24"/>
          <w:highlight w:val="lightGray"/>
        </w:rPr>
        <w:t>7.</w:t>
      </w:r>
      <w:r w:rsidRPr="00DA183D">
        <w:rPr>
          <w:b/>
          <w:bCs/>
          <w:szCs w:val="24"/>
        </w:rPr>
        <w:tab/>
        <w:t>CÍLOVÝ DRUH ZVÍŘAT</w:t>
      </w:r>
    </w:p>
    <w:p w14:paraId="6ED5712A" w14:textId="77777777" w:rsidR="00317A99" w:rsidRPr="00DA183D" w:rsidRDefault="00317A99">
      <w:pPr>
        <w:pStyle w:val="Zkladntext"/>
        <w:rPr>
          <w:szCs w:val="24"/>
          <w:lang w:val="cs-CZ"/>
        </w:rPr>
      </w:pPr>
    </w:p>
    <w:p w14:paraId="0D634DF9" w14:textId="3CDEEA39" w:rsidR="002D7BCB" w:rsidRPr="00DA183D" w:rsidRDefault="002D7BCB">
      <w:pPr>
        <w:pStyle w:val="Zkladntext"/>
        <w:rPr>
          <w:szCs w:val="24"/>
          <w:lang w:val="cs-CZ"/>
        </w:rPr>
      </w:pPr>
      <w:r w:rsidRPr="00DA183D">
        <w:rPr>
          <w:szCs w:val="24"/>
          <w:lang w:val="cs-CZ"/>
        </w:rPr>
        <w:t xml:space="preserve">Skot, buvoli, ovce, kozy, prasata a </w:t>
      </w:r>
      <w:r w:rsidR="00317A99" w:rsidRPr="00DA183D">
        <w:rPr>
          <w:szCs w:val="24"/>
          <w:lang w:val="cs-CZ"/>
        </w:rPr>
        <w:t>kur domácí</w:t>
      </w:r>
      <w:r w:rsidR="00766CF5" w:rsidRPr="00DA183D">
        <w:rPr>
          <w:szCs w:val="24"/>
          <w:lang w:val="cs-CZ"/>
        </w:rPr>
        <w:t xml:space="preserve"> (broj</w:t>
      </w:r>
      <w:r w:rsidR="00050E41" w:rsidRPr="00DA183D">
        <w:rPr>
          <w:szCs w:val="24"/>
          <w:lang w:val="cs-CZ"/>
        </w:rPr>
        <w:t>l</w:t>
      </w:r>
      <w:r w:rsidR="00766CF5" w:rsidRPr="00DA183D">
        <w:rPr>
          <w:szCs w:val="24"/>
          <w:lang w:val="cs-CZ"/>
        </w:rPr>
        <w:t>eři)</w:t>
      </w:r>
    </w:p>
    <w:p w14:paraId="35B30AB8" w14:textId="77777777" w:rsidR="00317A99" w:rsidRPr="00DA183D" w:rsidRDefault="00317A99">
      <w:pPr>
        <w:ind w:left="567" w:hanging="567"/>
        <w:rPr>
          <w:b/>
          <w:bCs/>
          <w:szCs w:val="24"/>
        </w:rPr>
      </w:pPr>
    </w:p>
    <w:p w14:paraId="30AF16B4" w14:textId="686851C8" w:rsidR="002D7BCB" w:rsidRPr="00DA183D" w:rsidRDefault="002D7BCB">
      <w:pPr>
        <w:ind w:left="567" w:hanging="567"/>
        <w:rPr>
          <w:caps/>
          <w:szCs w:val="24"/>
        </w:rPr>
      </w:pPr>
      <w:r w:rsidRPr="00DA183D">
        <w:rPr>
          <w:b/>
          <w:bCs/>
          <w:szCs w:val="24"/>
          <w:highlight w:val="lightGray"/>
        </w:rPr>
        <w:t>8.</w:t>
      </w:r>
      <w:r w:rsidRPr="00DA183D">
        <w:rPr>
          <w:b/>
          <w:bCs/>
          <w:szCs w:val="24"/>
        </w:rPr>
        <w:tab/>
        <w:t xml:space="preserve">DÁVKOVÁNÍ </w:t>
      </w:r>
      <w:r w:rsidRPr="00DA183D">
        <w:rPr>
          <w:b/>
          <w:bCs/>
          <w:caps/>
          <w:szCs w:val="24"/>
        </w:rPr>
        <w:t>pro každý druh, cesta</w:t>
      </w:r>
      <w:r w:rsidR="00516E84" w:rsidRPr="00DA183D">
        <w:rPr>
          <w:b/>
          <w:bCs/>
          <w:caps/>
          <w:szCs w:val="24"/>
        </w:rPr>
        <w:t>(Y</w:t>
      </w:r>
      <w:r w:rsidR="00DA183D">
        <w:rPr>
          <w:b/>
          <w:bCs/>
          <w:caps/>
          <w:szCs w:val="24"/>
        </w:rPr>
        <w:t>)</w:t>
      </w:r>
      <w:r w:rsidRPr="00DA183D">
        <w:rPr>
          <w:b/>
          <w:bCs/>
          <w:caps/>
          <w:szCs w:val="24"/>
        </w:rPr>
        <w:t xml:space="preserve"> a způsob podání</w:t>
      </w:r>
    </w:p>
    <w:p w14:paraId="4806B368" w14:textId="77777777" w:rsidR="00317A99" w:rsidRPr="00DA183D" w:rsidRDefault="00317A99">
      <w:pPr>
        <w:rPr>
          <w:szCs w:val="24"/>
        </w:rPr>
      </w:pPr>
    </w:p>
    <w:p w14:paraId="346B84F2" w14:textId="549A2750" w:rsidR="00766CF5" w:rsidRPr="00DA183D" w:rsidRDefault="00766CF5">
      <w:pPr>
        <w:rPr>
          <w:szCs w:val="24"/>
        </w:rPr>
      </w:pPr>
      <w:r w:rsidRPr="00DA183D">
        <w:rPr>
          <w:szCs w:val="24"/>
        </w:rPr>
        <w:t>Intramuskulární podání.</w:t>
      </w:r>
    </w:p>
    <w:p w14:paraId="3412C70E" w14:textId="4ECC6233" w:rsidR="00F54E1E" w:rsidRPr="00DA183D" w:rsidRDefault="002D7BCB">
      <w:pPr>
        <w:rPr>
          <w:szCs w:val="24"/>
        </w:rPr>
      </w:pPr>
      <w:r w:rsidRPr="00DA183D">
        <w:rPr>
          <w:szCs w:val="24"/>
        </w:rPr>
        <w:t>Přípravek se podává hluboko intramuskulárně v jedné dávce.</w:t>
      </w:r>
      <w:r w:rsidR="00766CF5" w:rsidRPr="00DA183D">
        <w:rPr>
          <w:szCs w:val="24"/>
        </w:rPr>
        <w:t xml:space="preserve"> </w:t>
      </w:r>
      <w:r w:rsidR="00F54E1E" w:rsidRPr="00DA183D">
        <w:rPr>
          <w:szCs w:val="24"/>
        </w:rPr>
        <w:t xml:space="preserve">U selat do hmotnosti 10 kg nepodávejte do </w:t>
      </w:r>
      <w:proofErr w:type="spellStart"/>
      <w:r w:rsidR="00F54E1E" w:rsidRPr="00DA183D">
        <w:rPr>
          <w:szCs w:val="24"/>
        </w:rPr>
        <w:t>gluteální</w:t>
      </w:r>
      <w:proofErr w:type="spellEnd"/>
      <w:r w:rsidR="00F54E1E" w:rsidRPr="00DA183D">
        <w:rPr>
          <w:szCs w:val="24"/>
        </w:rPr>
        <w:t xml:space="preserve"> svaloviny z důvodu omezení podráždění a bolesti.</w:t>
      </w:r>
    </w:p>
    <w:p w14:paraId="3C33C2B7" w14:textId="77777777" w:rsidR="00C01257" w:rsidRPr="00DA183D" w:rsidRDefault="00C01257">
      <w:pPr>
        <w:rPr>
          <w:szCs w:val="24"/>
        </w:rPr>
      </w:pPr>
    </w:p>
    <w:p w14:paraId="468D5E36" w14:textId="77777777" w:rsidR="00766CF5" w:rsidRPr="00DA183D" w:rsidRDefault="00766CF5" w:rsidP="00766CF5">
      <w:pPr>
        <w:ind w:left="2832" w:hanging="2832"/>
        <w:rPr>
          <w:szCs w:val="24"/>
        </w:rPr>
      </w:pPr>
      <w:r w:rsidRPr="00DA183D">
        <w:rPr>
          <w:szCs w:val="24"/>
        </w:rPr>
        <w:t xml:space="preserve">Skot, buvoli, ovce a kozy: </w:t>
      </w:r>
      <w:r w:rsidRPr="00DA183D">
        <w:rPr>
          <w:szCs w:val="24"/>
        </w:rPr>
        <w:tab/>
        <w:t>30 mg oxytetracyklinu/kg ž.hm., což odpovídá 0,15 ml přípravku/ kg ž.hm.</w:t>
      </w:r>
    </w:p>
    <w:p w14:paraId="3864058D" w14:textId="77777777" w:rsidR="00766CF5" w:rsidRPr="00DA183D" w:rsidRDefault="00766CF5" w:rsidP="00766CF5">
      <w:pPr>
        <w:ind w:left="2832" w:hanging="2832"/>
        <w:rPr>
          <w:szCs w:val="24"/>
        </w:rPr>
      </w:pPr>
    </w:p>
    <w:p w14:paraId="7035B415" w14:textId="77777777" w:rsidR="00766CF5" w:rsidRPr="00DA183D" w:rsidRDefault="00766CF5" w:rsidP="00766CF5">
      <w:pPr>
        <w:ind w:left="2832" w:hanging="2832"/>
        <w:rPr>
          <w:szCs w:val="24"/>
        </w:rPr>
      </w:pPr>
      <w:proofErr w:type="gramStart"/>
      <w:r w:rsidRPr="00DA183D">
        <w:rPr>
          <w:szCs w:val="24"/>
        </w:rPr>
        <w:t xml:space="preserve">Prasata:   </w:t>
      </w:r>
      <w:proofErr w:type="gramEnd"/>
      <w:r w:rsidRPr="00DA183D">
        <w:rPr>
          <w:szCs w:val="24"/>
        </w:rPr>
        <w:t xml:space="preserve"> </w:t>
      </w:r>
      <w:r w:rsidRPr="00DA183D">
        <w:rPr>
          <w:szCs w:val="24"/>
        </w:rPr>
        <w:tab/>
        <w:t>20 mg oxytetracyklinu/kg ž.hm., což odpovídá 0,10 ml přípravku kg ž.hm.</w:t>
      </w:r>
    </w:p>
    <w:p w14:paraId="574A7CDE" w14:textId="77777777" w:rsidR="00766CF5" w:rsidRPr="00DA183D" w:rsidRDefault="00766CF5" w:rsidP="00766CF5">
      <w:pPr>
        <w:ind w:left="2832" w:hanging="2832"/>
        <w:rPr>
          <w:szCs w:val="24"/>
        </w:rPr>
      </w:pPr>
    </w:p>
    <w:p w14:paraId="5FA53893" w14:textId="77777777" w:rsidR="00766CF5" w:rsidRPr="00DA183D" w:rsidRDefault="00766CF5" w:rsidP="00766CF5">
      <w:pPr>
        <w:ind w:left="2832" w:hanging="2832"/>
        <w:rPr>
          <w:i/>
          <w:szCs w:val="24"/>
        </w:rPr>
      </w:pPr>
      <w:r w:rsidRPr="00DA183D">
        <w:rPr>
          <w:szCs w:val="24"/>
        </w:rPr>
        <w:t xml:space="preserve">Selata (do </w:t>
      </w:r>
      <w:smartTag w:uri="urn:schemas-microsoft-com:office:smarttags" w:element="metricconverter">
        <w:smartTagPr>
          <w:attr w:name="ProductID" w:val="10 kg"/>
        </w:smartTagPr>
        <w:r w:rsidRPr="00DA183D">
          <w:rPr>
            <w:szCs w:val="24"/>
          </w:rPr>
          <w:t>10 kg</w:t>
        </w:r>
      </w:smartTag>
      <w:r w:rsidRPr="00DA183D">
        <w:rPr>
          <w:szCs w:val="24"/>
        </w:rPr>
        <w:t xml:space="preserve">): </w:t>
      </w:r>
      <w:r w:rsidRPr="00DA183D">
        <w:rPr>
          <w:szCs w:val="24"/>
        </w:rPr>
        <w:tab/>
        <w:t xml:space="preserve">200 mg oxytetracyklinu </w:t>
      </w:r>
      <w:r w:rsidRPr="00DA183D">
        <w:rPr>
          <w:i/>
          <w:szCs w:val="24"/>
        </w:rPr>
        <w:t>pro toto</w:t>
      </w:r>
      <w:r w:rsidRPr="00DA183D">
        <w:rPr>
          <w:szCs w:val="24"/>
        </w:rPr>
        <w:t xml:space="preserve">, což odpovídá 1 ml přípravku   </w:t>
      </w:r>
      <w:r w:rsidRPr="00DA183D">
        <w:rPr>
          <w:i/>
          <w:szCs w:val="24"/>
        </w:rPr>
        <w:t>pro toto</w:t>
      </w:r>
    </w:p>
    <w:p w14:paraId="0AAA9E2A" w14:textId="77777777" w:rsidR="00766CF5" w:rsidRPr="00DA183D" w:rsidRDefault="00766CF5" w:rsidP="005135EE">
      <w:pPr>
        <w:rPr>
          <w:szCs w:val="24"/>
        </w:rPr>
      </w:pPr>
    </w:p>
    <w:p w14:paraId="4E82731F" w14:textId="11E02209" w:rsidR="00766CF5" w:rsidRPr="00DA183D" w:rsidRDefault="004F425D" w:rsidP="00766CF5">
      <w:pPr>
        <w:ind w:left="2832" w:right="-142" w:hanging="2832"/>
        <w:rPr>
          <w:szCs w:val="24"/>
        </w:rPr>
      </w:pPr>
      <w:r w:rsidRPr="00DA183D">
        <w:rPr>
          <w:szCs w:val="24"/>
        </w:rPr>
        <w:t>Kur domácí (b</w:t>
      </w:r>
      <w:r w:rsidR="00766CF5" w:rsidRPr="00DA183D">
        <w:rPr>
          <w:szCs w:val="24"/>
        </w:rPr>
        <w:t>rojleři</w:t>
      </w:r>
      <w:r w:rsidRPr="00DA183D">
        <w:rPr>
          <w:szCs w:val="24"/>
        </w:rPr>
        <w:t>)</w:t>
      </w:r>
      <w:r w:rsidR="00766CF5" w:rsidRPr="00DA183D">
        <w:rPr>
          <w:szCs w:val="24"/>
        </w:rPr>
        <w:t xml:space="preserve">: </w:t>
      </w:r>
      <w:r w:rsidR="00766CF5" w:rsidRPr="00DA183D">
        <w:rPr>
          <w:szCs w:val="24"/>
        </w:rPr>
        <w:tab/>
        <w:t xml:space="preserve">30-60 mg oxytetracyklinu/kg ž.hm., což odpovídá 0,15-0,30 ml přípravku/kg ž.hm.  </w:t>
      </w:r>
    </w:p>
    <w:p w14:paraId="7D873922" w14:textId="77777777" w:rsidR="00766CF5" w:rsidRPr="00DA183D" w:rsidRDefault="00766CF5" w:rsidP="00766CF5">
      <w:pPr>
        <w:rPr>
          <w:szCs w:val="24"/>
        </w:rPr>
      </w:pPr>
    </w:p>
    <w:p w14:paraId="0D9C3A48" w14:textId="77777777" w:rsidR="00766CF5" w:rsidRPr="00DA183D" w:rsidRDefault="00766CF5" w:rsidP="00766CF5">
      <w:pPr>
        <w:rPr>
          <w:szCs w:val="24"/>
          <w:highlight w:val="yellow"/>
        </w:rPr>
      </w:pPr>
    </w:p>
    <w:p w14:paraId="32BEA146" w14:textId="77777777" w:rsidR="00FB048C" w:rsidRPr="00DA183D" w:rsidRDefault="00FB048C" w:rsidP="00C01257">
      <w:pPr>
        <w:rPr>
          <w:szCs w:val="24"/>
        </w:rPr>
      </w:pPr>
    </w:p>
    <w:p w14:paraId="563DBC97" w14:textId="77777777" w:rsidR="00C01257" w:rsidRPr="00DA183D" w:rsidRDefault="00C01257" w:rsidP="00C01257">
      <w:pPr>
        <w:rPr>
          <w:szCs w:val="24"/>
        </w:rPr>
      </w:pPr>
      <w:r w:rsidRPr="00DA183D">
        <w:rPr>
          <w:szCs w:val="24"/>
        </w:rPr>
        <w:t xml:space="preserve">Maximální objem podávaný do jednoho místa vpichu: </w:t>
      </w:r>
    </w:p>
    <w:p w14:paraId="572E9459" w14:textId="77AF49D5" w:rsidR="004F425D" w:rsidRPr="00DA183D" w:rsidRDefault="004F425D" w:rsidP="004F425D">
      <w:pPr>
        <w:rPr>
          <w:szCs w:val="24"/>
        </w:rPr>
      </w:pPr>
      <w:r w:rsidRPr="00DA183D">
        <w:rPr>
          <w:szCs w:val="24"/>
        </w:rPr>
        <w:t>Skot, buvoli: 20 ml</w:t>
      </w:r>
    </w:p>
    <w:p w14:paraId="30FDFE4A" w14:textId="77777777" w:rsidR="004F425D" w:rsidRPr="00DA183D" w:rsidRDefault="004F425D" w:rsidP="004F425D">
      <w:pPr>
        <w:rPr>
          <w:szCs w:val="24"/>
        </w:rPr>
      </w:pPr>
      <w:r w:rsidRPr="00DA183D">
        <w:rPr>
          <w:szCs w:val="24"/>
        </w:rPr>
        <w:t>Ovce: 6 ml</w:t>
      </w:r>
    </w:p>
    <w:p w14:paraId="1B111C33" w14:textId="77777777" w:rsidR="004F425D" w:rsidRPr="00DA183D" w:rsidRDefault="004F425D" w:rsidP="004F425D">
      <w:pPr>
        <w:rPr>
          <w:szCs w:val="24"/>
        </w:rPr>
      </w:pPr>
      <w:r w:rsidRPr="00DA183D">
        <w:rPr>
          <w:szCs w:val="24"/>
        </w:rPr>
        <w:t>Kozy: 10 ml</w:t>
      </w:r>
    </w:p>
    <w:p w14:paraId="7A7396A8" w14:textId="77777777" w:rsidR="004F425D" w:rsidRPr="00DA183D" w:rsidRDefault="004F425D" w:rsidP="004F425D">
      <w:pPr>
        <w:rPr>
          <w:szCs w:val="24"/>
        </w:rPr>
      </w:pPr>
      <w:r w:rsidRPr="00DA183D">
        <w:rPr>
          <w:szCs w:val="24"/>
        </w:rPr>
        <w:t>Prasata: 7 ml.</w:t>
      </w:r>
    </w:p>
    <w:p w14:paraId="71E448DF" w14:textId="12EFD921" w:rsidR="00C01257" w:rsidRPr="00DA183D" w:rsidRDefault="004F425D" w:rsidP="004F425D">
      <w:pPr>
        <w:rPr>
          <w:szCs w:val="24"/>
        </w:rPr>
      </w:pPr>
      <w:r w:rsidRPr="00DA183D">
        <w:rPr>
          <w:szCs w:val="24"/>
        </w:rPr>
        <w:t>Kur domácí: 1 ml</w:t>
      </w:r>
    </w:p>
    <w:p w14:paraId="166979F1" w14:textId="77777777" w:rsidR="008261C9" w:rsidRPr="00DA183D" w:rsidRDefault="008261C9" w:rsidP="004F425D">
      <w:pPr>
        <w:rPr>
          <w:szCs w:val="24"/>
        </w:rPr>
      </w:pPr>
    </w:p>
    <w:p w14:paraId="0A278E87" w14:textId="77777777" w:rsidR="002D7BCB" w:rsidRPr="00DA183D" w:rsidRDefault="002D7BCB">
      <w:pPr>
        <w:ind w:left="567" w:hanging="567"/>
        <w:rPr>
          <w:szCs w:val="24"/>
        </w:rPr>
      </w:pPr>
      <w:r w:rsidRPr="00DA183D">
        <w:rPr>
          <w:b/>
          <w:bCs/>
          <w:szCs w:val="24"/>
          <w:highlight w:val="lightGray"/>
        </w:rPr>
        <w:t>9.</w:t>
      </w:r>
      <w:r w:rsidRPr="00DA183D">
        <w:rPr>
          <w:b/>
          <w:bCs/>
          <w:szCs w:val="24"/>
        </w:rPr>
        <w:tab/>
        <w:t xml:space="preserve">POKYN PRO SPRÁVNÉ PODÁNÍ </w:t>
      </w:r>
    </w:p>
    <w:p w14:paraId="2A93820C" w14:textId="77777777" w:rsidR="00317A99" w:rsidRPr="00DA183D" w:rsidRDefault="00317A99">
      <w:pPr>
        <w:jc w:val="both"/>
        <w:rPr>
          <w:szCs w:val="24"/>
        </w:rPr>
      </w:pPr>
    </w:p>
    <w:p w14:paraId="13F045ED" w14:textId="77777777" w:rsidR="00766CF5" w:rsidRPr="00DA183D" w:rsidRDefault="00766CF5" w:rsidP="00766CF5">
      <w:pPr>
        <w:rPr>
          <w:szCs w:val="24"/>
        </w:rPr>
      </w:pPr>
      <w:r w:rsidRPr="00DA183D">
        <w:rPr>
          <w:szCs w:val="24"/>
        </w:rPr>
        <w:t>Pro zajištění správného dávkování by měla být hmotnost zvířete stanovena co nejpřesněji, aby se předešlo poddávkování.</w:t>
      </w:r>
    </w:p>
    <w:p w14:paraId="6DA523E8" w14:textId="77777777" w:rsidR="002D7BCB" w:rsidRPr="00DA183D" w:rsidRDefault="002D7BCB">
      <w:pPr>
        <w:jc w:val="both"/>
        <w:rPr>
          <w:szCs w:val="24"/>
        </w:rPr>
      </w:pPr>
    </w:p>
    <w:p w14:paraId="735F6381" w14:textId="77777777" w:rsidR="002D7BCB" w:rsidRPr="00DA183D" w:rsidRDefault="002D7BCB">
      <w:pPr>
        <w:ind w:left="567" w:hanging="567"/>
        <w:rPr>
          <w:szCs w:val="24"/>
        </w:rPr>
      </w:pPr>
      <w:r w:rsidRPr="00DA183D">
        <w:rPr>
          <w:b/>
          <w:bCs/>
          <w:szCs w:val="24"/>
          <w:highlight w:val="lightGray"/>
        </w:rPr>
        <w:t>10.</w:t>
      </w:r>
      <w:r w:rsidRPr="00DA183D">
        <w:rPr>
          <w:b/>
          <w:bCs/>
          <w:szCs w:val="24"/>
        </w:rPr>
        <w:tab/>
        <w:t>OCHRANNÁ</w:t>
      </w:r>
      <w:r w:rsidR="00516E84" w:rsidRPr="00DA183D">
        <w:rPr>
          <w:b/>
          <w:bCs/>
          <w:szCs w:val="24"/>
        </w:rPr>
        <w:t>(É)</w:t>
      </w:r>
      <w:r w:rsidRPr="00DA183D">
        <w:rPr>
          <w:b/>
          <w:bCs/>
          <w:szCs w:val="24"/>
        </w:rPr>
        <w:t xml:space="preserve"> </w:t>
      </w:r>
      <w:r w:rsidRPr="00DA183D">
        <w:rPr>
          <w:b/>
          <w:bCs/>
          <w:caps/>
          <w:szCs w:val="24"/>
        </w:rPr>
        <w:t>lhůta</w:t>
      </w:r>
      <w:r w:rsidR="00516E84" w:rsidRPr="00DA183D">
        <w:rPr>
          <w:b/>
          <w:bCs/>
          <w:caps/>
          <w:szCs w:val="24"/>
        </w:rPr>
        <w:t>(Y)</w:t>
      </w:r>
    </w:p>
    <w:p w14:paraId="2D793F2E" w14:textId="77777777" w:rsidR="00044221" w:rsidRPr="00DA183D" w:rsidRDefault="00044221" w:rsidP="00E103F1">
      <w:pPr>
        <w:tabs>
          <w:tab w:val="left" w:pos="720"/>
        </w:tabs>
        <w:rPr>
          <w:szCs w:val="24"/>
        </w:rPr>
      </w:pPr>
    </w:p>
    <w:p w14:paraId="1F79902B" w14:textId="77777777" w:rsidR="00E103F1" w:rsidRPr="00DA183D" w:rsidRDefault="00E103F1" w:rsidP="00E103F1">
      <w:pPr>
        <w:tabs>
          <w:tab w:val="left" w:pos="720"/>
        </w:tabs>
        <w:rPr>
          <w:szCs w:val="24"/>
        </w:rPr>
      </w:pPr>
      <w:r w:rsidRPr="00DA183D">
        <w:rPr>
          <w:szCs w:val="24"/>
        </w:rPr>
        <w:t xml:space="preserve">Maso: </w:t>
      </w:r>
      <w:r w:rsidRPr="00DA183D">
        <w:rPr>
          <w:szCs w:val="24"/>
        </w:rPr>
        <w:tab/>
      </w:r>
    </w:p>
    <w:p w14:paraId="1631FD2A" w14:textId="77777777" w:rsidR="004F425D" w:rsidRPr="00DA183D" w:rsidRDefault="004F425D" w:rsidP="004F425D">
      <w:pPr>
        <w:tabs>
          <w:tab w:val="left" w:pos="0"/>
        </w:tabs>
        <w:rPr>
          <w:szCs w:val="24"/>
        </w:rPr>
      </w:pPr>
    </w:p>
    <w:p w14:paraId="1F74033F" w14:textId="77777777" w:rsidR="004F425D" w:rsidRPr="00DA183D" w:rsidRDefault="004F425D" w:rsidP="004F425D">
      <w:pPr>
        <w:tabs>
          <w:tab w:val="left" w:pos="0"/>
        </w:tabs>
        <w:rPr>
          <w:szCs w:val="24"/>
        </w:rPr>
      </w:pPr>
      <w:r w:rsidRPr="00DA183D">
        <w:rPr>
          <w:szCs w:val="24"/>
        </w:rPr>
        <w:lastRenderedPageBreak/>
        <w:t>Skot, buvoli, kozy: 39 dnů.</w:t>
      </w:r>
    </w:p>
    <w:p w14:paraId="40AD4780" w14:textId="77777777" w:rsidR="004F425D" w:rsidRPr="00DA183D" w:rsidRDefault="004F425D" w:rsidP="004F425D">
      <w:pPr>
        <w:tabs>
          <w:tab w:val="left" w:pos="0"/>
        </w:tabs>
        <w:rPr>
          <w:szCs w:val="24"/>
        </w:rPr>
      </w:pPr>
      <w:r w:rsidRPr="00DA183D">
        <w:rPr>
          <w:szCs w:val="24"/>
        </w:rPr>
        <w:t xml:space="preserve">Ovce: 26 dnů.   </w:t>
      </w:r>
    </w:p>
    <w:p w14:paraId="529CDB81" w14:textId="77777777" w:rsidR="004F425D" w:rsidRPr="00DA183D" w:rsidRDefault="004F425D" w:rsidP="004F425D">
      <w:pPr>
        <w:tabs>
          <w:tab w:val="left" w:pos="0"/>
        </w:tabs>
        <w:rPr>
          <w:szCs w:val="24"/>
        </w:rPr>
      </w:pPr>
      <w:r w:rsidRPr="00DA183D">
        <w:rPr>
          <w:szCs w:val="24"/>
        </w:rPr>
        <w:t xml:space="preserve">Prasata: 19 dnů.  </w:t>
      </w:r>
    </w:p>
    <w:p w14:paraId="669DD42E" w14:textId="72AC807E" w:rsidR="004F425D" w:rsidRPr="00DA183D" w:rsidRDefault="004F425D" w:rsidP="004F425D">
      <w:pPr>
        <w:tabs>
          <w:tab w:val="left" w:pos="720"/>
        </w:tabs>
        <w:rPr>
          <w:szCs w:val="24"/>
        </w:rPr>
      </w:pPr>
      <w:r w:rsidRPr="00DA183D">
        <w:rPr>
          <w:szCs w:val="24"/>
        </w:rPr>
        <w:t>Kur domácí-brojleři: 18 dnů.</w:t>
      </w:r>
    </w:p>
    <w:p w14:paraId="4FE1CD44" w14:textId="77777777" w:rsidR="004F425D" w:rsidRPr="00DA183D" w:rsidRDefault="004F425D" w:rsidP="004F425D">
      <w:pPr>
        <w:tabs>
          <w:tab w:val="left" w:pos="720"/>
        </w:tabs>
        <w:rPr>
          <w:szCs w:val="24"/>
        </w:rPr>
      </w:pPr>
    </w:p>
    <w:p w14:paraId="248C7A67" w14:textId="77777777" w:rsidR="004F425D" w:rsidRPr="00DA183D" w:rsidRDefault="004F425D" w:rsidP="004F425D">
      <w:pPr>
        <w:tabs>
          <w:tab w:val="left" w:pos="720"/>
        </w:tabs>
        <w:rPr>
          <w:szCs w:val="24"/>
        </w:rPr>
      </w:pPr>
      <w:r w:rsidRPr="00DA183D">
        <w:rPr>
          <w:szCs w:val="24"/>
        </w:rPr>
        <w:t xml:space="preserve">Mléko: </w:t>
      </w:r>
      <w:r w:rsidRPr="00DA183D">
        <w:rPr>
          <w:szCs w:val="24"/>
        </w:rPr>
        <w:tab/>
      </w:r>
    </w:p>
    <w:p w14:paraId="3C408CF2" w14:textId="204EA5A0" w:rsidR="004F425D" w:rsidRPr="00DA183D" w:rsidRDefault="004F425D" w:rsidP="004F425D">
      <w:pPr>
        <w:tabs>
          <w:tab w:val="left" w:pos="720"/>
        </w:tabs>
        <w:rPr>
          <w:b/>
          <w:szCs w:val="24"/>
        </w:rPr>
      </w:pPr>
      <w:r w:rsidRPr="00DA183D">
        <w:rPr>
          <w:szCs w:val="24"/>
        </w:rPr>
        <w:t>Skot, buvoli: 14 dnů (336 hodin).</w:t>
      </w:r>
    </w:p>
    <w:p w14:paraId="136BFD5A" w14:textId="77777777" w:rsidR="004F425D" w:rsidRPr="00DA183D" w:rsidRDefault="004F425D" w:rsidP="004F425D">
      <w:pPr>
        <w:tabs>
          <w:tab w:val="left" w:pos="720"/>
        </w:tabs>
        <w:rPr>
          <w:b/>
          <w:szCs w:val="24"/>
        </w:rPr>
      </w:pPr>
      <w:r w:rsidRPr="00DA183D">
        <w:rPr>
          <w:szCs w:val="24"/>
        </w:rPr>
        <w:t>Ovce a kozy: 21 dnů</w:t>
      </w:r>
      <w:r w:rsidRPr="00DA183D">
        <w:rPr>
          <w:b/>
          <w:szCs w:val="24"/>
        </w:rPr>
        <w:t xml:space="preserve"> </w:t>
      </w:r>
      <w:r w:rsidRPr="00DA183D">
        <w:rPr>
          <w:szCs w:val="24"/>
        </w:rPr>
        <w:t>(504 hodin).</w:t>
      </w:r>
    </w:p>
    <w:p w14:paraId="184FC5D7" w14:textId="77777777" w:rsidR="004F425D" w:rsidRPr="00DA183D" w:rsidRDefault="004F425D" w:rsidP="00044221">
      <w:pPr>
        <w:tabs>
          <w:tab w:val="left" w:pos="720"/>
        </w:tabs>
        <w:rPr>
          <w:b/>
          <w:szCs w:val="24"/>
        </w:rPr>
      </w:pPr>
    </w:p>
    <w:p w14:paraId="775069FB" w14:textId="0451B1FD" w:rsidR="00044221" w:rsidRPr="00DA183D" w:rsidRDefault="008261C9" w:rsidP="008842F0">
      <w:pPr>
        <w:rPr>
          <w:szCs w:val="24"/>
        </w:rPr>
      </w:pPr>
      <w:r w:rsidRPr="00DA183D">
        <w:rPr>
          <w:szCs w:val="24"/>
        </w:rPr>
        <w:t>Nepoužívat u nosnic, jejichž vejce jsou určena pro lidskou spotřebu.</w:t>
      </w:r>
      <w:r w:rsidR="00044221" w:rsidRPr="00DA183D">
        <w:rPr>
          <w:szCs w:val="24"/>
        </w:rPr>
        <w:t xml:space="preserve"> </w:t>
      </w:r>
    </w:p>
    <w:p w14:paraId="14800B6D" w14:textId="77777777" w:rsidR="002D7BCB" w:rsidRPr="00DA183D" w:rsidRDefault="002D7BCB">
      <w:pPr>
        <w:pStyle w:val="StylZarovnatdoblokuDolejednoduchAutomatick075b"/>
        <w:rPr>
          <w:szCs w:val="24"/>
        </w:rPr>
      </w:pPr>
    </w:p>
    <w:p w14:paraId="0F430335" w14:textId="77777777" w:rsidR="002D7BCB" w:rsidRPr="00DA183D" w:rsidRDefault="002D7BCB">
      <w:pPr>
        <w:ind w:left="567" w:hanging="567"/>
        <w:rPr>
          <w:szCs w:val="24"/>
        </w:rPr>
      </w:pPr>
      <w:r w:rsidRPr="00DA183D">
        <w:rPr>
          <w:b/>
          <w:bCs/>
          <w:szCs w:val="24"/>
          <w:highlight w:val="lightGray"/>
        </w:rPr>
        <w:t>11.</w:t>
      </w:r>
      <w:r w:rsidRPr="00DA183D">
        <w:rPr>
          <w:b/>
          <w:bCs/>
          <w:szCs w:val="24"/>
        </w:rPr>
        <w:tab/>
        <w:t xml:space="preserve">ZVLÁŠTNÍ </w:t>
      </w:r>
      <w:r w:rsidRPr="00DA183D">
        <w:rPr>
          <w:b/>
          <w:bCs/>
          <w:caps/>
          <w:szCs w:val="24"/>
        </w:rPr>
        <w:t>OPAtření pro uchovávání</w:t>
      </w:r>
      <w:r w:rsidRPr="00DA183D">
        <w:rPr>
          <w:b/>
          <w:bCs/>
          <w:szCs w:val="24"/>
        </w:rPr>
        <w:t xml:space="preserve"> </w:t>
      </w:r>
    </w:p>
    <w:p w14:paraId="18DEBAFC" w14:textId="77777777" w:rsidR="00D6377E" w:rsidRPr="00DA183D" w:rsidRDefault="00D6377E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33B807E6" w14:textId="77777777" w:rsidR="002D7BCB" w:rsidRPr="00DA183D" w:rsidRDefault="002D7BCB">
      <w:pPr>
        <w:numPr>
          <w:ilvl w:val="12"/>
          <w:numId w:val="0"/>
        </w:numPr>
        <w:ind w:right="-2"/>
        <w:rPr>
          <w:noProof/>
          <w:szCs w:val="24"/>
        </w:rPr>
      </w:pPr>
      <w:r w:rsidRPr="00DA183D">
        <w:rPr>
          <w:noProof/>
          <w:szCs w:val="24"/>
        </w:rPr>
        <w:t xml:space="preserve">Uchovávat mimo </w:t>
      </w:r>
      <w:r w:rsidR="00D6377E" w:rsidRPr="00DA183D">
        <w:rPr>
          <w:noProof/>
          <w:szCs w:val="24"/>
        </w:rPr>
        <w:t xml:space="preserve">dohled a </w:t>
      </w:r>
      <w:r w:rsidRPr="00DA183D">
        <w:rPr>
          <w:noProof/>
          <w:szCs w:val="24"/>
        </w:rPr>
        <w:t>dosah dětí.</w:t>
      </w:r>
    </w:p>
    <w:p w14:paraId="3613DECB" w14:textId="77777777" w:rsidR="00537C64" w:rsidRPr="00DA183D" w:rsidRDefault="00537C64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3356DC3A" w14:textId="4CAFCA63" w:rsidR="00001515" w:rsidRPr="00DA183D" w:rsidRDefault="002D7BCB">
      <w:pPr>
        <w:rPr>
          <w:szCs w:val="24"/>
        </w:rPr>
      </w:pPr>
      <w:r w:rsidRPr="00DA183D">
        <w:rPr>
          <w:szCs w:val="24"/>
        </w:rPr>
        <w:t>Uchovávejte při teplotě do 25 ºC.</w:t>
      </w:r>
    </w:p>
    <w:p w14:paraId="264B65AD" w14:textId="77777777" w:rsidR="002D7BCB" w:rsidRPr="00DA183D" w:rsidRDefault="002D7BCB">
      <w:pPr>
        <w:rPr>
          <w:szCs w:val="24"/>
        </w:rPr>
      </w:pPr>
      <w:r w:rsidRPr="00DA183D">
        <w:rPr>
          <w:szCs w:val="24"/>
        </w:rPr>
        <w:t>Chraňte před světlem.</w:t>
      </w:r>
    </w:p>
    <w:p w14:paraId="35887810" w14:textId="77777777" w:rsidR="00537C64" w:rsidRPr="00DA183D" w:rsidRDefault="00537C64">
      <w:pPr>
        <w:rPr>
          <w:szCs w:val="24"/>
        </w:rPr>
      </w:pPr>
    </w:p>
    <w:p w14:paraId="4F72CBF6" w14:textId="77777777" w:rsidR="00537C64" w:rsidRPr="00DA183D" w:rsidRDefault="00537C64" w:rsidP="00537C64">
      <w:pPr>
        <w:rPr>
          <w:szCs w:val="24"/>
        </w:rPr>
      </w:pPr>
      <w:r w:rsidRPr="00DA183D">
        <w:rPr>
          <w:szCs w:val="24"/>
        </w:rPr>
        <w:t xml:space="preserve">Nepoužívejte </w:t>
      </w:r>
      <w:r w:rsidR="00D6377E" w:rsidRPr="00DA183D">
        <w:rPr>
          <w:szCs w:val="24"/>
        </w:rPr>
        <w:t xml:space="preserve">tento veterinární léčivý přípravek </w:t>
      </w:r>
      <w:r w:rsidRPr="00DA183D">
        <w:rPr>
          <w:szCs w:val="24"/>
        </w:rPr>
        <w:t>po uplynutí doby použitelnosti uvedené na etiketě</w:t>
      </w:r>
      <w:r w:rsidR="00001515" w:rsidRPr="00DA183D">
        <w:rPr>
          <w:szCs w:val="24"/>
        </w:rPr>
        <w:t xml:space="preserve"> po EXP</w:t>
      </w:r>
      <w:r w:rsidRPr="00DA183D">
        <w:rPr>
          <w:szCs w:val="24"/>
        </w:rPr>
        <w:t>.</w:t>
      </w:r>
    </w:p>
    <w:p w14:paraId="02078785" w14:textId="01D241B9" w:rsidR="002D7BCB" w:rsidRPr="00DA183D" w:rsidRDefault="002D7BCB">
      <w:pPr>
        <w:rPr>
          <w:szCs w:val="24"/>
        </w:rPr>
      </w:pPr>
      <w:r w:rsidRPr="00DA183D">
        <w:rPr>
          <w:szCs w:val="24"/>
        </w:rPr>
        <w:t xml:space="preserve">Doba použitelnost po </w:t>
      </w:r>
      <w:r w:rsidR="00D6377E" w:rsidRPr="00DA183D">
        <w:rPr>
          <w:szCs w:val="24"/>
        </w:rPr>
        <w:t>prvním</w:t>
      </w:r>
      <w:r w:rsidRPr="00DA183D">
        <w:rPr>
          <w:szCs w:val="24"/>
        </w:rPr>
        <w:t xml:space="preserve"> otevření </w:t>
      </w:r>
      <w:r w:rsidR="00D6377E" w:rsidRPr="00DA183D">
        <w:rPr>
          <w:szCs w:val="24"/>
        </w:rPr>
        <w:t xml:space="preserve">vnitřního obalu: </w:t>
      </w:r>
      <w:r w:rsidRPr="00DA183D">
        <w:rPr>
          <w:szCs w:val="24"/>
        </w:rPr>
        <w:t xml:space="preserve">28 dní. </w:t>
      </w:r>
    </w:p>
    <w:p w14:paraId="75E6A30C" w14:textId="77777777" w:rsidR="002D7BCB" w:rsidRPr="00DA183D" w:rsidRDefault="002D7BCB">
      <w:pPr>
        <w:ind w:left="567" w:hanging="567"/>
        <w:rPr>
          <w:b/>
          <w:bCs/>
          <w:szCs w:val="24"/>
        </w:rPr>
      </w:pPr>
    </w:p>
    <w:p w14:paraId="2C0A0A3C" w14:textId="77777777" w:rsidR="002D7BCB" w:rsidRPr="00DA183D" w:rsidRDefault="002D7BCB">
      <w:pPr>
        <w:ind w:left="567" w:hanging="567"/>
        <w:rPr>
          <w:b/>
          <w:bCs/>
          <w:caps/>
          <w:szCs w:val="24"/>
        </w:rPr>
      </w:pPr>
      <w:r w:rsidRPr="00DA183D">
        <w:rPr>
          <w:b/>
          <w:bCs/>
          <w:szCs w:val="24"/>
          <w:highlight w:val="lightGray"/>
        </w:rPr>
        <w:t>12.</w:t>
      </w:r>
      <w:r w:rsidRPr="00DA183D">
        <w:rPr>
          <w:b/>
          <w:bCs/>
          <w:szCs w:val="24"/>
        </w:rPr>
        <w:tab/>
        <w:t>ZVLÁŠTNÍ</w:t>
      </w:r>
      <w:r w:rsidRPr="00DA183D">
        <w:rPr>
          <w:b/>
          <w:bCs/>
          <w:caps/>
          <w:szCs w:val="24"/>
        </w:rPr>
        <w:t xml:space="preserve"> upozornění </w:t>
      </w:r>
    </w:p>
    <w:p w14:paraId="1AC1AE3E" w14:textId="77777777" w:rsidR="002D7BCB" w:rsidRPr="00DA183D" w:rsidRDefault="002D7BCB">
      <w:pPr>
        <w:rPr>
          <w:szCs w:val="24"/>
        </w:rPr>
      </w:pPr>
    </w:p>
    <w:p w14:paraId="134635F3" w14:textId="77777777" w:rsidR="00003118" w:rsidRPr="00DA183D" w:rsidRDefault="00003118" w:rsidP="00003118">
      <w:pPr>
        <w:rPr>
          <w:b/>
          <w:szCs w:val="24"/>
        </w:rPr>
      </w:pPr>
      <w:r w:rsidRPr="00DA183D">
        <w:rPr>
          <w:szCs w:val="24"/>
          <w:u w:val="single"/>
        </w:rPr>
        <w:t xml:space="preserve">Zvláštní opatření pro každý cílový druh:  </w:t>
      </w:r>
      <w:r w:rsidRPr="00DA183D">
        <w:rPr>
          <w:b/>
          <w:szCs w:val="24"/>
        </w:rPr>
        <w:t xml:space="preserve">  </w:t>
      </w:r>
    </w:p>
    <w:p w14:paraId="40EC64DF" w14:textId="14887024" w:rsidR="00003118" w:rsidRPr="00DA183D" w:rsidRDefault="00766CF5" w:rsidP="00003118">
      <w:pPr>
        <w:rPr>
          <w:szCs w:val="24"/>
        </w:rPr>
      </w:pPr>
      <w:r w:rsidRPr="00DA183D">
        <w:rPr>
          <w:szCs w:val="24"/>
        </w:rPr>
        <w:t>Nejsou.</w:t>
      </w:r>
    </w:p>
    <w:p w14:paraId="73AC9E80" w14:textId="77777777" w:rsidR="00766CF5" w:rsidRPr="00DA183D" w:rsidRDefault="00766CF5" w:rsidP="00003118">
      <w:pPr>
        <w:rPr>
          <w:szCs w:val="24"/>
        </w:rPr>
      </w:pPr>
    </w:p>
    <w:p w14:paraId="47E6A24B" w14:textId="77777777" w:rsidR="00003118" w:rsidRPr="00DA183D" w:rsidRDefault="00003118" w:rsidP="00003118">
      <w:pPr>
        <w:rPr>
          <w:szCs w:val="24"/>
          <w:u w:val="single"/>
        </w:rPr>
      </w:pPr>
      <w:r w:rsidRPr="00DA183D">
        <w:rPr>
          <w:szCs w:val="24"/>
          <w:u w:val="single"/>
        </w:rPr>
        <w:t>Zvláštní opatření pro použití u zvířat:</w:t>
      </w:r>
    </w:p>
    <w:p w14:paraId="04EA2719" w14:textId="77777777" w:rsidR="00766CF5" w:rsidRPr="00DA183D" w:rsidRDefault="00766CF5" w:rsidP="00766CF5">
      <w:pPr>
        <w:rPr>
          <w:szCs w:val="24"/>
        </w:rPr>
      </w:pPr>
      <w:r w:rsidRPr="00DA183D">
        <w:rPr>
          <w:szCs w:val="24"/>
        </w:rPr>
        <w:t>Použití přípravku by mělo být založeno na kultivaci a stanovení citlivosti mikroorganizmů pocházejících z výskytů případů onemocnění na farmě. Pokud to není možné, je nutné založit terapii na místních (regionální, na úrovni farmy) epizootologických informacích o citlivosti cílové bakterie.</w:t>
      </w:r>
    </w:p>
    <w:p w14:paraId="25EAAD72" w14:textId="4679D675" w:rsidR="00766CF5" w:rsidRPr="00DA183D" w:rsidRDefault="00766CF5" w:rsidP="00766CF5">
      <w:pPr>
        <w:jc w:val="both"/>
        <w:rPr>
          <w:bCs/>
          <w:szCs w:val="24"/>
        </w:rPr>
      </w:pPr>
      <w:r w:rsidRPr="00DA183D">
        <w:rPr>
          <w:szCs w:val="24"/>
        </w:rPr>
        <w:t>Použití přípravku, které je odlišné od pokynů uvedených v</w:t>
      </w:r>
      <w:r w:rsidR="00F9530F" w:rsidRPr="00DA183D">
        <w:rPr>
          <w:szCs w:val="24"/>
        </w:rPr>
        <w:t> této příbalové informaci</w:t>
      </w:r>
      <w:r w:rsidRPr="00DA183D">
        <w:rPr>
          <w:szCs w:val="24"/>
        </w:rPr>
        <w:t>, může zvýšit prevalenci bakterií rezistentních k oxytetracyklinu a snížit účinnost terapie ostatními tetracykliny z důvodu možné zkřížené rezistence.</w:t>
      </w:r>
    </w:p>
    <w:p w14:paraId="3856017B" w14:textId="77777777" w:rsidR="00003118" w:rsidRPr="00DA183D" w:rsidRDefault="00003118" w:rsidP="00003118">
      <w:pPr>
        <w:jc w:val="both"/>
        <w:rPr>
          <w:bCs/>
          <w:szCs w:val="24"/>
        </w:rPr>
      </w:pPr>
    </w:p>
    <w:p w14:paraId="5683AF0A" w14:textId="051652C1" w:rsidR="00003118" w:rsidRPr="00DA183D" w:rsidRDefault="00003118" w:rsidP="005135EE">
      <w:pPr>
        <w:keepNext/>
        <w:rPr>
          <w:bCs/>
          <w:szCs w:val="24"/>
          <w:u w:val="single"/>
        </w:rPr>
      </w:pPr>
      <w:r w:rsidRPr="00DA183D">
        <w:rPr>
          <w:bCs/>
          <w:szCs w:val="24"/>
          <w:u w:val="single"/>
        </w:rPr>
        <w:t>Zvláštní opatření určené osobám, které podávají veterinární léčivý přípravek zvířatům:</w:t>
      </w:r>
    </w:p>
    <w:p w14:paraId="14DEE6EE" w14:textId="77777777" w:rsidR="00FE5DE8" w:rsidRPr="00DA183D" w:rsidRDefault="00FE5DE8" w:rsidP="00FE5DE8">
      <w:pPr>
        <w:jc w:val="both"/>
        <w:rPr>
          <w:bCs/>
          <w:szCs w:val="24"/>
        </w:rPr>
      </w:pPr>
      <w:bookmarkStart w:id="0" w:name="_Hlk82601138"/>
      <w:r w:rsidRPr="00DA183D">
        <w:rPr>
          <w:bCs/>
          <w:szCs w:val="24"/>
        </w:rPr>
        <w:t>Lidé se známou přecitlivělostí na tetracykliny by se měli vyhnout kontaktu s veterinárním léčivým přípravkem.</w:t>
      </w:r>
    </w:p>
    <w:p w14:paraId="464DF933" w14:textId="77777777" w:rsidR="00FE5DE8" w:rsidRPr="00DA183D" w:rsidRDefault="00FE5DE8" w:rsidP="00FE5DE8">
      <w:pPr>
        <w:rPr>
          <w:bCs/>
          <w:szCs w:val="24"/>
        </w:rPr>
      </w:pPr>
      <w:r w:rsidRPr="00DA183D">
        <w:rPr>
          <w:bCs/>
          <w:szCs w:val="24"/>
        </w:rPr>
        <w:t>Tento přípravek může vyvolat podráždění kůže, očí a sliznic.</w:t>
      </w:r>
    </w:p>
    <w:p w14:paraId="385DF0F8" w14:textId="77777777" w:rsidR="00FE5DE8" w:rsidRPr="00DA183D" w:rsidRDefault="00FE5DE8" w:rsidP="00FE5DE8">
      <w:pPr>
        <w:rPr>
          <w:bCs/>
          <w:szCs w:val="24"/>
        </w:rPr>
      </w:pPr>
      <w:r w:rsidRPr="00DA183D">
        <w:rPr>
          <w:bCs/>
          <w:szCs w:val="24"/>
        </w:rPr>
        <w:t>V případě kontaktu s pokožkou, očima a sliznicemi opláchněte ihned zasažené místo velkým množstvím čisté vody.</w:t>
      </w:r>
    </w:p>
    <w:p w14:paraId="06F232F6" w14:textId="77777777" w:rsidR="00FE5DE8" w:rsidRPr="00DA183D" w:rsidRDefault="00FE5DE8" w:rsidP="00FE5DE8">
      <w:pPr>
        <w:tabs>
          <w:tab w:val="left" w:pos="0"/>
        </w:tabs>
        <w:jc w:val="both"/>
        <w:rPr>
          <w:bCs/>
          <w:szCs w:val="24"/>
        </w:rPr>
      </w:pPr>
      <w:r w:rsidRPr="00DA183D">
        <w:rPr>
          <w:bCs/>
          <w:szCs w:val="24"/>
        </w:rPr>
        <w:t>Předcházejte náhodnému samopodání injekce. V případě náhodného sebepoškození injekčně aplikovaným přípravkem vyhledejte lékařskou pomoc a ukažte příbalovou informaci nebo etiketu praktickému lékaři.</w:t>
      </w:r>
    </w:p>
    <w:p w14:paraId="1499CB2E" w14:textId="77777777" w:rsidR="00FE5DE8" w:rsidRPr="00DA183D" w:rsidRDefault="00FE5DE8" w:rsidP="00FE5DE8">
      <w:pPr>
        <w:pStyle w:val="Zkladntext"/>
        <w:rPr>
          <w:bCs/>
          <w:szCs w:val="24"/>
          <w:lang w:val="cs-CZ"/>
        </w:rPr>
      </w:pPr>
      <w:r w:rsidRPr="00DA183D">
        <w:rPr>
          <w:bCs/>
          <w:szCs w:val="24"/>
          <w:lang w:val="cs-CZ"/>
        </w:rPr>
        <w:t>Po použití si umyjte ruce.</w:t>
      </w:r>
    </w:p>
    <w:p w14:paraId="6B1465F2" w14:textId="77777777" w:rsidR="00FE5DE8" w:rsidRPr="00DA183D" w:rsidRDefault="00FE5DE8" w:rsidP="00FE5DE8">
      <w:pPr>
        <w:pStyle w:val="Zkladntext"/>
        <w:rPr>
          <w:szCs w:val="24"/>
          <w:shd w:val="clear" w:color="auto" w:fill="FFFFFF"/>
        </w:rPr>
      </w:pPr>
    </w:p>
    <w:bookmarkEnd w:id="0"/>
    <w:p w14:paraId="410FF278" w14:textId="77777777" w:rsidR="00003118" w:rsidRPr="00DA183D" w:rsidRDefault="000B388E" w:rsidP="00003118">
      <w:pPr>
        <w:rPr>
          <w:szCs w:val="24"/>
          <w:u w:val="single"/>
        </w:rPr>
      </w:pPr>
      <w:r w:rsidRPr="00DA183D">
        <w:rPr>
          <w:szCs w:val="24"/>
          <w:u w:val="single"/>
        </w:rPr>
        <w:t>Březost a laktace:</w:t>
      </w:r>
    </w:p>
    <w:p w14:paraId="69AD284C" w14:textId="072BA074" w:rsidR="00766CF5" w:rsidRPr="00DA183D" w:rsidRDefault="00E73BCA" w:rsidP="00766CF5">
      <w:pPr>
        <w:jc w:val="both"/>
        <w:rPr>
          <w:szCs w:val="24"/>
        </w:rPr>
      </w:pPr>
      <w:r w:rsidRPr="00DA183D">
        <w:rPr>
          <w:szCs w:val="24"/>
        </w:rPr>
        <w:t xml:space="preserve">Přípravek lze použít u březích a </w:t>
      </w:r>
      <w:proofErr w:type="spellStart"/>
      <w:r w:rsidRPr="00DA183D">
        <w:rPr>
          <w:szCs w:val="24"/>
        </w:rPr>
        <w:t>laktujících</w:t>
      </w:r>
      <w:proofErr w:type="spellEnd"/>
      <w:r w:rsidRPr="00DA183D">
        <w:rPr>
          <w:szCs w:val="24"/>
        </w:rPr>
        <w:t xml:space="preserve"> zvířat.</w:t>
      </w:r>
      <w:r w:rsidR="00766CF5" w:rsidRPr="00DA183D">
        <w:rPr>
          <w:szCs w:val="24"/>
        </w:rPr>
        <w:t xml:space="preserve"> Použít pouze po zvážení terapeutického prospěchu a rizika příslušným veterinárním lékařem. Použití oxytetracyklinu v období růstu a </w:t>
      </w:r>
      <w:r w:rsidR="00766CF5" w:rsidRPr="00DA183D">
        <w:rPr>
          <w:szCs w:val="24"/>
        </w:rPr>
        <w:lastRenderedPageBreak/>
        <w:t xml:space="preserve">vývoje zubů a kostí včetně období březosti, může způsobit změnu v barvě zubů a poruchy kalcifikace. </w:t>
      </w:r>
    </w:p>
    <w:p w14:paraId="2B3FE2FE" w14:textId="77777777" w:rsidR="00003118" w:rsidRPr="00DA183D" w:rsidRDefault="00003118">
      <w:pPr>
        <w:rPr>
          <w:szCs w:val="24"/>
        </w:rPr>
      </w:pPr>
    </w:p>
    <w:p w14:paraId="4CF40037" w14:textId="77777777" w:rsidR="006A159E" w:rsidRPr="00DA183D" w:rsidRDefault="006A159E" w:rsidP="00F415B0">
      <w:pPr>
        <w:jc w:val="both"/>
        <w:rPr>
          <w:szCs w:val="24"/>
          <w:u w:val="single"/>
        </w:rPr>
      </w:pPr>
      <w:r w:rsidRPr="00DA183D">
        <w:rPr>
          <w:szCs w:val="24"/>
          <w:u w:val="single"/>
        </w:rPr>
        <w:t>Interakce s dalšími léčivými přípravky a další formy interakce</w:t>
      </w:r>
      <w:r w:rsidR="00F415B0" w:rsidRPr="00DA183D">
        <w:rPr>
          <w:szCs w:val="24"/>
          <w:u w:val="single"/>
        </w:rPr>
        <w:t>:</w:t>
      </w:r>
    </w:p>
    <w:p w14:paraId="47B924EF" w14:textId="17EA3D52" w:rsidR="006A159E" w:rsidRPr="00DA183D" w:rsidRDefault="006A159E" w:rsidP="006A159E">
      <w:pPr>
        <w:autoSpaceDE w:val="0"/>
        <w:autoSpaceDN w:val="0"/>
        <w:adjustRightInd w:val="0"/>
        <w:snapToGrid w:val="0"/>
        <w:jc w:val="both"/>
        <w:rPr>
          <w:szCs w:val="24"/>
          <w:lang w:val="x-none"/>
        </w:rPr>
      </w:pPr>
      <w:r w:rsidRPr="00DA183D">
        <w:rPr>
          <w:szCs w:val="24"/>
          <w:lang w:val="x-none"/>
        </w:rPr>
        <w:t>Tetracykliny mohou vykazovat synerg</w:t>
      </w:r>
      <w:r w:rsidR="00766CF5" w:rsidRPr="00DA183D">
        <w:rPr>
          <w:szCs w:val="24"/>
        </w:rPr>
        <w:t>ický</w:t>
      </w:r>
      <w:r w:rsidRPr="00DA183D">
        <w:rPr>
          <w:szCs w:val="24"/>
          <w:lang w:val="x-none"/>
        </w:rPr>
        <w:t xml:space="preserve"> účinek se sulfonamidy a vybranými</w:t>
      </w:r>
    </w:p>
    <w:p w14:paraId="24CAAE55" w14:textId="103F3CF9" w:rsidR="006A159E" w:rsidRPr="00DA183D" w:rsidRDefault="006A159E" w:rsidP="006A159E">
      <w:pPr>
        <w:autoSpaceDE w:val="0"/>
        <w:autoSpaceDN w:val="0"/>
        <w:adjustRightInd w:val="0"/>
        <w:snapToGrid w:val="0"/>
        <w:jc w:val="both"/>
        <w:rPr>
          <w:szCs w:val="24"/>
          <w:lang w:val="x-none"/>
        </w:rPr>
      </w:pPr>
      <w:r w:rsidRPr="00DA183D">
        <w:rPr>
          <w:szCs w:val="24"/>
          <w:lang w:val="x-none"/>
        </w:rPr>
        <w:t>bakteriostatickými antibiotiky. Nepodávat s beta</w:t>
      </w:r>
      <w:r w:rsidRPr="00DA183D">
        <w:rPr>
          <w:szCs w:val="24"/>
        </w:rPr>
        <w:t>-</w:t>
      </w:r>
      <w:r w:rsidRPr="00DA183D">
        <w:rPr>
          <w:szCs w:val="24"/>
          <w:lang w:val="x-none"/>
        </w:rPr>
        <w:t>laktamy z důvodu antagonistického působen</w:t>
      </w:r>
      <w:r w:rsidR="00766CF5" w:rsidRPr="00DA183D">
        <w:rPr>
          <w:szCs w:val="24"/>
        </w:rPr>
        <w:t>í</w:t>
      </w:r>
      <w:r w:rsidRPr="00DA183D">
        <w:rPr>
          <w:szCs w:val="24"/>
          <w:lang w:val="x-none"/>
        </w:rPr>
        <w:t>.</w:t>
      </w:r>
    </w:p>
    <w:p w14:paraId="0E8EADA0" w14:textId="77777777" w:rsidR="006A159E" w:rsidRPr="00DA183D" w:rsidRDefault="006A159E" w:rsidP="006A159E">
      <w:pPr>
        <w:autoSpaceDE w:val="0"/>
        <w:autoSpaceDN w:val="0"/>
        <w:adjustRightInd w:val="0"/>
        <w:snapToGrid w:val="0"/>
        <w:jc w:val="both"/>
        <w:rPr>
          <w:szCs w:val="24"/>
          <w:lang w:val="x-none"/>
        </w:rPr>
      </w:pPr>
      <w:r w:rsidRPr="00DA183D">
        <w:rPr>
          <w:szCs w:val="24"/>
          <w:lang w:val="x-none"/>
        </w:rPr>
        <w:t>Nepodávat současně s jinými injekčními přípravky obsahující železo-dextranový komplex.</w:t>
      </w:r>
    </w:p>
    <w:p w14:paraId="12A79630" w14:textId="77777777" w:rsidR="000B388E" w:rsidRPr="00DA183D" w:rsidRDefault="000B388E">
      <w:pPr>
        <w:rPr>
          <w:szCs w:val="24"/>
        </w:rPr>
      </w:pPr>
    </w:p>
    <w:p w14:paraId="423978B8" w14:textId="77777777" w:rsidR="00A74660" w:rsidRPr="00DA183D" w:rsidRDefault="00A74660" w:rsidP="00A74660">
      <w:pPr>
        <w:rPr>
          <w:szCs w:val="24"/>
          <w:u w:val="single"/>
        </w:rPr>
      </w:pPr>
      <w:r w:rsidRPr="00DA183D">
        <w:rPr>
          <w:szCs w:val="24"/>
          <w:u w:val="single"/>
        </w:rPr>
        <w:t xml:space="preserve">Předávkování (symptomy, první pomoc, antidota):        </w:t>
      </w:r>
    </w:p>
    <w:p w14:paraId="1351D1AA" w14:textId="3172FEB9" w:rsidR="00766CF5" w:rsidRPr="00DA183D" w:rsidRDefault="00A74660" w:rsidP="00766CF5">
      <w:pPr>
        <w:autoSpaceDE w:val="0"/>
        <w:autoSpaceDN w:val="0"/>
        <w:adjustRightInd w:val="0"/>
        <w:snapToGrid w:val="0"/>
        <w:jc w:val="both"/>
        <w:rPr>
          <w:szCs w:val="24"/>
          <w:lang w:val="x-none"/>
        </w:rPr>
      </w:pPr>
      <w:r w:rsidRPr="00DA183D">
        <w:rPr>
          <w:szCs w:val="24"/>
        </w:rPr>
        <w:t>Nepřekračovat doporučenou dávku.</w:t>
      </w:r>
      <w:r w:rsidRPr="00DA183D" w:rsidDel="008022C5">
        <w:rPr>
          <w:szCs w:val="24"/>
        </w:rPr>
        <w:t xml:space="preserve"> </w:t>
      </w:r>
      <w:r w:rsidR="00766CF5" w:rsidRPr="00DA183D">
        <w:rPr>
          <w:szCs w:val="24"/>
          <w:lang w:val="x-none"/>
        </w:rPr>
        <w:t xml:space="preserve">Oxytetracyklin má </w:t>
      </w:r>
      <w:r w:rsidR="00766CF5" w:rsidRPr="00DA183D">
        <w:rPr>
          <w:szCs w:val="24"/>
        </w:rPr>
        <w:t xml:space="preserve">vysoký terapeutický index. V případě výskytu nežádoucích reakcí </w:t>
      </w:r>
      <w:r w:rsidR="00766CF5" w:rsidRPr="00DA183D">
        <w:rPr>
          <w:szCs w:val="24"/>
          <w:lang w:val="x-none"/>
        </w:rPr>
        <w:t>je doporučený postup uveden v bodě 6.</w:t>
      </w:r>
    </w:p>
    <w:p w14:paraId="6B8A56C8" w14:textId="77777777" w:rsidR="00A74660" w:rsidRPr="00DA183D" w:rsidRDefault="00A74660" w:rsidP="00766CF5">
      <w:pPr>
        <w:autoSpaceDE w:val="0"/>
        <w:autoSpaceDN w:val="0"/>
        <w:adjustRightInd w:val="0"/>
        <w:snapToGrid w:val="0"/>
        <w:jc w:val="both"/>
        <w:rPr>
          <w:szCs w:val="24"/>
          <w:lang w:val="x-none"/>
        </w:rPr>
      </w:pPr>
    </w:p>
    <w:p w14:paraId="3530252D" w14:textId="76E9BA50" w:rsidR="00003118" w:rsidRPr="00E03A2D" w:rsidRDefault="00A74660">
      <w:pPr>
        <w:rPr>
          <w:szCs w:val="24"/>
          <w:u w:val="single"/>
        </w:rPr>
      </w:pPr>
      <w:bookmarkStart w:id="1" w:name="_GoBack"/>
      <w:r w:rsidRPr="00E03A2D">
        <w:rPr>
          <w:szCs w:val="24"/>
          <w:u w:val="single"/>
        </w:rPr>
        <w:t>Inkompa</w:t>
      </w:r>
      <w:r w:rsidR="0010719A" w:rsidRPr="00E03A2D">
        <w:rPr>
          <w:szCs w:val="24"/>
          <w:u w:val="single"/>
        </w:rPr>
        <w:t>ti</w:t>
      </w:r>
      <w:r w:rsidRPr="00E03A2D">
        <w:rPr>
          <w:szCs w:val="24"/>
          <w:u w:val="single"/>
        </w:rPr>
        <w:t>bility:</w:t>
      </w:r>
    </w:p>
    <w:bookmarkEnd w:id="1"/>
    <w:p w14:paraId="130F0631" w14:textId="77777777" w:rsidR="00A74660" w:rsidRPr="00DA183D" w:rsidRDefault="00A74660" w:rsidP="00A74660">
      <w:pPr>
        <w:rPr>
          <w:szCs w:val="24"/>
        </w:rPr>
      </w:pPr>
      <w:r w:rsidRPr="00DA183D">
        <w:rPr>
          <w:szCs w:val="24"/>
        </w:rPr>
        <w:t>Nejsou známy.</w:t>
      </w:r>
    </w:p>
    <w:p w14:paraId="426D4D48" w14:textId="77777777" w:rsidR="00A74660" w:rsidRPr="00DA183D" w:rsidRDefault="00A74660">
      <w:pPr>
        <w:rPr>
          <w:szCs w:val="24"/>
        </w:rPr>
      </w:pPr>
    </w:p>
    <w:p w14:paraId="763AA7EF" w14:textId="77777777" w:rsidR="002D7BCB" w:rsidRPr="00DA183D" w:rsidRDefault="002D7BCB" w:rsidP="005135EE">
      <w:pPr>
        <w:keepNext/>
        <w:ind w:left="567" w:hanging="567"/>
        <w:rPr>
          <w:b/>
          <w:bCs/>
          <w:caps/>
          <w:szCs w:val="24"/>
        </w:rPr>
      </w:pPr>
      <w:r w:rsidRPr="00DA183D">
        <w:rPr>
          <w:b/>
          <w:bCs/>
          <w:szCs w:val="24"/>
          <w:highlight w:val="lightGray"/>
        </w:rPr>
        <w:t>13</w:t>
      </w:r>
      <w:r w:rsidRPr="00DA183D">
        <w:rPr>
          <w:b/>
          <w:bCs/>
          <w:szCs w:val="24"/>
        </w:rPr>
        <w:t>.</w:t>
      </w:r>
      <w:r w:rsidRPr="00DA183D">
        <w:rPr>
          <w:b/>
          <w:bCs/>
          <w:szCs w:val="24"/>
        </w:rPr>
        <w:tab/>
        <w:t xml:space="preserve">ZVLÁŠTNÍ OPATŘENÍ </w:t>
      </w:r>
      <w:r w:rsidRPr="00DA183D">
        <w:rPr>
          <w:b/>
          <w:bCs/>
          <w:caps/>
          <w:szCs w:val="24"/>
        </w:rPr>
        <w:t xml:space="preserve">PRO zneškodňování NEPOUŽITých přípravků nebo ODPADU, pokud je jich třeba </w:t>
      </w:r>
    </w:p>
    <w:p w14:paraId="4349616D" w14:textId="77777777" w:rsidR="00A930B9" w:rsidRPr="00DA183D" w:rsidRDefault="00A930B9" w:rsidP="005135EE">
      <w:pPr>
        <w:keepNext/>
        <w:ind w:left="567" w:hanging="567"/>
        <w:rPr>
          <w:b/>
          <w:bCs/>
          <w:caps/>
          <w:szCs w:val="24"/>
        </w:rPr>
      </w:pPr>
    </w:p>
    <w:p w14:paraId="2BAC4230" w14:textId="4FF873C3" w:rsidR="00A930B9" w:rsidRPr="00DA183D" w:rsidRDefault="00A930B9" w:rsidP="00F24F5C">
      <w:pPr>
        <w:ind w:right="-318"/>
        <w:jc w:val="both"/>
        <w:rPr>
          <w:szCs w:val="24"/>
        </w:rPr>
      </w:pPr>
      <w:r w:rsidRPr="00DA183D">
        <w:rPr>
          <w:szCs w:val="24"/>
        </w:rPr>
        <w:t>Léčivé přípravky se nesmí likvidovat prostřednictvím odpadní vody či domovního odpadu.</w:t>
      </w:r>
    </w:p>
    <w:p w14:paraId="0A73E7E9" w14:textId="77777777" w:rsidR="002D7BCB" w:rsidRPr="00DA183D" w:rsidRDefault="00A74660" w:rsidP="00F24F5C">
      <w:pPr>
        <w:ind w:right="-318"/>
        <w:jc w:val="both"/>
        <w:rPr>
          <w:szCs w:val="24"/>
        </w:rPr>
      </w:pPr>
      <w:r w:rsidRPr="00DA183D">
        <w:rPr>
          <w:szCs w:val="24"/>
        </w:rPr>
        <w:t xml:space="preserve">O možnostech likvidace nepotřebných léčivých přípravků se poraďte s vaším veterinárním lékařem nebo lékárníkem. </w:t>
      </w:r>
      <w:r w:rsidR="00A930B9" w:rsidRPr="00DA183D">
        <w:rPr>
          <w:szCs w:val="24"/>
        </w:rPr>
        <w:t>Tato opatření napomáhají chránit životní prostředí.</w:t>
      </w:r>
    </w:p>
    <w:p w14:paraId="1B94792A" w14:textId="77777777" w:rsidR="00A74660" w:rsidRPr="00DA183D" w:rsidRDefault="00A74660">
      <w:pPr>
        <w:ind w:right="-318"/>
        <w:rPr>
          <w:szCs w:val="24"/>
        </w:rPr>
      </w:pPr>
    </w:p>
    <w:p w14:paraId="29F8F77B" w14:textId="77777777" w:rsidR="002D7BCB" w:rsidRPr="00DA183D" w:rsidRDefault="002D7BCB">
      <w:pPr>
        <w:ind w:left="567" w:hanging="567"/>
        <w:rPr>
          <w:b/>
          <w:bCs/>
          <w:szCs w:val="24"/>
        </w:rPr>
      </w:pPr>
      <w:r w:rsidRPr="00DA183D">
        <w:rPr>
          <w:b/>
          <w:bCs/>
          <w:szCs w:val="24"/>
          <w:highlight w:val="lightGray"/>
        </w:rPr>
        <w:t>14</w:t>
      </w:r>
      <w:r w:rsidRPr="00DA183D">
        <w:rPr>
          <w:b/>
          <w:bCs/>
          <w:szCs w:val="24"/>
        </w:rPr>
        <w:t>.</w:t>
      </w:r>
      <w:r w:rsidRPr="00DA183D">
        <w:rPr>
          <w:b/>
          <w:bCs/>
          <w:szCs w:val="24"/>
        </w:rPr>
        <w:tab/>
        <w:t xml:space="preserve">DATUM POSLEDNÍ REVIZE </w:t>
      </w:r>
      <w:r w:rsidRPr="00DA183D">
        <w:rPr>
          <w:b/>
          <w:bCs/>
          <w:caps/>
          <w:szCs w:val="24"/>
        </w:rPr>
        <w:t>PŘÍBALOVÉ Informace</w:t>
      </w:r>
    </w:p>
    <w:p w14:paraId="4F3AFE80" w14:textId="77777777" w:rsidR="00F24F5C" w:rsidRPr="00DA183D" w:rsidRDefault="00F24F5C">
      <w:pPr>
        <w:ind w:right="-318"/>
        <w:rPr>
          <w:szCs w:val="24"/>
        </w:rPr>
      </w:pPr>
    </w:p>
    <w:p w14:paraId="25426605" w14:textId="097DD88F" w:rsidR="00A930B9" w:rsidRPr="00DA183D" w:rsidRDefault="00035206">
      <w:pPr>
        <w:ind w:right="-318"/>
        <w:rPr>
          <w:szCs w:val="24"/>
        </w:rPr>
      </w:pPr>
      <w:r w:rsidRPr="00DA183D">
        <w:rPr>
          <w:szCs w:val="24"/>
        </w:rPr>
        <w:t>Prosinec</w:t>
      </w:r>
      <w:r w:rsidR="00A930B9" w:rsidRPr="00DA183D">
        <w:rPr>
          <w:szCs w:val="24"/>
        </w:rPr>
        <w:t xml:space="preserve"> 2021</w:t>
      </w:r>
    </w:p>
    <w:p w14:paraId="7F508868" w14:textId="77777777" w:rsidR="002D7BCB" w:rsidRPr="00DA183D" w:rsidRDefault="002D7BCB">
      <w:pPr>
        <w:ind w:right="-318"/>
        <w:rPr>
          <w:szCs w:val="24"/>
        </w:rPr>
      </w:pPr>
    </w:p>
    <w:p w14:paraId="4F8DFFA2" w14:textId="77777777" w:rsidR="002D7BCB" w:rsidRPr="00DA183D" w:rsidRDefault="002D7BCB">
      <w:pPr>
        <w:ind w:left="567" w:hanging="567"/>
        <w:rPr>
          <w:b/>
          <w:bCs/>
          <w:szCs w:val="24"/>
        </w:rPr>
      </w:pPr>
      <w:r w:rsidRPr="00DA183D">
        <w:rPr>
          <w:b/>
          <w:bCs/>
          <w:szCs w:val="24"/>
          <w:highlight w:val="lightGray"/>
        </w:rPr>
        <w:t>15.</w:t>
      </w:r>
      <w:r w:rsidRPr="00DA183D">
        <w:rPr>
          <w:b/>
          <w:bCs/>
          <w:szCs w:val="24"/>
        </w:rPr>
        <w:tab/>
        <w:t>DALŠÍ INFORMACE</w:t>
      </w:r>
    </w:p>
    <w:p w14:paraId="1594BB74" w14:textId="77777777" w:rsidR="00A930B9" w:rsidRPr="00DA183D" w:rsidRDefault="00A930B9">
      <w:pPr>
        <w:ind w:left="567" w:hanging="567"/>
        <w:rPr>
          <w:szCs w:val="24"/>
        </w:rPr>
      </w:pPr>
    </w:p>
    <w:p w14:paraId="270FDFC1" w14:textId="77777777" w:rsidR="002D7BCB" w:rsidRPr="00DA183D" w:rsidRDefault="002D7BCB">
      <w:pPr>
        <w:ind w:right="-2"/>
        <w:rPr>
          <w:szCs w:val="24"/>
        </w:rPr>
      </w:pPr>
      <w:r w:rsidRPr="00DA183D">
        <w:rPr>
          <w:szCs w:val="24"/>
        </w:rPr>
        <w:t>Pouze pro zvířata.</w:t>
      </w:r>
    </w:p>
    <w:p w14:paraId="2707BE9D" w14:textId="77777777" w:rsidR="002D7BCB" w:rsidRPr="00DA183D" w:rsidRDefault="002D7BCB">
      <w:pPr>
        <w:ind w:right="-2"/>
        <w:rPr>
          <w:szCs w:val="24"/>
        </w:rPr>
      </w:pPr>
      <w:r w:rsidRPr="00DA183D">
        <w:rPr>
          <w:szCs w:val="24"/>
        </w:rPr>
        <w:t>Veterinární léčivý přípravek je vydáván pouze na předpis.</w:t>
      </w:r>
    </w:p>
    <w:p w14:paraId="6F285C28" w14:textId="38A3B8F5" w:rsidR="002D7BCB" w:rsidRPr="00DA183D" w:rsidRDefault="00001515">
      <w:pPr>
        <w:rPr>
          <w:szCs w:val="24"/>
        </w:rPr>
      </w:pPr>
      <w:r w:rsidRPr="00DA183D">
        <w:rPr>
          <w:szCs w:val="24"/>
        </w:rPr>
        <w:t>Velikosti balení</w:t>
      </w:r>
      <w:r w:rsidR="002D7BCB" w:rsidRPr="00DA183D">
        <w:rPr>
          <w:szCs w:val="24"/>
        </w:rPr>
        <w:t>:</w:t>
      </w:r>
    </w:p>
    <w:p w14:paraId="7A64638A" w14:textId="77777777" w:rsidR="00F24F5C" w:rsidRPr="00DA183D" w:rsidRDefault="00F24F5C">
      <w:pPr>
        <w:rPr>
          <w:szCs w:val="24"/>
        </w:rPr>
      </w:pPr>
      <w:r w:rsidRPr="00DA183D">
        <w:rPr>
          <w:szCs w:val="24"/>
        </w:rPr>
        <w:t xml:space="preserve">1 x </w:t>
      </w:r>
      <w:r w:rsidR="002D7BCB" w:rsidRPr="00DA183D">
        <w:rPr>
          <w:szCs w:val="24"/>
        </w:rPr>
        <w:t>100</w:t>
      </w:r>
      <w:r w:rsidRPr="00DA183D">
        <w:rPr>
          <w:szCs w:val="24"/>
        </w:rPr>
        <w:t xml:space="preserve"> </w:t>
      </w:r>
      <w:r w:rsidR="002D7BCB" w:rsidRPr="00DA183D">
        <w:rPr>
          <w:szCs w:val="24"/>
        </w:rPr>
        <w:t>ml</w:t>
      </w:r>
    </w:p>
    <w:p w14:paraId="784B8C75" w14:textId="7BFB6937" w:rsidR="002D7BCB" w:rsidRPr="00DA183D" w:rsidRDefault="00F24F5C">
      <w:pPr>
        <w:rPr>
          <w:szCs w:val="24"/>
        </w:rPr>
      </w:pPr>
      <w:r w:rsidRPr="00DA183D">
        <w:rPr>
          <w:szCs w:val="24"/>
        </w:rPr>
        <w:t xml:space="preserve">1 x </w:t>
      </w:r>
      <w:r w:rsidR="002D7BCB" w:rsidRPr="00DA183D">
        <w:rPr>
          <w:szCs w:val="24"/>
        </w:rPr>
        <w:t>250 ml</w:t>
      </w:r>
    </w:p>
    <w:p w14:paraId="282567A5" w14:textId="7700577E" w:rsidR="002D7BCB" w:rsidRPr="00DA183D" w:rsidRDefault="002D7BCB">
      <w:pPr>
        <w:ind w:right="-2"/>
        <w:rPr>
          <w:szCs w:val="24"/>
        </w:rPr>
      </w:pPr>
      <w:r w:rsidRPr="00DA183D">
        <w:rPr>
          <w:szCs w:val="24"/>
        </w:rPr>
        <w:t>Na trhu nemusí být všechny velikosti balení.</w:t>
      </w:r>
    </w:p>
    <w:p w14:paraId="3E05ECB9" w14:textId="77777777" w:rsidR="002D7BCB" w:rsidRPr="00DA183D" w:rsidRDefault="002D7BCB" w:rsidP="00E6059E">
      <w:pPr>
        <w:rPr>
          <w:szCs w:val="24"/>
        </w:rPr>
      </w:pPr>
    </w:p>
    <w:sectPr w:rsidR="002D7BCB" w:rsidRPr="00DA18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E99FA" w14:textId="77777777" w:rsidR="000C016B" w:rsidRDefault="000C016B" w:rsidP="00F705C2">
      <w:r>
        <w:separator/>
      </w:r>
    </w:p>
  </w:endnote>
  <w:endnote w:type="continuationSeparator" w:id="0">
    <w:p w14:paraId="3D3A11AB" w14:textId="77777777" w:rsidR="000C016B" w:rsidRDefault="000C016B" w:rsidP="00F7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BCABF" w14:textId="77777777" w:rsidR="000C016B" w:rsidRDefault="000C016B" w:rsidP="00F705C2">
      <w:r>
        <w:separator/>
      </w:r>
    </w:p>
  </w:footnote>
  <w:footnote w:type="continuationSeparator" w:id="0">
    <w:p w14:paraId="2F2CD7B3" w14:textId="77777777" w:rsidR="000C016B" w:rsidRDefault="000C016B" w:rsidP="00F70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4DD18" w14:textId="632967FE" w:rsidR="00F705C2" w:rsidRPr="00F705C2" w:rsidRDefault="00F705C2" w:rsidP="00F705C2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43CA2"/>
    <w:multiLevelType w:val="singleLevel"/>
    <w:tmpl w:val="8AF8DCF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04512ED"/>
    <w:multiLevelType w:val="singleLevel"/>
    <w:tmpl w:val="AE04749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FC76B9"/>
    <w:multiLevelType w:val="singleLevel"/>
    <w:tmpl w:val="06287CA0"/>
    <w:lvl w:ilvl="0">
      <w:start w:val="10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4FF50A1"/>
    <w:multiLevelType w:val="multilevel"/>
    <w:tmpl w:val="D07253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16438B"/>
    <w:multiLevelType w:val="singleLevel"/>
    <w:tmpl w:val="FDFC597A"/>
    <w:lvl w:ilvl="0">
      <w:start w:val="7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A0F2359"/>
    <w:multiLevelType w:val="hybridMultilevel"/>
    <w:tmpl w:val="7DD6E694"/>
    <w:lvl w:ilvl="0" w:tplc="F4BA3C6A">
      <w:start w:val="1"/>
      <w:numFmt w:val="decimal"/>
      <w:pStyle w:val="Styl1"/>
      <w:lvlText w:val="%1."/>
      <w:lvlJc w:val="left"/>
      <w:pPr>
        <w:tabs>
          <w:tab w:val="num" w:pos="57"/>
        </w:tabs>
        <w:ind w:left="0" w:firstLine="0"/>
      </w:pPr>
      <w:rPr>
        <w:rFonts w:ascii="Arial" w:hAnsi="Arial" w:hint="default"/>
        <w:color w:val="000000"/>
        <w:sz w:val="22"/>
        <w:szCs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4E58F8"/>
    <w:multiLevelType w:val="singleLevel"/>
    <w:tmpl w:val="3A1E100E"/>
    <w:lvl w:ilvl="0">
      <w:start w:val="4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4373B66"/>
    <w:multiLevelType w:val="singleLevel"/>
    <w:tmpl w:val="732020D0"/>
    <w:lvl w:ilvl="0">
      <w:start w:val="6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0075217"/>
    <w:multiLevelType w:val="singleLevel"/>
    <w:tmpl w:val="55D06FD4"/>
    <w:lvl w:ilvl="0">
      <w:start w:val="3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5FB4FF6"/>
    <w:multiLevelType w:val="singleLevel"/>
    <w:tmpl w:val="4830ED1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7855CA0"/>
    <w:multiLevelType w:val="singleLevel"/>
    <w:tmpl w:val="BB52C40A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B896A08"/>
    <w:multiLevelType w:val="singleLevel"/>
    <w:tmpl w:val="23EA1A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2EF064BE"/>
    <w:multiLevelType w:val="singleLevel"/>
    <w:tmpl w:val="1B04DAD0"/>
    <w:lvl w:ilvl="0">
      <w:start w:val="8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8D87933"/>
    <w:multiLevelType w:val="singleLevel"/>
    <w:tmpl w:val="21E223A0"/>
    <w:lvl w:ilvl="0">
      <w:start w:val="5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B0F79FB"/>
    <w:multiLevelType w:val="singleLevel"/>
    <w:tmpl w:val="694862EC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0972C61"/>
    <w:multiLevelType w:val="singleLevel"/>
    <w:tmpl w:val="DB74B0CE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1AB0FC2"/>
    <w:multiLevelType w:val="singleLevel"/>
    <w:tmpl w:val="055CF51A"/>
    <w:lvl w:ilvl="0">
      <w:start w:val="1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20574E1"/>
    <w:multiLevelType w:val="singleLevel"/>
    <w:tmpl w:val="6AE68B50"/>
    <w:lvl w:ilvl="0"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6D052FB"/>
    <w:multiLevelType w:val="singleLevel"/>
    <w:tmpl w:val="1B644A4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D25420F"/>
    <w:multiLevelType w:val="singleLevel"/>
    <w:tmpl w:val="2862A0E8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50923572"/>
    <w:multiLevelType w:val="singleLevel"/>
    <w:tmpl w:val="BD96C6FE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3E137D8"/>
    <w:multiLevelType w:val="singleLevel"/>
    <w:tmpl w:val="06A8A6C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53FA765A"/>
    <w:multiLevelType w:val="singleLevel"/>
    <w:tmpl w:val="B48858BE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546C67EB"/>
    <w:multiLevelType w:val="singleLevel"/>
    <w:tmpl w:val="2BF4B8AA"/>
    <w:lvl w:ilvl="0">
      <w:start w:val="2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65D6697"/>
    <w:multiLevelType w:val="singleLevel"/>
    <w:tmpl w:val="25F20908"/>
    <w:lvl w:ilvl="0">
      <w:start w:val="6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60607B2D"/>
    <w:multiLevelType w:val="hybridMultilevel"/>
    <w:tmpl w:val="19CAB23A"/>
    <w:lvl w:ilvl="0" w:tplc="A9EC7158">
      <w:start w:val="1"/>
      <w:numFmt w:val="decimal"/>
      <w:pStyle w:val="Nadpis2"/>
      <w:lvlText w:val="%1.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677293"/>
    <w:multiLevelType w:val="multilevel"/>
    <w:tmpl w:val="9FBEC5A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1E697A"/>
    <w:multiLevelType w:val="singleLevel"/>
    <w:tmpl w:val="64E0645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1552D40"/>
    <w:multiLevelType w:val="singleLevel"/>
    <w:tmpl w:val="C316B3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52D0963"/>
    <w:multiLevelType w:val="singleLevel"/>
    <w:tmpl w:val="F6828434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E322370"/>
    <w:multiLevelType w:val="singleLevel"/>
    <w:tmpl w:val="E306EE78"/>
    <w:lvl w:ilvl="0">
      <w:start w:val="4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E3E54D9"/>
    <w:multiLevelType w:val="singleLevel"/>
    <w:tmpl w:val="D6AE6DB4"/>
    <w:lvl w:ilvl="0">
      <w:start w:val="5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F121E73"/>
    <w:multiLevelType w:val="hybridMultilevel"/>
    <w:tmpl w:val="A2725FDC"/>
    <w:lvl w:ilvl="0" w:tplc="AF0A7E18">
      <w:start w:val="1"/>
      <w:numFmt w:val="decimal"/>
      <w:pStyle w:val="Nadpis"/>
      <w:lvlText w:val="%1."/>
      <w:lvlJc w:val="left"/>
      <w:pPr>
        <w:tabs>
          <w:tab w:val="num" w:pos="57"/>
        </w:tabs>
        <w:ind w:left="0" w:firstLine="0"/>
      </w:pPr>
      <w:rPr>
        <w:rFonts w:ascii="Arial" w:hAnsi="Arial" w:hint="default"/>
        <w:color w:val="000000"/>
        <w:sz w:val="22"/>
        <w:szCs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</w:num>
  <w:num w:numId="3">
    <w:abstractNumId w:val="6"/>
  </w:num>
  <w:num w:numId="4">
    <w:abstractNumId w:val="33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7">
    <w:abstractNumId w:val="29"/>
  </w:num>
  <w:num w:numId="8">
    <w:abstractNumId w:val="28"/>
  </w:num>
  <w:num w:numId="9">
    <w:abstractNumId w:val="10"/>
  </w:num>
  <w:num w:numId="10">
    <w:abstractNumId w:val="19"/>
  </w:num>
  <w:num w:numId="11">
    <w:abstractNumId w:val="22"/>
  </w:num>
  <w:num w:numId="12">
    <w:abstractNumId w:val="18"/>
  </w:num>
  <w:num w:numId="13">
    <w:abstractNumId w:val="21"/>
  </w:num>
  <w:num w:numId="14">
    <w:abstractNumId w:val="16"/>
  </w:num>
  <w:num w:numId="15">
    <w:abstractNumId w:val="11"/>
  </w:num>
  <w:num w:numId="16">
    <w:abstractNumId w:val="31"/>
  </w:num>
  <w:num w:numId="17">
    <w:abstractNumId w:val="32"/>
  </w:num>
  <w:num w:numId="18">
    <w:abstractNumId w:val="8"/>
  </w:num>
  <w:num w:numId="19">
    <w:abstractNumId w:val="5"/>
  </w:num>
  <w:num w:numId="20">
    <w:abstractNumId w:val="13"/>
  </w:num>
  <w:num w:numId="21">
    <w:abstractNumId w:val="3"/>
  </w:num>
  <w:num w:numId="22">
    <w:abstractNumId w:val="17"/>
  </w:num>
  <w:num w:numId="23">
    <w:abstractNumId w:val="12"/>
  </w:num>
  <w:num w:numId="24">
    <w:abstractNumId w:val="15"/>
  </w:num>
  <w:num w:numId="25">
    <w:abstractNumId w:val="23"/>
  </w:num>
  <w:num w:numId="26">
    <w:abstractNumId w:val="30"/>
  </w:num>
  <w:num w:numId="27">
    <w:abstractNumId w:val="7"/>
  </w:num>
  <w:num w:numId="28">
    <w:abstractNumId w:val="14"/>
  </w:num>
  <w:num w:numId="29">
    <w:abstractNumId w:val="25"/>
  </w:num>
  <w:num w:numId="30">
    <w:abstractNumId w:val="2"/>
  </w:num>
  <w:num w:numId="31">
    <w:abstractNumId w:val="20"/>
  </w:num>
  <w:num w:numId="32">
    <w:abstractNumId w:val="24"/>
  </w:num>
  <w:num w:numId="33">
    <w:abstractNumId w:val="9"/>
  </w:num>
  <w:num w:numId="3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6">
    <w:abstractNumId w:val="2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B0"/>
    <w:rsid w:val="00001515"/>
    <w:rsid w:val="00003118"/>
    <w:rsid w:val="00035206"/>
    <w:rsid w:val="00044221"/>
    <w:rsid w:val="00050356"/>
    <w:rsid w:val="00050E41"/>
    <w:rsid w:val="000559A0"/>
    <w:rsid w:val="000910A1"/>
    <w:rsid w:val="000A1428"/>
    <w:rsid w:val="000B388E"/>
    <w:rsid w:val="000C016B"/>
    <w:rsid w:val="000C39EC"/>
    <w:rsid w:val="000F3528"/>
    <w:rsid w:val="0010719A"/>
    <w:rsid w:val="0012310B"/>
    <w:rsid w:val="00190F04"/>
    <w:rsid w:val="0019345B"/>
    <w:rsid w:val="002364B1"/>
    <w:rsid w:val="00266BC9"/>
    <w:rsid w:val="00276C9D"/>
    <w:rsid w:val="002D7BCB"/>
    <w:rsid w:val="002E5A2F"/>
    <w:rsid w:val="00317A99"/>
    <w:rsid w:val="00351A14"/>
    <w:rsid w:val="0039253A"/>
    <w:rsid w:val="003A0296"/>
    <w:rsid w:val="0043740C"/>
    <w:rsid w:val="004520BB"/>
    <w:rsid w:val="0046442D"/>
    <w:rsid w:val="004F425D"/>
    <w:rsid w:val="005135EE"/>
    <w:rsid w:val="00516E84"/>
    <w:rsid w:val="00537C64"/>
    <w:rsid w:val="006A159E"/>
    <w:rsid w:val="007369FB"/>
    <w:rsid w:val="00762701"/>
    <w:rsid w:val="00766CF5"/>
    <w:rsid w:val="008261C9"/>
    <w:rsid w:val="008842F0"/>
    <w:rsid w:val="008B60CD"/>
    <w:rsid w:val="008B6E09"/>
    <w:rsid w:val="00920F46"/>
    <w:rsid w:val="009D79D5"/>
    <w:rsid w:val="00A10BE4"/>
    <w:rsid w:val="00A62468"/>
    <w:rsid w:val="00A74660"/>
    <w:rsid w:val="00A930B9"/>
    <w:rsid w:val="00AB0EB0"/>
    <w:rsid w:val="00B41007"/>
    <w:rsid w:val="00BD152B"/>
    <w:rsid w:val="00C01257"/>
    <w:rsid w:val="00C1728E"/>
    <w:rsid w:val="00C9023E"/>
    <w:rsid w:val="00CE7807"/>
    <w:rsid w:val="00D41BFB"/>
    <w:rsid w:val="00D6377E"/>
    <w:rsid w:val="00D92CCA"/>
    <w:rsid w:val="00DA183D"/>
    <w:rsid w:val="00DB4136"/>
    <w:rsid w:val="00DE7E2D"/>
    <w:rsid w:val="00E01EBD"/>
    <w:rsid w:val="00E03A2D"/>
    <w:rsid w:val="00E103F1"/>
    <w:rsid w:val="00E520E4"/>
    <w:rsid w:val="00E52B1A"/>
    <w:rsid w:val="00E6059E"/>
    <w:rsid w:val="00E73BCA"/>
    <w:rsid w:val="00EE4DB0"/>
    <w:rsid w:val="00F24F5C"/>
    <w:rsid w:val="00F415B0"/>
    <w:rsid w:val="00F54E1E"/>
    <w:rsid w:val="00F67841"/>
    <w:rsid w:val="00F705C2"/>
    <w:rsid w:val="00F74DA1"/>
    <w:rsid w:val="00F9530F"/>
    <w:rsid w:val="00FB048C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283693"/>
  <w15:chartTrackingRefBased/>
  <w15:docId w15:val="{A2C9AA23-8372-4463-9A3B-ECF74C35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outlineLvl w:val="1"/>
    </w:pPr>
    <w:rPr>
      <w:u w:val="thick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jc w:val="both"/>
      <w:outlineLvl w:val="2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unernZarovnatdoblokuDolejednoduchAutomatic1">
    <w:name w:val="Styl Tučné Černá Zarovnat do bloku Dole: (jednoduché Automatic...1"/>
    <w:basedOn w:val="Normln"/>
    <w:next w:val="Normln"/>
    <w:rPr>
      <w:b/>
      <w:bCs/>
      <w:color w:val="000000"/>
    </w:rPr>
  </w:style>
  <w:style w:type="paragraph" w:customStyle="1" w:styleId="StylTunernZarovnatdoblokuDolejednoduchAutomatic">
    <w:name w:val="Styl Tučné Černá Zarovnat do bloku Dole: (jednoduché Automatic..."/>
    <w:basedOn w:val="Normln"/>
    <w:next w:val="Normln"/>
    <w:rPr>
      <w:b/>
      <w:bCs/>
      <w:color w:val="000000"/>
    </w:rPr>
  </w:style>
  <w:style w:type="paragraph" w:customStyle="1" w:styleId="Styl12bernZarovnatdoblokuDolejednoduchAutomatic">
    <w:name w:val="Styl 12 b. Černá Zarovnat do bloku Dole: (jednoduché Automatic..."/>
    <w:basedOn w:val="Normln"/>
    <w:rPr>
      <w:color w:val="000000"/>
    </w:rPr>
  </w:style>
  <w:style w:type="paragraph" w:customStyle="1" w:styleId="StylZarovnatdoblokuDolejednoduchAutomatick075b">
    <w:name w:val="Styl Zarovnat do bloku Dole: (jednoduché Automatická  075 b. š..."/>
    <w:basedOn w:val="Normln"/>
  </w:style>
  <w:style w:type="paragraph" w:customStyle="1" w:styleId="StylNadpis211bnenTun">
    <w:name w:val="Styl Nadpis 2 + 11 b. není Tučné"/>
    <w:basedOn w:val="Nadpis2"/>
    <w:next w:val="Normln"/>
    <w:pPr>
      <w:tabs>
        <w:tab w:val="left" w:pos="1348"/>
      </w:tabs>
    </w:pPr>
    <w:rPr>
      <w:bCs/>
      <w:i/>
      <w:iCs/>
      <w:sz w:val="22"/>
      <w:szCs w:val="22"/>
      <w:u w:val="single"/>
    </w:rPr>
  </w:style>
  <w:style w:type="character" w:customStyle="1" w:styleId="Stylern">
    <w:name w:val="Styl Černá"/>
    <w:basedOn w:val="Standardnpsmoodstavce"/>
    <w:rPr>
      <w:color w:val="000000"/>
      <w:bdr w:val="none" w:sz="0" w:space="0" w:color="auto"/>
    </w:rPr>
  </w:style>
  <w:style w:type="paragraph" w:customStyle="1" w:styleId="Styl1">
    <w:name w:val="Styl1"/>
    <w:basedOn w:val="Normln"/>
    <w:pPr>
      <w:numPr>
        <w:numId w:val="3"/>
      </w:numPr>
    </w:pPr>
    <w:rPr>
      <w:u w:val="thick"/>
    </w:rPr>
  </w:style>
  <w:style w:type="paragraph" w:customStyle="1" w:styleId="Nadpis">
    <w:name w:val="Nadpis"/>
    <w:basedOn w:val="Normln"/>
    <w:next w:val="Normln"/>
    <w:autoRedefine/>
    <w:pPr>
      <w:numPr>
        <w:numId w:val="4"/>
      </w:numPr>
    </w:pPr>
    <w:rPr>
      <w:u w:val="thick"/>
    </w:rPr>
  </w:style>
  <w:style w:type="paragraph" w:styleId="Zkladntext">
    <w:name w:val="Body Text"/>
    <w:basedOn w:val="Normln"/>
    <w:pPr>
      <w:jc w:val="both"/>
    </w:pPr>
    <w:rPr>
      <w:lang w:val="en-US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jc w:val="both"/>
    </w:pPr>
    <w:rPr>
      <w:color w:val="3366FF"/>
      <w:szCs w:val="24"/>
    </w:rPr>
  </w:style>
  <w:style w:type="paragraph" w:styleId="Textbubliny">
    <w:name w:val="Balloon Text"/>
    <w:basedOn w:val="Normln"/>
    <w:semiHidden/>
    <w:rsid w:val="00537C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705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05C2"/>
    <w:rPr>
      <w:sz w:val="24"/>
    </w:rPr>
  </w:style>
  <w:style w:type="paragraph" w:styleId="Zpat">
    <w:name w:val="footer"/>
    <w:basedOn w:val="Normln"/>
    <w:link w:val="ZpatChar"/>
    <w:rsid w:val="00F705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705C2"/>
    <w:rPr>
      <w:sz w:val="24"/>
    </w:rPr>
  </w:style>
  <w:style w:type="character" w:styleId="Odkaznakoment">
    <w:name w:val="annotation reference"/>
    <w:basedOn w:val="Standardnpsmoodstavce"/>
    <w:uiPriority w:val="99"/>
    <w:rsid w:val="00FE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E5DE8"/>
    <w:rPr>
      <w:rFonts w:ascii="Arial" w:hAnsi="Arial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5DE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933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 ÚDAJŮ  O PŘÍPRAVKU</vt:lpstr>
    </vt:vector>
  </TitlesOfParts>
  <Company>BIOPHARM, a.s.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 ÚDAJŮ  O PŘÍPRAVKU</dc:title>
  <dc:subject/>
  <dc:creator>Ivana Pištěková</dc:creator>
  <cp:keywords/>
  <dc:description/>
  <cp:lastModifiedBy>Morávková Věra</cp:lastModifiedBy>
  <cp:revision>30</cp:revision>
  <dcterms:created xsi:type="dcterms:W3CDTF">2021-09-03T12:38:00Z</dcterms:created>
  <dcterms:modified xsi:type="dcterms:W3CDTF">2021-12-21T13:32:00Z</dcterms:modified>
</cp:coreProperties>
</file>