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48BE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7CAA8A12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357FC7DB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222E505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FB896BC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377B5A54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245238E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171CCAA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5C55394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7E24029F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6857964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98ED403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7683308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037A9FBD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24EC35F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72A9BF58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2CBF61AC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512D1EF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7E0C9E7A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528BAA9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68DC77A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82A643E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D547EF5" w14:textId="77777777" w:rsidR="00997093" w:rsidRDefault="00B33FF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PŘÍLOHA I</w:t>
      </w:r>
    </w:p>
    <w:p w14:paraId="4D974E13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409B1D46" w14:textId="77777777" w:rsidR="00997093" w:rsidRDefault="00B33FFE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  <w:szCs w:val="22"/>
          <w:lang w:bidi="cs-CZ"/>
        </w:rPr>
        <w:t>SOUHRN ÚDAJŮ O PŘÍPRAVKU</w:t>
      </w:r>
    </w:p>
    <w:p w14:paraId="19BECF43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br w:type="page"/>
      </w:r>
      <w:r>
        <w:rPr>
          <w:rFonts w:ascii="Times New Roman" w:hAnsi="Times New Roman"/>
          <w:szCs w:val="22"/>
          <w:lang w:bidi="cs-CZ"/>
        </w:rPr>
        <w:lastRenderedPageBreak/>
        <w:t>1.</w:t>
      </w:r>
      <w:r>
        <w:rPr>
          <w:rFonts w:ascii="Times New Roman" w:hAnsi="Times New Roman"/>
          <w:szCs w:val="22"/>
          <w:lang w:bidi="cs-CZ"/>
        </w:rPr>
        <w:tab/>
        <w:t xml:space="preserve">NÁZEV VETERINÁRNÍHO LÉČIVÉHO PŘÍPRAVKU </w:t>
      </w:r>
    </w:p>
    <w:p w14:paraId="48220618" w14:textId="77777777" w:rsidR="00997093" w:rsidRDefault="00B33FFE">
      <w:pPr>
        <w:shd w:val="clear" w:color="auto" w:fill="FFFFFF"/>
        <w:tabs>
          <w:tab w:val="clear" w:pos="567"/>
        </w:tabs>
        <w:spacing w:line="240" w:lineRule="auto"/>
        <w:rPr>
          <w:color w:val="000000"/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Metaxx 20 mg/ml injekční roztok pro skot, prasata a koně</w:t>
      </w:r>
    </w:p>
    <w:p w14:paraId="5C50AEDE" w14:textId="65DB8234" w:rsidR="00997093" w:rsidRDefault="00997093">
      <w:pPr>
        <w:rPr>
          <w:rFonts w:eastAsia="Cambria"/>
          <w:lang w:eastAsia="ja-JP"/>
        </w:rPr>
      </w:pPr>
    </w:p>
    <w:p w14:paraId="311F0099" w14:textId="77777777" w:rsidR="00592A87" w:rsidRDefault="00592A87">
      <w:pPr>
        <w:rPr>
          <w:rFonts w:eastAsia="Cambria"/>
          <w:lang w:eastAsia="ja-JP"/>
        </w:rPr>
      </w:pPr>
    </w:p>
    <w:p w14:paraId="1E5166EC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2.</w:t>
      </w:r>
      <w:r>
        <w:rPr>
          <w:rFonts w:ascii="Times New Roman" w:hAnsi="Times New Roman"/>
          <w:szCs w:val="22"/>
          <w:lang w:bidi="cs-CZ"/>
        </w:rPr>
        <w:tab/>
        <w:t>KVALITATIVNÍ A KVANTITATIVNÍ SLOŽENÍ</w:t>
      </w:r>
    </w:p>
    <w:p w14:paraId="33E63145" w14:textId="3E0E2B70" w:rsidR="00997093" w:rsidRDefault="00F51E5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0" w:name="_Hlk73016249"/>
      <w:r>
        <w:rPr>
          <w:szCs w:val="22"/>
        </w:rPr>
        <w:t xml:space="preserve">Každý </w:t>
      </w:r>
      <w:r w:rsidR="00B33FFE">
        <w:rPr>
          <w:szCs w:val="22"/>
        </w:rPr>
        <w:t>ml obsahuje:</w:t>
      </w:r>
    </w:p>
    <w:p w14:paraId="20FCED20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22219BE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b/>
          <w:bCs/>
          <w:szCs w:val="22"/>
        </w:rPr>
      </w:pPr>
      <w:r>
        <w:rPr>
          <w:b/>
          <w:bCs/>
          <w:szCs w:val="22"/>
        </w:rPr>
        <w:t>Léčivá látka:</w:t>
      </w:r>
    </w:p>
    <w:p w14:paraId="7E678885" w14:textId="40A54293" w:rsidR="00997093" w:rsidRDefault="00B33FFE">
      <w:pPr>
        <w:tabs>
          <w:tab w:val="clear" w:pos="567"/>
          <w:tab w:val="left" w:pos="2977"/>
        </w:tabs>
        <w:autoSpaceDE w:val="0"/>
        <w:autoSpaceDN w:val="0"/>
        <w:spacing w:line="240" w:lineRule="auto"/>
        <w:rPr>
          <w:szCs w:val="22"/>
        </w:rPr>
      </w:pPr>
      <w:proofErr w:type="spellStart"/>
      <w:r>
        <w:rPr>
          <w:szCs w:val="22"/>
        </w:rPr>
        <w:t>Meloxicamum</w:t>
      </w:r>
      <w:proofErr w:type="spellEnd"/>
      <w:r>
        <w:rPr>
          <w:szCs w:val="22"/>
        </w:rPr>
        <w:t xml:space="preserve"> 20 mg</w:t>
      </w:r>
    </w:p>
    <w:p w14:paraId="64ED43B6" w14:textId="77777777" w:rsidR="00997093" w:rsidRDefault="00997093">
      <w:pPr>
        <w:tabs>
          <w:tab w:val="clear" w:pos="567"/>
          <w:tab w:val="left" w:pos="2977"/>
        </w:tabs>
        <w:autoSpaceDE w:val="0"/>
        <w:autoSpaceDN w:val="0"/>
        <w:spacing w:line="240" w:lineRule="auto"/>
        <w:rPr>
          <w:szCs w:val="22"/>
        </w:rPr>
      </w:pPr>
    </w:p>
    <w:p w14:paraId="7D4B7E72" w14:textId="77777777" w:rsidR="00997093" w:rsidRDefault="00B33FFE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bCs/>
          <w:szCs w:val="22"/>
        </w:rPr>
        <w:t xml:space="preserve">Pomocné látky: </w:t>
      </w:r>
    </w:p>
    <w:p w14:paraId="543ED9BE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257"/>
      </w:tblGrid>
      <w:tr w:rsidR="00997093" w14:paraId="0C4DF467" w14:textId="77777777" w:rsidTr="008611FB">
        <w:tc>
          <w:tcPr>
            <w:tcW w:w="4815" w:type="dxa"/>
            <w:shd w:val="clear" w:color="auto" w:fill="auto"/>
            <w:vAlign w:val="center"/>
          </w:tcPr>
          <w:p w14:paraId="0A343175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5A0A68" w14:textId="77777777" w:rsidR="00997093" w:rsidRDefault="00B33FFE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  <w:b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97093" w14:paraId="05429CA1" w14:textId="77777777" w:rsidTr="008611FB">
        <w:tc>
          <w:tcPr>
            <w:tcW w:w="4815" w:type="dxa"/>
            <w:shd w:val="clear" w:color="auto" w:fill="auto"/>
            <w:vAlign w:val="center"/>
          </w:tcPr>
          <w:p w14:paraId="25A5C4DF" w14:textId="714319B0" w:rsidR="00997093" w:rsidRDefault="00B33FFE">
            <w:pPr>
              <w:tabs>
                <w:tab w:val="clear" w:pos="567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t>Et</w:t>
            </w:r>
            <w:r w:rsidR="00C50E78">
              <w:rPr>
                <w:bCs/>
                <w:szCs w:val="22"/>
              </w:rPr>
              <w:t>h</w:t>
            </w:r>
            <w:r>
              <w:rPr>
                <w:bCs/>
                <w:szCs w:val="22"/>
              </w:rPr>
              <w:t xml:space="preserve">anol, bezvodý 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37E745A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150 mg</w:t>
            </w:r>
          </w:p>
        </w:tc>
      </w:tr>
      <w:tr w:rsidR="00997093" w14:paraId="27C23489" w14:textId="77777777" w:rsidTr="008611FB">
        <w:tc>
          <w:tcPr>
            <w:tcW w:w="4815" w:type="dxa"/>
            <w:shd w:val="clear" w:color="auto" w:fill="auto"/>
            <w:vAlign w:val="center"/>
          </w:tcPr>
          <w:p w14:paraId="677F9099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Poloxamer 188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DB1BB2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49EED5E7" w14:textId="77777777" w:rsidTr="008611FB">
        <w:tc>
          <w:tcPr>
            <w:tcW w:w="4815" w:type="dxa"/>
            <w:shd w:val="clear" w:color="auto" w:fill="auto"/>
            <w:vAlign w:val="center"/>
          </w:tcPr>
          <w:p w14:paraId="60664070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Makrogol 300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DC2EC44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1FA0EDE2" w14:textId="77777777" w:rsidTr="008611FB">
        <w:tc>
          <w:tcPr>
            <w:tcW w:w="4815" w:type="dxa"/>
            <w:shd w:val="clear" w:color="auto" w:fill="auto"/>
            <w:vAlign w:val="center"/>
          </w:tcPr>
          <w:p w14:paraId="6A90D9A7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Glycin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1FADA99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5F4A3B8F" w14:textId="77777777" w:rsidTr="008611FB">
        <w:tc>
          <w:tcPr>
            <w:tcW w:w="4815" w:type="dxa"/>
            <w:shd w:val="clear" w:color="auto" w:fill="auto"/>
            <w:vAlign w:val="center"/>
          </w:tcPr>
          <w:p w14:paraId="7BD2C9D2" w14:textId="27887557" w:rsidR="00997093" w:rsidRDefault="00B33FFE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Kyselina chlorovodíková, </w:t>
            </w:r>
            <w:r w:rsidR="00ED1F00">
              <w:rPr>
                <w:iCs/>
                <w:szCs w:val="22"/>
              </w:rPr>
              <w:t>z</w:t>
            </w:r>
            <w:r>
              <w:rPr>
                <w:iCs/>
                <w:szCs w:val="22"/>
              </w:rPr>
              <w:t>ředěná (</w:t>
            </w:r>
            <w:r w:rsidR="00273BE7">
              <w:rPr>
                <w:iCs/>
                <w:szCs w:val="22"/>
              </w:rPr>
              <w:t>pro</w:t>
            </w:r>
            <w:r>
              <w:rPr>
                <w:iCs/>
                <w:szCs w:val="22"/>
              </w:rPr>
              <w:t xml:space="preserve"> úprav</w:t>
            </w:r>
            <w:r w:rsidR="00273BE7">
              <w:rPr>
                <w:iCs/>
                <w:szCs w:val="22"/>
              </w:rPr>
              <w:t>u</w:t>
            </w:r>
            <w:r>
              <w:rPr>
                <w:iCs/>
                <w:szCs w:val="22"/>
              </w:rPr>
              <w:t xml:space="preserve"> pH)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956B82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2B1FDC36" w14:textId="77777777" w:rsidTr="008611FB">
        <w:tc>
          <w:tcPr>
            <w:tcW w:w="4815" w:type="dxa"/>
            <w:shd w:val="clear" w:color="auto" w:fill="auto"/>
            <w:vAlign w:val="center"/>
          </w:tcPr>
          <w:p w14:paraId="3DDBB4EA" w14:textId="5DC7E614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Hydroxid sodný (</w:t>
            </w:r>
            <w:r w:rsidR="00273BE7">
              <w:rPr>
                <w:iCs/>
                <w:szCs w:val="22"/>
              </w:rPr>
              <w:t>pro</w:t>
            </w:r>
            <w:r>
              <w:rPr>
                <w:iCs/>
                <w:szCs w:val="22"/>
              </w:rPr>
              <w:t xml:space="preserve"> úprav</w:t>
            </w:r>
            <w:r w:rsidR="00273BE7">
              <w:rPr>
                <w:iCs/>
                <w:szCs w:val="22"/>
              </w:rPr>
              <w:t>u</w:t>
            </w:r>
            <w:r>
              <w:rPr>
                <w:iCs/>
                <w:szCs w:val="22"/>
              </w:rPr>
              <w:t xml:space="preserve"> pH)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0B8584A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714FFD5A" w14:textId="77777777" w:rsidTr="008611FB">
        <w:tc>
          <w:tcPr>
            <w:tcW w:w="4815" w:type="dxa"/>
            <w:shd w:val="clear" w:color="auto" w:fill="auto"/>
            <w:vAlign w:val="center"/>
          </w:tcPr>
          <w:p w14:paraId="004FC87B" w14:textId="77777777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Meglumin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CAC764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  <w:tr w:rsidR="00997093" w14:paraId="71DC20E3" w14:textId="77777777" w:rsidTr="008611FB">
        <w:tc>
          <w:tcPr>
            <w:tcW w:w="4815" w:type="dxa"/>
            <w:shd w:val="clear" w:color="auto" w:fill="auto"/>
            <w:vAlign w:val="center"/>
          </w:tcPr>
          <w:p w14:paraId="24B74C7B" w14:textId="58D26BAD" w:rsidR="00997093" w:rsidRDefault="00B33FFE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 xml:space="preserve">Voda </w:t>
            </w:r>
            <w:r w:rsidR="00790517">
              <w:rPr>
                <w:iCs/>
                <w:szCs w:val="22"/>
              </w:rPr>
              <w:t>pro</w:t>
            </w:r>
            <w:r>
              <w:rPr>
                <w:iCs/>
                <w:szCs w:val="22"/>
              </w:rPr>
              <w:t xml:space="preserve"> injekci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6FDCE32" w14:textId="77777777" w:rsidR="00997093" w:rsidRDefault="00997093">
            <w:pPr>
              <w:spacing w:before="60" w:after="60"/>
              <w:rPr>
                <w:iCs/>
                <w:szCs w:val="22"/>
                <w:highlight w:val="yellow"/>
              </w:rPr>
            </w:pPr>
          </w:p>
        </w:tc>
      </w:tr>
    </w:tbl>
    <w:p w14:paraId="24E6A4AB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3F4805DE" w14:textId="77777777" w:rsidR="00997093" w:rsidRDefault="00B33FFE">
      <w:pPr>
        <w:tabs>
          <w:tab w:val="clear" w:pos="567"/>
        </w:tabs>
        <w:spacing w:line="240" w:lineRule="auto"/>
      </w:pPr>
      <w:r>
        <w:t>Čirý, žlutý roztok.</w:t>
      </w:r>
    </w:p>
    <w:p w14:paraId="45614FDB" w14:textId="77777777" w:rsidR="00997093" w:rsidRDefault="00997093"/>
    <w:p w14:paraId="41414B97" w14:textId="77777777" w:rsidR="00997093" w:rsidRDefault="00997093"/>
    <w:bookmarkEnd w:id="0"/>
    <w:p w14:paraId="00FDC131" w14:textId="3CE22613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3.</w:t>
      </w:r>
      <w:r>
        <w:rPr>
          <w:rFonts w:ascii="Times New Roman" w:hAnsi="Times New Roman"/>
          <w:szCs w:val="22"/>
          <w:lang w:bidi="cs-CZ"/>
        </w:rPr>
        <w:tab/>
        <w:t>KLINICKÉ INFORMACE</w:t>
      </w:r>
    </w:p>
    <w:p w14:paraId="21E92668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3.1</w:t>
      </w:r>
      <w:r>
        <w:rPr>
          <w:szCs w:val="22"/>
          <w:lang w:bidi="cs-CZ"/>
        </w:rPr>
        <w:tab/>
        <w:t xml:space="preserve">Cílové druhy zvířat </w:t>
      </w:r>
    </w:p>
    <w:p w14:paraId="087320B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Skot, prasata a koně</w:t>
      </w:r>
    </w:p>
    <w:p w14:paraId="43BA4BDB" w14:textId="77777777" w:rsidR="00997093" w:rsidRDefault="00997093">
      <w:pPr>
        <w:pStyle w:val="Geenafstand1"/>
        <w:rPr>
          <w:rFonts w:ascii="Times New Roman" w:hAnsi="Times New Roman"/>
          <w:sz w:val="22"/>
          <w:szCs w:val="22"/>
          <w:lang w:val="cs-CZ"/>
        </w:rPr>
      </w:pPr>
    </w:p>
    <w:p w14:paraId="5CFCE411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3.2</w:t>
      </w:r>
      <w:r>
        <w:rPr>
          <w:szCs w:val="22"/>
          <w:lang w:bidi="cs-CZ"/>
        </w:rPr>
        <w:tab/>
        <w:t xml:space="preserve">Indikace </w:t>
      </w:r>
      <w:r>
        <w:t xml:space="preserve">pro použití pro každý </w:t>
      </w:r>
      <w:r>
        <w:rPr>
          <w:szCs w:val="22"/>
          <w:lang w:bidi="cs-CZ"/>
        </w:rPr>
        <w:t xml:space="preserve">cílový druh zvířat </w:t>
      </w:r>
    </w:p>
    <w:p w14:paraId="783FACC4" w14:textId="77777777" w:rsidR="004C09C2" w:rsidRDefault="004C09C2" w:rsidP="004C09C2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</w:p>
    <w:p w14:paraId="3DD3E48C" w14:textId="41A18BF9" w:rsidR="004C09C2" w:rsidRDefault="004C09C2" w:rsidP="004C09C2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Zmírnění klinických příznaků při léčbě akutních respiratorních infekcí u skotu v kombinaci s příslušnou terapií antibiotiky.</w:t>
      </w:r>
    </w:p>
    <w:p w14:paraId="04F3A6C1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Zmírnění klinických příznaků při léčbě diarey u telat starších jednoho týdne a u mladého, </w:t>
      </w:r>
      <w:proofErr w:type="spellStart"/>
      <w:r>
        <w:rPr>
          <w:szCs w:val="22"/>
        </w:rPr>
        <w:t>nelaktujícího</w:t>
      </w:r>
      <w:proofErr w:type="spellEnd"/>
      <w:r>
        <w:rPr>
          <w:szCs w:val="22"/>
        </w:rPr>
        <w:t xml:space="preserve"> skotu, v kombinaci s perorální rehydratační terapií.</w:t>
      </w:r>
    </w:p>
    <w:p w14:paraId="1250F011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Podpůrná léčba akutní mastitidy v kombinaci s terapií antibiotiky. </w:t>
      </w:r>
    </w:p>
    <w:p w14:paraId="46166742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Úleva pooperačních bolestí následujících po </w:t>
      </w:r>
      <w:proofErr w:type="spellStart"/>
      <w:r>
        <w:rPr>
          <w:szCs w:val="22"/>
        </w:rPr>
        <w:t>odrohování</w:t>
      </w:r>
      <w:proofErr w:type="spellEnd"/>
      <w:r>
        <w:rPr>
          <w:szCs w:val="22"/>
        </w:rPr>
        <w:t xml:space="preserve"> telat.</w:t>
      </w:r>
    </w:p>
    <w:p w14:paraId="648439D3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FAB2E3E" w14:textId="77777777" w:rsidR="004C09C2" w:rsidRDefault="004C09C2" w:rsidP="004C09C2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</w:p>
    <w:p w14:paraId="2519CB27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Snížení příznaků kulhání a zánětu při léčbě neinfekčních poruch pohybového aparátu. </w:t>
      </w:r>
    </w:p>
    <w:p w14:paraId="69936DB5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Podpůrná léčba puerperální septikémie a toxémie (syndrom mastitis-metritis-agalakcie), s příslušnou terapií antibiotiky.</w:t>
      </w:r>
    </w:p>
    <w:p w14:paraId="57E4B116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B6A8E40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</w:p>
    <w:p w14:paraId="41E037B8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Použití k tlumení zánětu a zmírnění bolesti při akutních a chronických onemocněních </w:t>
      </w:r>
      <w:proofErr w:type="spellStart"/>
      <w:r>
        <w:rPr>
          <w:szCs w:val="22"/>
        </w:rPr>
        <w:t>muskuloskeletálního</w:t>
      </w:r>
      <w:proofErr w:type="spellEnd"/>
      <w:r>
        <w:rPr>
          <w:szCs w:val="22"/>
        </w:rPr>
        <w:t xml:space="preserve"> aparátu.</w:t>
      </w:r>
    </w:p>
    <w:p w14:paraId="51C65B18" w14:textId="77777777" w:rsidR="004C09C2" w:rsidRDefault="004C09C2" w:rsidP="004C09C2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lastRenderedPageBreak/>
        <w:t>Zmírnění bolesti způsobené kolikou u koní.</w:t>
      </w:r>
    </w:p>
    <w:p w14:paraId="1188E330" w14:textId="77777777" w:rsidR="00997093" w:rsidRDefault="00997093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4B807025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3.3</w:t>
      </w:r>
      <w:r>
        <w:rPr>
          <w:szCs w:val="22"/>
          <w:lang w:bidi="cs-CZ"/>
        </w:rPr>
        <w:tab/>
        <w:t>Kontraindikace</w:t>
      </w:r>
    </w:p>
    <w:p w14:paraId="5552281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u koní mladších 6 týdnů.</w:t>
      </w:r>
    </w:p>
    <w:p w14:paraId="4BD86DEB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u zvířat s narušenou funkcí jater, srdce nebo ledvin a s onemocněním s krvácením nebo s prokázanými ulcerogenními gastrointestinálními lézemi.</w:t>
      </w:r>
    </w:p>
    <w:p w14:paraId="48FDA45E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5977560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v případech přecitlivělosti na léčivou látku nebo na některou z pomocných látek.</w:t>
      </w:r>
    </w:p>
    <w:p w14:paraId="5E7ECBC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K léčbě diarey u skotu nepoužívat u zvířat mladších než jeden týden.</w:t>
      </w:r>
    </w:p>
    <w:p w14:paraId="415D4ED7" w14:textId="77777777" w:rsidR="00997093" w:rsidRDefault="00997093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</w:p>
    <w:p w14:paraId="33A66001" w14:textId="77777777" w:rsidR="00997093" w:rsidRDefault="00B33FFE">
      <w:pPr>
        <w:pStyle w:val="Nadpis3"/>
      </w:pPr>
      <w:r>
        <w:rPr>
          <w:lang w:bidi="cs-CZ"/>
        </w:rPr>
        <w:t>3.4</w:t>
      </w:r>
      <w:r>
        <w:rPr>
          <w:lang w:bidi="cs-CZ"/>
        </w:rPr>
        <w:tab/>
        <w:t xml:space="preserve">Zvláštní upozornění </w:t>
      </w:r>
      <w:bookmarkStart w:id="1" w:name="_Hlk56493667"/>
    </w:p>
    <w:bookmarkEnd w:id="1"/>
    <w:p w14:paraId="10BDCE4C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Podání veterinárního léčivého přípravku telatům 20 minut před odrohováním mírní pooperační bolesti. Samotný veterinární léčivý přípravek neposkytne v průběhu procesu odrohování dostatečnou úlevu od bolesti. Pro dosažení adekvátní úlevy od bolesti během operace je zapotřebí souběžné medikace vhodnými analgetiky.</w:t>
      </w:r>
    </w:p>
    <w:p w14:paraId="5C9FFB78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07F1DD6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3.5</w:t>
      </w:r>
      <w:r>
        <w:rPr>
          <w:szCs w:val="22"/>
          <w:lang w:bidi="cs-CZ"/>
        </w:rPr>
        <w:tab/>
        <w:t xml:space="preserve">Zvláštní opatření pro použití </w:t>
      </w:r>
    </w:p>
    <w:p w14:paraId="27A85C28" w14:textId="77777777" w:rsidR="00997093" w:rsidRDefault="00B33FFE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 xml:space="preserve">Zvláštní opatření pro </w:t>
      </w:r>
      <w:r>
        <w:rPr>
          <w:u w:val="single"/>
        </w:rPr>
        <w:t>bezpečné použití u cílových druhů zvířat:</w:t>
      </w:r>
    </w:p>
    <w:p w14:paraId="4DAA4A02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rFonts w:eastAsia="TimesNewRomanPSMT"/>
          <w:szCs w:val="22"/>
        </w:rPr>
        <w:t>Pokud se vyskytnou nežádoucí účinky</w:t>
      </w:r>
      <w:r>
        <w:rPr>
          <w:szCs w:val="22"/>
        </w:rPr>
        <w:t>, je nutno léčbu přerušit a vyhledat pomoc veterinárního lékaře.</w:t>
      </w:r>
    </w:p>
    <w:p w14:paraId="18E60490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k léčbě silně dehydratovaných, hypovolemických nebo hypotenzních zvířat, která vyžadují parenterální rehydrataci, protože je zde potenciální riziko renální toxicity.</w:t>
      </w:r>
    </w:p>
    <w:p w14:paraId="4B49B6C5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 případě nedostatečného zmírnění bolesti při léčbě koliky u koní by měla být pečlivě přehodnocena diagnóza a zvážen chirurgický zákrok.</w:t>
      </w:r>
    </w:p>
    <w:p w14:paraId="65F56EB8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13A569CE" w14:textId="0FFA3DBB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opatření pro osobu, která podává veterinární léčivý přípravek zvířatům</w:t>
      </w:r>
      <w:r w:rsidR="00FC6EC4">
        <w:rPr>
          <w:szCs w:val="22"/>
          <w:u w:val="single"/>
        </w:rPr>
        <w:t>:</w:t>
      </w:r>
    </w:p>
    <w:p w14:paraId="4BD8B8F6" w14:textId="5073983D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Náhodné sebepoškození injekčně </w:t>
      </w:r>
      <w:r w:rsidR="00FC6EC4">
        <w:rPr>
          <w:szCs w:val="22"/>
        </w:rPr>
        <w:t>podaným</w:t>
      </w:r>
      <w:r>
        <w:rPr>
          <w:szCs w:val="22"/>
        </w:rPr>
        <w:t xml:space="preserve"> přípravkem může způsobit bolesti. Meloxikam a jiná nesteroidní antiflogistika (NSAID) mohou vyvolat reakce z přecitlivělosti (alergické reakce).</w:t>
      </w:r>
    </w:p>
    <w:p w14:paraId="310FA448" w14:textId="2358E5E7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>Lidé se známou přecitlivělostí na nesteroidní protizánětlivé přípravky (NSAID) by se měli vyhnout kontaktu s veterinárním léčivým přípravkem.</w:t>
      </w:r>
      <w:r w:rsidR="00FC6EC4">
        <w:rPr>
          <w:szCs w:val="22"/>
        </w:rPr>
        <w:t xml:space="preserve"> </w:t>
      </w:r>
      <w:r>
        <w:rPr>
          <w:szCs w:val="22"/>
        </w:rPr>
        <w:t xml:space="preserve">V případě náhodného sebepoškození injekčně </w:t>
      </w:r>
      <w:r w:rsidR="00FC6EC4">
        <w:rPr>
          <w:szCs w:val="22"/>
        </w:rPr>
        <w:t>podaným</w:t>
      </w:r>
      <w:r>
        <w:rPr>
          <w:szCs w:val="22"/>
        </w:rPr>
        <w:t xml:space="preserve"> přípravkem vyhledejte ihned lékařskou pomoc a ukažte příbalovou informaci nebo etiketu praktickému lékaři.</w:t>
      </w:r>
    </w:p>
    <w:p w14:paraId="401E34A0" w14:textId="322EE6DA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Tento </w:t>
      </w:r>
      <w:r w:rsidR="00FC6EC4">
        <w:rPr>
          <w:szCs w:val="22"/>
        </w:rPr>
        <w:t xml:space="preserve">veterinární léčivý </w:t>
      </w:r>
      <w:r>
        <w:rPr>
          <w:szCs w:val="22"/>
        </w:rPr>
        <w:t>přípravek může způsobit podráždění očí. Při zasažení očí je ihned důkladně vypláchněte vodou.</w:t>
      </w:r>
    </w:p>
    <w:p w14:paraId="61D5A920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</w:p>
    <w:p w14:paraId="5CC62A02" w14:textId="24FE587D" w:rsidR="00997093" w:rsidRDefault="00B33FFE">
      <w:pPr>
        <w:tabs>
          <w:tab w:val="clear" w:pos="567"/>
        </w:tabs>
        <w:autoSpaceDE w:val="0"/>
        <w:autoSpaceDN w:val="0"/>
        <w:spacing w:line="240" w:lineRule="auto"/>
        <w:jc w:val="both"/>
        <w:rPr>
          <w:szCs w:val="22"/>
        </w:rPr>
      </w:pPr>
      <w:r>
        <w:rPr>
          <w:szCs w:val="22"/>
        </w:rPr>
        <w:t xml:space="preserve">Vzhledem k riziku náhodného samopodání a známým nežádoucím účinkům NSAID a jiných inhibitorů prostaglandinu na těhotenství a/nebo embryofetální vývoj by tento </w:t>
      </w:r>
      <w:r w:rsidR="00FC6EC4">
        <w:rPr>
          <w:szCs w:val="22"/>
        </w:rPr>
        <w:t xml:space="preserve">veterinární léčivý </w:t>
      </w:r>
      <w:r>
        <w:rPr>
          <w:szCs w:val="22"/>
        </w:rPr>
        <w:t>přípravek neměly podávat těhotné ženy ani ženy pokoušející se počít.</w:t>
      </w:r>
    </w:p>
    <w:p w14:paraId="39467275" w14:textId="77777777" w:rsidR="00997093" w:rsidRDefault="00997093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A1C346" w14:textId="77777777" w:rsidR="00997093" w:rsidRDefault="00B33FFE" w:rsidP="00592A87">
      <w:pPr>
        <w:keepNext/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Zvláštní opatření pro ochranu životního prostředí</w:t>
      </w:r>
      <w:r>
        <w:rPr>
          <w:szCs w:val="22"/>
        </w:rPr>
        <w:t>:</w:t>
      </w:r>
    </w:p>
    <w:p w14:paraId="7ECD4D49" w14:textId="77777777" w:rsidR="00997093" w:rsidRDefault="00B33FFE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Neuplatňuje se.</w:t>
      </w:r>
    </w:p>
    <w:p w14:paraId="251AE933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147110CA" w14:textId="77777777" w:rsidR="00997093" w:rsidRDefault="00B33FFE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bCs/>
          <w:szCs w:val="22"/>
        </w:rPr>
        <w:t>3.6 </w:t>
      </w:r>
      <w:r>
        <w:rPr>
          <w:b/>
          <w:bCs/>
          <w:szCs w:val="22"/>
        </w:rPr>
        <w:tab/>
        <w:t>Nežádoucí účinky</w:t>
      </w:r>
    </w:p>
    <w:p w14:paraId="509DBEE4" w14:textId="77777777" w:rsidR="00997093" w:rsidRDefault="00997093">
      <w:pPr>
        <w:tabs>
          <w:tab w:val="clear" w:pos="567"/>
        </w:tabs>
        <w:spacing w:line="240" w:lineRule="auto"/>
        <w:rPr>
          <w:i/>
          <w:color w:val="0070C0"/>
        </w:rPr>
      </w:pPr>
    </w:p>
    <w:p w14:paraId="4EB122CB" w14:textId="77777777" w:rsidR="00997093" w:rsidRDefault="00B33FFE">
      <w:pPr>
        <w:keepNext/>
        <w:rPr>
          <w:bCs/>
          <w:szCs w:val="22"/>
        </w:rPr>
      </w:pPr>
      <w:r>
        <w:rPr>
          <w:bCs/>
          <w:szCs w:val="22"/>
        </w:rPr>
        <w:t xml:space="preserve"> Skot</w:t>
      </w:r>
    </w:p>
    <w:p w14:paraId="7C90AA26" w14:textId="77777777" w:rsidR="00997093" w:rsidRDefault="00997093">
      <w:pPr>
        <w:keepNext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6538FB13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CEE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Časté</w:t>
            </w:r>
          </w:p>
          <w:p w14:paraId="24E5EA4F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5FE" w14:textId="52400C79" w:rsidR="00997093" w:rsidRDefault="00B33FFE">
            <w:r>
              <w:t xml:space="preserve">Otok </w:t>
            </w:r>
            <w:r w:rsidR="00866783">
              <w:t xml:space="preserve">v </w:t>
            </w:r>
            <w:r>
              <w:t xml:space="preserve">místě </w:t>
            </w:r>
            <w:bookmarkStart w:id="2" w:name="_Hlk192753540"/>
            <w:r w:rsidR="00870541">
              <w:t>injekčního podání</w:t>
            </w:r>
            <w:bookmarkEnd w:id="2"/>
            <w:r w:rsidR="00870541" w:rsidDel="00870541">
              <w:t xml:space="preserve"> </w:t>
            </w:r>
            <w:r>
              <w:rPr>
                <w:vertAlign w:val="superscript"/>
              </w:rPr>
              <w:t>1</w:t>
            </w:r>
          </w:p>
        </w:tc>
      </w:tr>
      <w:tr w:rsidR="00997093" w14:paraId="570B0368" w14:textId="77777777">
        <w:tc>
          <w:tcPr>
            <w:tcW w:w="1957" w:type="pct"/>
          </w:tcPr>
          <w:p w14:paraId="560504E2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19992B0B" w14:textId="77777777" w:rsidR="00997093" w:rsidRDefault="00B33FFE">
            <w:pPr>
              <w:spacing w:before="60" w:after="60"/>
              <w:rPr>
                <w:szCs w:val="22"/>
              </w:rPr>
            </w:pPr>
            <w:proofErr w:type="gramStart"/>
            <w:r>
              <w:rPr>
                <w:szCs w:val="22"/>
              </w:rPr>
              <w:t>(&lt; 1</w:t>
            </w:r>
            <w:proofErr w:type="gramEnd"/>
            <w:r>
              <w:rPr>
                <w:szCs w:val="22"/>
              </w:rPr>
              <w:t> zvíře / 10 000 ošetřených zvířat, včetně ojedinělých hlášení):</w:t>
            </w:r>
          </w:p>
        </w:tc>
        <w:tc>
          <w:tcPr>
            <w:tcW w:w="3043" w:type="pct"/>
          </w:tcPr>
          <w:p w14:paraId="24150FC7" w14:textId="77777777" w:rsidR="00997093" w:rsidRDefault="00B33FFE">
            <w:pPr>
              <w:rPr>
                <w:iCs/>
                <w:szCs w:val="22"/>
              </w:rPr>
            </w:pPr>
            <w:r>
              <w:rPr>
                <w:iCs/>
                <w:szCs w:val="22"/>
              </w:rPr>
              <w:t>Anafylaktoidní reakce</w:t>
            </w:r>
            <w:r>
              <w:rPr>
                <w:iCs/>
                <w:szCs w:val="22"/>
                <w:vertAlign w:val="superscript"/>
              </w:rPr>
              <w:t>2 </w:t>
            </w:r>
            <w:r>
              <w:rPr>
                <w:iCs/>
                <w:szCs w:val="22"/>
              </w:rPr>
              <w:t xml:space="preserve"> </w:t>
            </w:r>
          </w:p>
        </w:tc>
      </w:tr>
    </w:tbl>
    <w:p w14:paraId="5C8E9CDF" w14:textId="7E2B6B46" w:rsidR="00997093" w:rsidRDefault="00B33FFE">
      <w:pPr>
        <w:keepNext/>
        <w:rPr>
          <w:szCs w:val="22"/>
        </w:rPr>
      </w:pPr>
      <w:proofErr w:type="gramStart"/>
      <w:r>
        <w:rPr>
          <w:szCs w:val="22"/>
          <w:vertAlign w:val="superscript"/>
        </w:rPr>
        <w:lastRenderedPageBreak/>
        <w:t>1 </w:t>
      </w:r>
      <w:r>
        <w:rPr>
          <w:szCs w:val="22"/>
        </w:rPr>
        <w:t xml:space="preserve"> Pouze</w:t>
      </w:r>
      <w:proofErr w:type="gramEnd"/>
      <w:r>
        <w:rPr>
          <w:szCs w:val="22"/>
        </w:rPr>
        <w:t xml:space="preserve"> mírný přechodný otok v místě </w:t>
      </w:r>
      <w:r w:rsidR="00870541">
        <w:t>injekčního podání</w:t>
      </w:r>
      <w:r>
        <w:rPr>
          <w:szCs w:val="22"/>
        </w:rPr>
        <w:t xml:space="preserve"> po subkutánním podání.</w:t>
      </w:r>
    </w:p>
    <w:p w14:paraId="66250D06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Může být závažné (včetně fatálního průběhu) a má by být léčeno symptomaticky.</w:t>
      </w:r>
    </w:p>
    <w:p w14:paraId="3AB820EE" w14:textId="77777777" w:rsidR="00997093" w:rsidRDefault="00997093">
      <w:pPr>
        <w:keepNext/>
        <w:rPr>
          <w:szCs w:val="22"/>
        </w:rPr>
      </w:pPr>
    </w:p>
    <w:p w14:paraId="44D40C19" w14:textId="77777777" w:rsidR="00997093" w:rsidRDefault="00B33FFE">
      <w:pPr>
        <w:keepNext/>
        <w:rPr>
          <w:szCs w:val="22"/>
        </w:rPr>
      </w:pPr>
      <w:r>
        <w:rPr>
          <w:szCs w:val="22"/>
        </w:rPr>
        <w:t>Koně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40900CC3" w14:textId="77777777">
        <w:tc>
          <w:tcPr>
            <w:tcW w:w="1957" w:type="pct"/>
          </w:tcPr>
          <w:p w14:paraId="15E0F96B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72CD4BA5" w14:textId="62BF5D28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</w:tcPr>
          <w:p w14:paraId="48DBE79C" w14:textId="77777777" w:rsidR="00997093" w:rsidRDefault="00B33FFE">
            <w:pPr>
              <w:rPr>
                <w:vertAlign w:val="superscript"/>
              </w:rPr>
            </w:pPr>
            <w:r>
              <w:t>Anafylaktoidní reakce</w:t>
            </w:r>
            <w:r>
              <w:rPr>
                <w:vertAlign w:val="superscript"/>
              </w:rPr>
              <w:t>1</w:t>
            </w:r>
          </w:p>
          <w:p w14:paraId="37513074" w14:textId="77777777" w:rsidR="00997093" w:rsidRDefault="00997093"/>
          <w:p w14:paraId="40BC9161" w14:textId="7048870B" w:rsidR="00997093" w:rsidRDefault="00B33FFE">
            <w:pPr>
              <w:rPr>
                <w:iCs/>
              </w:rPr>
            </w:pPr>
            <w:r>
              <w:rPr>
                <w:iCs/>
              </w:rPr>
              <w:t xml:space="preserve">Otok </w:t>
            </w:r>
            <w:r w:rsidR="00866783">
              <w:rPr>
                <w:iCs/>
              </w:rPr>
              <w:t>v</w:t>
            </w:r>
            <w:r>
              <w:rPr>
                <w:iCs/>
              </w:rPr>
              <w:t xml:space="preserve"> místě </w:t>
            </w:r>
            <w:r w:rsidR="00870541">
              <w:t>injekčního podání</w:t>
            </w:r>
            <w:r w:rsidR="00870541" w:rsidDel="00870541">
              <w:rPr>
                <w:iCs/>
              </w:rPr>
              <w:t xml:space="preserve"> </w:t>
            </w:r>
            <w:r>
              <w:rPr>
                <w:iCs/>
                <w:vertAlign w:val="superscript"/>
              </w:rPr>
              <w:t>2</w:t>
            </w:r>
            <w:r>
              <w:rPr>
                <w:iCs/>
              </w:rPr>
              <w:t>.</w:t>
            </w:r>
          </w:p>
          <w:p w14:paraId="1D221BC5" w14:textId="77777777" w:rsidR="00997093" w:rsidRDefault="00997093">
            <w:pPr>
              <w:rPr>
                <w:iCs/>
                <w:szCs w:val="22"/>
                <w:highlight w:val="yellow"/>
              </w:rPr>
            </w:pPr>
          </w:p>
        </w:tc>
      </w:tr>
    </w:tbl>
    <w:p w14:paraId="71467785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Může být závažné (včetně fatálního průběhu) a má by být léčeno symptomaticky.</w:t>
      </w:r>
    </w:p>
    <w:p w14:paraId="37640BA0" w14:textId="77777777" w:rsidR="00997093" w:rsidRDefault="00B33FFE">
      <w:pPr>
        <w:keepNext/>
        <w:rPr>
          <w:szCs w:val="22"/>
        </w:rPr>
      </w:pPr>
      <w:proofErr w:type="gramStart"/>
      <w:r>
        <w:rPr>
          <w:szCs w:val="22"/>
          <w:vertAlign w:val="superscript"/>
        </w:rPr>
        <w:t>2 </w:t>
      </w:r>
      <w:r>
        <w:rPr>
          <w:szCs w:val="22"/>
        </w:rPr>
        <w:t xml:space="preserve"> Přechodné</w:t>
      </w:r>
      <w:proofErr w:type="gramEnd"/>
      <w:r>
        <w:rPr>
          <w:szCs w:val="22"/>
        </w:rPr>
        <w:t>, vyřeší se bez zásahu.</w:t>
      </w:r>
    </w:p>
    <w:p w14:paraId="141EB898" w14:textId="77777777" w:rsidR="00997093" w:rsidRDefault="00997093">
      <w:pPr>
        <w:keepNext/>
        <w:rPr>
          <w:szCs w:val="22"/>
        </w:rPr>
      </w:pPr>
    </w:p>
    <w:p w14:paraId="799C4CEC" w14:textId="77777777" w:rsidR="00997093" w:rsidRDefault="00B33FFE">
      <w:pPr>
        <w:keepNext/>
        <w:rPr>
          <w:szCs w:val="22"/>
        </w:rPr>
      </w:pPr>
      <w:r>
        <w:rPr>
          <w:szCs w:val="22"/>
        </w:rPr>
        <w:t xml:space="preserve">Prasata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997093" w14:paraId="519BD617" w14:textId="77777777">
        <w:tc>
          <w:tcPr>
            <w:tcW w:w="1957" w:type="pct"/>
          </w:tcPr>
          <w:p w14:paraId="7C3FF24A" w14:textId="7777777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Velmi vzácné</w:t>
            </w:r>
          </w:p>
          <w:p w14:paraId="3C3F0B20" w14:textId="29719FF7" w:rsidR="00997093" w:rsidRDefault="00B33FFE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(&lt;1 zvíře / 10 000 ošetřených zvířat, včetně ojedinělých hlášení):</w:t>
            </w:r>
          </w:p>
        </w:tc>
        <w:tc>
          <w:tcPr>
            <w:tcW w:w="3043" w:type="pct"/>
          </w:tcPr>
          <w:p w14:paraId="599AA968" w14:textId="77777777" w:rsidR="00997093" w:rsidRDefault="00B33FFE">
            <w:r>
              <w:t>Anafylaktoidní reakce</w:t>
            </w:r>
            <w:r>
              <w:rPr>
                <w:vertAlign w:val="superscript"/>
              </w:rPr>
              <w:t>1</w:t>
            </w:r>
          </w:p>
          <w:p w14:paraId="1D61F25F" w14:textId="77777777" w:rsidR="00997093" w:rsidRDefault="00997093">
            <w:pPr>
              <w:rPr>
                <w:iCs/>
                <w:szCs w:val="22"/>
                <w:highlight w:val="yellow"/>
              </w:rPr>
            </w:pPr>
          </w:p>
        </w:tc>
      </w:tr>
    </w:tbl>
    <w:p w14:paraId="6271174E" w14:textId="77777777" w:rsidR="00997093" w:rsidRDefault="00B33FFE">
      <w:pPr>
        <w:keepNext/>
        <w:rPr>
          <w:szCs w:val="22"/>
        </w:rPr>
      </w:pPr>
      <w:r>
        <w:rPr>
          <w:szCs w:val="22"/>
          <w:vertAlign w:val="superscript"/>
        </w:rPr>
        <w:t>1</w:t>
      </w:r>
      <w:r>
        <w:rPr>
          <w:szCs w:val="22"/>
        </w:rPr>
        <w:t xml:space="preserve"> Může být závažné (včetně fatálního průběhu) a má by být léčeno symptomaticky.</w:t>
      </w:r>
    </w:p>
    <w:p w14:paraId="2797FB35" w14:textId="77777777" w:rsidR="00997093" w:rsidRDefault="00997093">
      <w:pPr>
        <w:keepNext/>
        <w:rPr>
          <w:szCs w:val="22"/>
        </w:rPr>
      </w:pPr>
    </w:p>
    <w:p w14:paraId="0C8CDB00" w14:textId="77777777" w:rsidR="00997093" w:rsidRPr="00870541" w:rsidRDefault="00B33FFE">
      <w:pPr>
        <w:keepNext/>
        <w:rPr>
          <w:szCs w:val="22"/>
        </w:rPr>
      </w:pPr>
      <w:r w:rsidRPr="008611FB">
        <w:rPr>
          <w:szCs w:val="22"/>
          <w:lang w:eastAsia="nl-NL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(nebo jeho místnímu zástupci), nebo příslušnému vnitrostátnímu orgánu prostřednictvím národního systému hlášení</w:t>
      </w:r>
      <w:hyperlink r:id="rId11" w:history="1"/>
      <w:r w:rsidRPr="008611FB">
        <w:rPr>
          <w:szCs w:val="22"/>
          <w:lang w:eastAsia="nl-NL"/>
        </w:rPr>
        <w:t>. Podrobné kontaktní údaje naleznete v příbalové informaci.</w:t>
      </w:r>
    </w:p>
    <w:p w14:paraId="13731160" w14:textId="77777777" w:rsidR="00997093" w:rsidRDefault="00997093">
      <w:pPr>
        <w:rPr>
          <w:szCs w:val="22"/>
          <w:lang w:val="gsw-FR"/>
        </w:rPr>
      </w:pPr>
      <w:bookmarkStart w:id="3" w:name="_Hlk66891708"/>
    </w:p>
    <w:bookmarkEnd w:id="3"/>
    <w:p w14:paraId="406E4BBE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3.7</w:t>
      </w:r>
      <w:r>
        <w:rPr>
          <w:szCs w:val="22"/>
          <w:lang w:bidi="cs-CZ"/>
        </w:rPr>
        <w:tab/>
        <w:t>Použití v průběhu březosti, laktace nebo snášky</w:t>
      </w:r>
    </w:p>
    <w:p w14:paraId="625C96E2" w14:textId="77777777" w:rsidR="00997093" w:rsidRDefault="00B33FFE">
      <w:pPr>
        <w:pStyle w:val="Normlnweb"/>
        <w:spacing w:before="0" w:beforeAutospacing="0" w:after="0" w:afterAutospacing="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Březost a laktace:</w:t>
      </w:r>
    </w:p>
    <w:p w14:paraId="1515344C" w14:textId="77777777" w:rsidR="00997093" w:rsidRDefault="00997093">
      <w:pPr>
        <w:pStyle w:val="Normlnweb"/>
        <w:spacing w:before="0" w:beforeAutospacing="0" w:after="0" w:afterAutospacing="0"/>
        <w:rPr>
          <w:sz w:val="22"/>
          <w:szCs w:val="22"/>
          <w:u w:val="single"/>
          <w:lang w:val="en-US"/>
        </w:rPr>
      </w:pPr>
    </w:p>
    <w:p w14:paraId="6983F311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 a prasata:</w:t>
      </w:r>
      <w:r>
        <w:rPr>
          <w:szCs w:val="22"/>
        </w:rPr>
        <w:tab/>
        <w:t>Lze použít během březosti a laktace.</w:t>
      </w:r>
    </w:p>
    <w:p w14:paraId="0610BA81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  <w:r>
        <w:rPr>
          <w:szCs w:val="22"/>
        </w:rPr>
        <w:tab/>
        <w:t>Nepoužívat u klisen během březosti a laktace.</w:t>
      </w:r>
    </w:p>
    <w:p w14:paraId="4ACFACD9" w14:textId="77777777" w:rsidR="00997093" w:rsidRDefault="00B33FFE">
      <w:pPr>
        <w:tabs>
          <w:tab w:val="clear" w:pos="567"/>
          <w:tab w:val="left" w:pos="216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 xml:space="preserve"> </w:t>
      </w:r>
    </w:p>
    <w:p w14:paraId="1C26CD56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3.8</w:t>
      </w:r>
      <w:r>
        <w:rPr>
          <w:szCs w:val="22"/>
          <w:lang w:bidi="cs-CZ"/>
        </w:rPr>
        <w:tab/>
        <w:t>Interakce s dalšími léčivými přípravky a další formy interakce</w:t>
      </w:r>
    </w:p>
    <w:p w14:paraId="17A0212E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4" w:name="_Hlk55823715"/>
      <w:bookmarkStart w:id="5" w:name="_Hlk527549309"/>
      <w:r>
        <w:rPr>
          <w:szCs w:val="22"/>
        </w:rPr>
        <w:t>Nepodávat současně s glukokortikosteroidy, s jinými nesteroidními protizánětlivými přípravky nebo s antikoagulačními látkami.</w:t>
      </w:r>
    </w:p>
    <w:p w14:paraId="75259961" w14:textId="77777777" w:rsidR="00997093" w:rsidRDefault="00997093">
      <w:pPr>
        <w:spacing w:line="240" w:lineRule="auto"/>
        <w:rPr>
          <w:rFonts w:eastAsia="Cambria"/>
          <w:szCs w:val="22"/>
          <w:lang w:eastAsia="ja-JP"/>
        </w:rPr>
      </w:pPr>
    </w:p>
    <w:bookmarkEnd w:id="4"/>
    <w:p w14:paraId="3E7A1CDE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3.9</w:t>
      </w:r>
      <w:r>
        <w:rPr>
          <w:szCs w:val="22"/>
          <w:lang w:bidi="cs-CZ"/>
        </w:rPr>
        <w:tab/>
      </w:r>
      <w:r>
        <w:t>Cesty podání a dávkování</w:t>
      </w:r>
      <w:r>
        <w:rPr>
          <w:szCs w:val="22"/>
          <w:lang w:bidi="cs-CZ"/>
        </w:rPr>
        <w:t xml:space="preserve"> </w:t>
      </w:r>
    </w:p>
    <w:p w14:paraId="6DB24996" w14:textId="77777777" w:rsidR="00997093" w:rsidRPr="008611FB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6" w:name="_Hlk56430111"/>
      <w:bookmarkEnd w:id="5"/>
      <w:r w:rsidRPr="008611FB">
        <w:rPr>
          <w:szCs w:val="22"/>
        </w:rPr>
        <w:t>Subkutánní podání, intramuskulární podání, intravenózní podání.</w:t>
      </w:r>
    </w:p>
    <w:p w14:paraId="6BBDF0A2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  <w:u w:val="single"/>
        </w:rPr>
      </w:pPr>
    </w:p>
    <w:p w14:paraId="70C55B7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</w:p>
    <w:p w14:paraId="5E53556C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Jednorázové subkutánní nebo intravenózní podání v dávce 0,5 mg meloxikamu/kg živé hmotnosti (tj. 2,5 ml veterinárního léčivého přípravku na 100 kg živé hmotnosti), podle potřeby v kombinaci s léčbou antibiotiky nebo s odpovídající perorální rehydratační terapií.</w:t>
      </w:r>
    </w:p>
    <w:p w14:paraId="3E01050C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482B7E0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</w:p>
    <w:p w14:paraId="478E456E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Jednorázové intramuskulární podání v dávce 0,4 mg meloxikamu/kg živé hmotnosti (tj. 2,0 ml veterinárního léčivého přípravku na 100 kg živé hmotnosti), podle potřeby v kombinaci s příslušnou léčbou antibiotiky. Je-li to zapotřebí, lze za 24 hodin aplikovat druhou dávku meloxikamu.</w:t>
      </w:r>
    </w:p>
    <w:p w14:paraId="380A6EF8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34FEA0D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</w:p>
    <w:p w14:paraId="2BD2B2E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Jednorázové intravenózní podání v dávce 0,6 mg meloxikamu/kg živé hmotnosti (tj. 3,0 ml veterinárního léčivého přípravku na 100 kg živé hmotnosti).</w:t>
      </w:r>
    </w:p>
    <w:p w14:paraId="4D268BB5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5ACA8149" w14:textId="1BF827E3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7" w:name="_Hlk118803279"/>
      <w:r>
        <w:rPr>
          <w:szCs w:val="22"/>
        </w:rPr>
        <w:t>K</w:t>
      </w:r>
      <w:r w:rsidR="00870541">
        <w:rPr>
          <w:szCs w:val="22"/>
        </w:rPr>
        <w:t>e</w:t>
      </w:r>
      <w:r>
        <w:rPr>
          <w:szCs w:val="22"/>
        </w:rPr>
        <w:t xml:space="preserve"> zmírnění zánětu a bolesti při akutním a chronickém onemocnění muskuloskeletálního aparátu může být vhodná perorální terapie obsahující meloxikam podaná v souladu s doporučením v příbalové informaci použitá pro kontinuální léčbu 24 hodin po injekčním podání.</w:t>
      </w:r>
    </w:p>
    <w:bookmarkEnd w:id="7"/>
    <w:p w14:paraId="25CEA1E4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3256F8A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lastRenderedPageBreak/>
        <w:t>V průběhu použití zabraňte kontaminaci.</w:t>
      </w:r>
    </w:p>
    <w:p w14:paraId="4E34AE17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Nepropichujte zátku více než 50krát.</w:t>
      </w:r>
    </w:p>
    <w:p w14:paraId="56078199" w14:textId="77777777" w:rsidR="00997093" w:rsidRDefault="00997093">
      <w:pPr>
        <w:spacing w:line="240" w:lineRule="auto"/>
        <w:rPr>
          <w:rFonts w:eastAsia="Cambria"/>
          <w:szCs w:val="22"/>
          <w:lang w:eastAsia="ja-JP"/>
        </w:rPr>
      </w:pPr>
    </w:p>
    <w:bookmarkEnd w:id="6"/>
    <w:p w14:paraId="7903A1DF" w14:textId="77777777" w:rsidR="00997093" w:rsidRDefault="00B33FFE">
      <w:pPr>
        <w:pStyle w:val="Nadpis3"/>
      </w:pPr>
      <w:r>
        <w:rPr>
          <w:lang w:bidi="cs-CZ"/>
        </w:rPr>
        <w:t>3.10</w:t>
      </w:r>
      <w:r>
        <w:rPr>
          <w:lang w:bidi="cs-CZ"/>
        </w:rPr>
        <w:tab/>
      </w:r>
      <w:r>
        <w:t xml:space="preserve">Příznaky předávkování (a kde je relevantní, první pomoc a antidota) </w:t>
      </w:r>
    </w:p>
    <w:p w14:paraId="1B65D94E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8" w:name="_Hlk43113824"/>
      <w:r>
        <w:rPr>
          <w:szCs w:val="22"/>
        </w:rPr>
        <w:t>V případě předávkování je nutné zahájit symptomatickou léčbu.</w:t>
      </w:r>
    </w:p>
    <w:p w14:paraId="2D4E5164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30952AD1" w14:textId="77777777" w:rsidR="00997093" w:rsidRDefault="00B33FFE">
      <w:pPr>
        <w:pStyle w:val="Nadpis3"/>
        <w:rPr>
          <w:szCs w:val="22"/>
          <w:lang w:bidi="cs-CZ"/>
        </w:rPr>
      </w:pPr>
      <w:r>
        <w:rPr>
          <w:szCs w:val="22"/>
          <w:lang w:bidi="cs-CZ"/>
        </w:rPr>
        <w:t>3.11</w:t>
      </w:r>
      <w:r>
        <w:rPr>
          <w:szCs w:val="22"/>
          <w:lang w:bidi="cs-CZ"/>
        </w:rPr>
        <w:tab/>
      </w:r>
      <w:r>
        <w:t>Zvláštní omezení pro použití a zvláštní podmínky pro použití, včetně omezení používání antimikrobních a antiparazitárních veterinárních léčivých přípravků, za účelem snížení rizika rozvoje rezistence</w:t>
      </w:r>
      <w:r>
        <w:rPr>
          <w:szCs w:val="22"/>
          <w:lang w:bidi="cs-CZ"/>
        </w:rPr>
        <w:t xml:space="preserve"> </w:t>
      </w:r>
    </w:p>
    <w:p w14:paraId="65986452" w14:textId="688CB3E9" w:rsidR="00997093" w:rsidRPr="00870541" w:rsidRDefault="00870541">
      <w:pPr>
        <w:pStyle w:val="BODY"/>
        <w:rPr>
          <w:lang w:bidi="cs-CZ"/>
        </w:rPr>
      </w:pPr>
      <w:r w:rsidRPr="008611FB">
        <w:rPr>
          <w:lang w:eastAsia="cs-CZ"/>
        </w:rPr>
        <w:t>Neuplatňuje se.</w:t>
      </w:r>
    </w:p>
    <w:p w14:paraId="224D9A2C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3.12</w:t>
      </w:r>
      <w:r>
        <w:rPr>
          <w:szCs w:val="22"/>
          <w:lang w:bidi="cs-CZ"/>
        </w:rPr>
        <w:tab/>
        <w:t>Ochranné lhůty</w:t>
      </w:r>
      <w:bookmarkStart w:id="9" w:name="_Hlk70676420"/>
      <w:bookmarkEnd w:id="8"/>
    </w:p>
    <w:p w14:paraId="1620518B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Skot:</w:t>
      </w:r>
      <w:r>
        <w:rPr>
          <w:szCs w:val="22"/>
        </w:rPr>
        <w:tab/>
        <w:t xml:space="preserve">Maso: 15 dní; Mléko: 120 hodin </w:t>
      </w:r>
    </w:p>
    <w:p w14:paraId="70E506E1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Prasata:</w:t>
      </w:r>
      <w:r>
        <w:rPr>
          <w:szCs w:val="22"/>
        </w:rPr>
        <w:tab/>
        <w:t>Maso: 5 dní.</w:t>
      </w:r>
    </w:p>
    <w:p w14:paraId="1D45C739" w14:textId="77777777" w:rsidR="00997093" w:rsidRDefault="00B33FFE">
      <w:pPr>
        <w:tabs>
          <w:tab w:val="clear" w:pos="567"/>
          <w:tab w:val="left" w:pos="1440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Koně:</w:t>
      </w:r>
      <w:r>
        <w:rPr>
          <w:szCs w:val="22"/>
        </w:rPr>
        <w:tab/>
        <w:t>Maso: 5 dní.</w:t>
      </w:r>
    </w:p>
    <w:p w14:paraId="18F89553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Nepoužívat u koní, jejichž mléko je určeno pro lidskou spotřebu.</w:t>
      </w:r>
    </w:p>
    <w:p w14:paraId="13854CCC" w14:textId="77777777" w:rsidR="00997093" w:rsidRDefault="00997093">
      <w:pPr>
        <w:rPr>
          <w:rFonts w:eastAsia="Cambria"/>
          <w:lang w:eastAsia="ja-JP"/>
        </w:rPr>
      </w:pPr>
    </w:p>
    <w:p w14:paraId="7BDFF80F" w14:textId="77777777" w:rsidR="00997093" w:rsidRDefault="00997093">
      <w:pPr>
        <w:rPr>
          <w:rFonts w:eastAsia="Cambria"/>
          <w:lang w:eastAsia="ja-JP"/>
        </w:rPr>
      </w:pPr>
    </w:p>
    <w:bookmarkEnd w:id="9"/>
    <w:p w14:paraId="5A3C625D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4.</w:t>
      </w:r>
      <w:r>
        <w:rPr>
          <w:rFonts w:ascii="Times New Roman" w:hAnsi="Times New Roman"/>
          <w:szCs w:val="22"/>
          <w:lang w:bidi="cs-CZ"/>
        </w:rPr>
        <w:tab/>
        <w:t xml:space="preserve">FARMAKOLOGICKÉ </w:t>
      </w:r>
      <w:r>
        <w:t>INFORMACE</w:t>
      </w:r>
      <w:r>
        <w:rPr>
          <w:rFonts w:ascii="Times New Roman" w:hAnsi="Times New Roman"/>
          <w:szCs w:val="22"/>
          <w:lang w:bidi="cs-CZ"/>
        </w:rPr>
        <w:t xml:space="preserve"> </w:t>
      </w:r>
    </w:p>
    <w:p w14:paraId="599680FF" w14:textId="3C41F3AA" w:rsidR="00997093" w:rsidRDefault="00B33FFE">
      <w:pPr>
        <w:pStyle w:val="Zkladntext"/>
        <w:rPr>
          <w:szCs w:val="22"/>
        </w:rPr>
      </w:pPr>
      <w:r>
        <w:rPr>
          <w:b/>
        </w:rPr>
        <w:t>4.1</w:t>
      </w:r>
      <w:r>
        <w:rPr>
          <w:b/>
        </w:rPr>
        <w:tab/>
      </w:r>
      <w:proofErr w:type="spellStart"/>
      <w:r>
        <w:rPr>
          <w:b/>
          <w:szCs w:val="22"/>
          <w:lang w:bidi="cs-CZ"/>
        </w:rPr>
        <w:t>ATCvet</w:t>
      </w:r>
      <w:proofErr w:type="spellEnd"/>
      <w:r>
        <w:rPr>
          <w:b/>
          <w:szCs w:val="22"/>
          <w:lang w:bidi="cs-CZ"/>
        </w:rPr>
        <w:t xml:space="preserve"> kód: </w:t>
      </w:r>
      <w:r>
        <w:rPr>
          <w:szCs w:val="22"/>
        </w:rPr>
        <w:t>QM01AC06</w:t>
      </w:r>
    </w:p>
    <w:p w14:paraId="04A80AA5" w14:textId="492D932E" w:rsidR="00997093" w:rsidRDefault="00997093">
      <w:pPr>
        <w:tabs>
          <w:tab w:val="clear" w:pos="567"/>
          <w:tab w:val="left" w:pos="6240"/>
        </w:tabs>
        <w:spacing w:line="240" w:lineRule="auto"/>
        <w:rPr>
          <w:szCs w:val="22"/>
        </w:rPr>
      </w:pPr>
    </w:p>
    <w:p w14:paraId="3DACFD49" w14:textId="77777777" w:rsidR="00997093" w:rsidRDefault="00B33FFE">
      <w:pPr>
        <w:pStyle w:val="Nadpis3"/>
      </w:pPr>
      <w:bookmarkStart w:id="10" w:name="_Hlk56422574"/>
      <w:bookmarkStart w:id="11" w:name="_Hlk56422630"/>
      <w:r>
        <w:rPr>
          <w:lang w:bidi="cs-CZ"/>
        </w:rPr>
        <w:t>4.2</w:t>
      </w:r>
      <w:r>
        <w:rPr>
          <w:lang w:bidi="cs-CZ"/>
        </w:rPr>
        <w:tab/>
        <w:t>Farmakodynamika</w:t>
      </w:r>
    </w:p>
    <w:bookmarkEnd w:id="10"/>
    <w:bookmarkEnd w:id="11"/>
    <w:p w14:paraId="307DACD7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Meloxikam je nesteroidní protizánětlivé léčivo (NSAID) ze skupiny oxikamů, které inhibuje syntézu prostaglandinů a má tak protizánětlivé, antiexsudativní, analgetické a antipyretické účinky. Redukuje infiltraci leukocytů do zanícené tkáně. V menším rozsahu také inhibuje agregaci trombocytů indukovanou kolagenem. Bylo rovněž prokázáno, že meloxikam má antiendotoxické vlastnosti, protože inhibuje produkci thromboxanu B</w:t>
      </w:r>
      <w:r>
        <w:rPr>
          <w:szCs w:val="22"/>
          <w:vertAlign w:val="subscript"/>
        </w:rPr>
        <w:t>2</w:t>
      </w:r>
      <w:r>
        <w:rPr>
          <w:szCs w:val="22"/>
        </w:rPr>
        <w:t xml:space="preserve"> navozenou podáním endotoxinu </w:t>
      </w:r>
      <w:r>
        <w:rPr>
          <w:i/>
          <w:szCs w:val="22"/>
        </w:rPr>
        <w:t xml:space="preserve">E. coli </w:t>
      </w:r>
      <w:r>
        <w:rPr>
          <w:szCs w:val="22"/>
        </w:rPr>
        <w:t>u telat, laktujících krav a prasat.</w:t>
      </w:r>
    </w:p>
    <w:p w14:paraId="605C8D58" w14:textId="77777777" w:rsidR="00997093" w:rsidRDefault="00997093">
      <w:pPr>
        <w:tabs>
          <w:tab w:val="clear" w:pos="567"/>
        </w:tabs>
        <w:spacing w:line="240" w:lineRule="auto"/>
        <w:rPr>
          <w:szCs w:val="22"/>
        </w:rPr>
      </w:pPr>
    </w:p>
    <w:p w14:paraId="59A74F9F" w14:textId="77777777" w:rsidR="00997093" w:rsidRDefault="00B33FFE">
      <w:pPr>
        <w:pStyle w:val="Nadpis3"/>
      </w:pPr>
      <w:bookmarkStart w:id="12" w:name="_Hlk56422694"/>
      <w:r>
        <w:rPr>
          <w:lang w:bidi="cs-CZ"/>
        </w:rPr>
        <w:t>4.3</w:t>
      </w:r>
      <w:r>
        <w:rPr>
          <w:lang w:bidi="cs-CZ"/>
        </w:rPr>
        <w:tab/>
        <w:t>Farmakokinetika</w:t>
      </w:r>
    </w:p>
    <w:bookmarkEnd w:id="12"/>
    <w:p w14:paraId="02A65AC3" w14:textId="77777777" w:rsidR="00997093" w:rsidRDefault="00B33FFE">
      <w:pPr>
        <w:keepNext/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Absorpce</w:t>
      </w:r>
    </w:p>
    <w:p w14:paraId="42F48FB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Po jednorázovém subkutánním podání meloxikamu v dávce 0,5 mg/kg podané mladému skotu a laktujícím kravám bylo dosaženo hodnot C</w:t>
      </w:r>
      <w:r>
        <w:rPr>
          <w:szCs w:val="22"/>
          <w:vertAlign w:val="subscript"/>
        </w:rPr>
        <w:t>max</w:t>
      </w:r>
      <w:r>
        <w:rPr>
          <w:szCs w:val="22"/>
        </w:rPr>
        <w:t xml:space="preserve"> 2,1 µg/ml, resp. 2,7 µg/ml za 7,7, resp. za 4 hodiny.</w:t>
      </w:r>
    </w:p>
    <w:p w14:paraId="3B39D452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Po opakovaném intramuskulárních podání meloxikamu v dávce 0,4 mg/kg u prasat byla hodnota C</w:t>
      </w:r>
      <w:r>
        <w:rPr>
          <w:szCs w:val="22"/>
          <w:vertAlign w:val="subscript"/>
        </w:rPr>
        <w:t>max</w:t>
      </w:r>
      <w:r>
        <w:rPr>
          <w:szCs w:val="22"/>
        </w:rPr>
        <w:t xml:space="preserve"> 1,9 µg/ml dosažena za 1 hodinu.</w:t>
      </w:r>
    </w:p>
    <w:p w14:paraId="349315CC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9B7FBF1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Distribuce</w:t>
      </w:r>
    </w:p>
    <w:p w14:paraId="7249154E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Více než 98 % meloxikamu je vázáno na proteiny plazmy. Nejvyšší koncentrace meloxikamu jsou nalézány v játrech a v ledvinách. Při porovnávání byly nejnižší koncentrace prokazovány v kosterní svalovině a v tuku.</w:t>
      </w:r>
    </w:p>
    <w:p w14:paraId="78C3397C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74813677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Metabolismus</w:t>
      </w:r>
    </w:p>
    <w:p w14:paraId="1C136D2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Meloxikam je nalézán převážně v plazmě. U skotu představuje rovněž hlavní součást vylučovanou mlékem a žlučí, zatímco moč obsahuje pouze stopy původní látky. U prasat obsahuje žluč a moč pouze stopy původní látky. Meloxikam je metabolizován na alkohol, derivát kyseliny a na několik polárních metabolitů. Bylo prokázáno, že všechny hlavní metabolity jsou farmakologicky inaktivní. Nebyl zkoumán metabolismus u koní.</w:t>
      </w:r>
    </w:p>
    <w:p w14:paraId="304EC5F0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590C4314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  <w:u w:val="single"/>
        </w:rPr>
        <w:t>Vylučování</w:t>
      </w:r>
    </w:p>
    <w:p w14:paraId="46764DA0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Meloxikam je u mladého skotu a dojnic po subkutánním podání vylučován s biologickým poločasem 26 hodin, resp. 17,5 hodin.</w:t>
      </w:r>
    </w:p>
    <w:p w14:paraId="438CDA87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DA839FF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lastRenderedPageBreak/>
        <w:t xml:space="preserve">U prasat je po intramuskulárním podání průměrný plazmatický poločas vylučování přibližně 2,5 hodin. </w:t>
      </w:r>
    </w:p>
    <w:p w14:paraId="09C5B405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097E921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U koní je po intravenózním podání biologický poločas meloxikamu 8,5 hodin.</w:t>
      </w:r>
    </w:p>
    <w:p w14:paraId="5ED74B23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Přibližně 50 % aplikované dávky je vylučováno močí a zbytek výkaly.</w:t>
      </w:r>
    </w:p>
    <w:p w14:paraId="046A67BE" w14:textId="77777777" w:rsidR="00997093" w:rsidRDefault="00997093">
      <w:pPr>
        <w:rPr>
          <w:rFonts w:eastAsia="Cambria"/>
          <w:lang w:eastAsia="ja-JP"/>
        </w:rPr>
      </w:pPr>
    </w:p>
    <w:p w14:paraId="011AA3CB" w14:textId="77777777" w:rsidR="00997093" w:rsidRDefault="00997093">
      <w:pPr>
        <w:rPr>
          <w:rFonts w:eastAsia="Cambria"/>
          <w:lang w:eastAsia="ja-JP"/>
        </w:rPr>
      </w:pPr>
    </w:p>
    <w:p w14:paraId="760A45F6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5.</w:t>
      </w:r>
      <w:r>
        <w:rPr>
          <w:rFonts w:ascii="Times New Roman" w:hAnsi="Times New Roman"/>
          <w:szCs w:val="22"/>
          <w:lang w:bidi="cs-CZ"/>
        </w:rPr>
        <w:tab/>
        <w:t>FARMACEUTICKÉ ÚDAJE</w:t>
      </w:r>
    </w:p>
    <w:p w14:paraId="1D719DF8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5.1</w:t>
      </w:r>
      <w:r>
        <w:rPr>
          <w:szCs w:val="22"/>
          <w:lang w:bidi="cs-CZ"/>
        </w:rPr>
        <w:tab/>
        <w:t>Hlavní inkompatibility</w:t>
      </w:r>
    </w:p>
    <w:p w14:paraId="2AC602AC" w14:textId="77777777" w:rsidR="00997093" w:rsidRDefault="00B33FFE">
      <w:pPr>
        <w:rPr>
          <w:lang w:eastAsia="en-GB"/>
        </w:rPr>
      </w:pPr>
      <w:bookmarkStart w:id="13" w:name="_Hlk73017480"/>
      <w:r>
        <w:rPr>
          <w:lang w:bidi="cs-CZ"/>
        </w:rPr>
        <w:t>Studie kompatibility nejsou k dispozici, a proto tento veterinární léčivý přípravek nesmí být mísen s žádnými dalšími veterinárními léčivými přípravky.</w:t>
      </w:r>
    </w:p>
    <w:p w14:paraId="09614738" w14:textId="77777777" w:rsidR="00997093" w:rsidRDefault="00997093">
      <w:pPr>
        <w:rPr>
          <w:lang w:eastAsia="en-GB"/>
        </w:rPr>
      </w:pPr>
    </w:p>
    <w:p w14:paraId="73F5F4CD" w14:textId="77777777" w:rsidR="00997093" w:rsidRDefault="00B33FFE">
      <w:pPr>
        <w:pStyle w:val="Nadpis3"/>
        <w:rPr>
          <w:szCs w:val="22"/>
        </w:rPr>
      </w:pPr>
      <w:bookmarkStart w:id="14" w:name="_Hlk72845507"/>
      <w:bookmarkEnd w:id="13"/>
      <w:r>
        <w:rPr>
          <w:szCs w:val="22"/>
          <w:lang w:bidi="cs-CZ"/>
        </w:rPr>
        <w:t>5.2</w:t>
      </w:r>
      <w:r>
        <w:rPr>
          <w:szCs w:val="22"/>
          <w:lang w:bidi="cs-CZ"/>
        </w:rPr>
        <w:tab/>
        <w:t>Doba použitelnosti</w:t>
      </w:r>
    </w:p>
    <w:p w14:paraId="3DBD44EC" w14:textId="77777777" w:rsidR="00997093" w:rsidRDefault="00B33FFE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veterinárního léčivého přípravku v neporušeném obalu: 3 roky.</w:t>
      </w:r>
    </w:p>
    <w:p w14:paraId="2109F3AB" w14:textId="77777777" w:rsidR="00997093" w:rsidRDefault="00B33FFE">
      <w:pPr>
        <w:pStyle w:val="Geenafstand1"/>
        <w:rPr>
          <w:rFonts w:ascii="Times New Roman" w:hAnsi="Times New Roman"/>
          <w:sz w:val="22"/>
          <w:szCs w:val="22"/>
          <w:lang w:val="cs-CZ" w:eastAsia="ja-JP"/>
        </w:rPr>
      </w:pPr>
      <w:r>
        <w:rPr>
          <w:rFonts w:ascii="Times New Roman" w:eastAsia="Times New Roman" w:hAnsi="Times New Roman"/>
          <w:sz w:val="22"/>
          <w:szCs w:val="22"/>
          <w:lang w:val="cs-CZ" w:bidi="cs-CZ"/>
        </w:rPr>
        <w:t>Doba použitelnosti po prvním otevření vnitřního obalu: 28 dní.</w:t>
      </w:r>
    </w:p>
    <w:p w14:paraId="15D5AA1C" w14:textId="77777777" w:rsidR="00997093" w:rsidRDefault="00997093"/>
    <w:p w14:paraId="40EBB67C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5.3</w:t>
      </w:r>
      <w:r>
        <w:rPr>
          <w:szCs w:val="22"/>
          <w:lang w:bidi="cs-CZ"/>
        </w:rPr>
        <w:tab/>
        <w:t>Zvláštní opatření pro uchovávání</w:t>
      </w:r>
    </w:p>
    <w:bookmarkEnd w:id="14"/>
    <w:p w14:paraId="2DC4835F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Tento veterinární léčivý přípravek nevyžaduje žádné zvláštní podmínky uchovávání.</w:t>
      </w:r>
    </w:p>
    <w:p w14:paraId="66F0A28F" w14:textId="77777777" w:rsidR="00997093" w:rsidRDefault="00997093">
      <w:pPr>
        <w:autoSpaceDE w:val="0"/>
        <w:autoSpaceDN w:val="0"/>
        <w:adjustRightInd w:val="0"/>
        <w:spacing w:line="240" w:lineRule="auto"/>
        <w:ind w:left="3686" w:hanging="3686"/>
        <w:rPr>
          <w:szCs w:val="22"/>
          <w:lang w:eastAsia="nl-NL"/>
        </w:rPr>
      </w:pPr>
    </w:p>
    <w:p w14:paraId="389939FE" w14:textId="77777777" w:rsidR="00997093" w:rsidRDefault="00B33FFE">
      <w:pPr>
        <w:pStyle w:val="Nadpis3"/>
        <w:rPr>
          <w:szCs w:val="22"/>
        </w:rPr>
      </w:pPr>
      <w:r>
        <w:rPr>
          <w:szCs w:val="22"/>
          <w:lang w:bidi="cs-CZ"/>
        </w:rPr>
        <w:t>5.4</w:t>
      </w:r>
      <w:r>
        <w:rPr>
          <w:szCs w:val="22"/>
          <w:lang w:bidi="cs-CZ"/>
        </w:rPr>
        <w:tab/>
        <w:t>Druh a složení vnitřního obalu</w:t>
      </w:r>
    </w:p>
    <w:p w14:paraId="69528A48" w14:textId="314762F4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bookmarkStart w:id="15" w:name="_Hlk85708617"/>
      <w:r>
        <w:rPr>
          <w:szCs w:val="22"/>
        </w:rPr>
        <w:t>Bezbarvá skleněná (typ I) injekční lahvička uzavřená brombutylovou pryžovou zátkou a opatřená hliníkovým pertlem.</w:t>
      </w:r>
      <w:r>
        <w:rPr>
          <w:szCs w:val="22"/>
        </w:rPr>
        <w:br/>
        <w:t xml:space="preserve">Papírová krabička s 1 </w:t>
      </w:r>
      <w:r w:rsidR="002C3DCD">
        <w:rPr>
          <w:szCs w:val="22"/>
        </w:rPr>
        <w:t xml:space="preserve">injekční </w:t>
      </w:r>
      <w:r>
        <w:rPr>
          <w:szCs w:val="22"/>
        </w:rPr>
        <w:t>lahvičkou o obsahu 50 ml.</w:t>
      </w:r>
      <w:r>
        <w:rPr>
          <w:szCs w:val="22"/>
        </w:rPr>
        <w:br/>
        <w:t xml:space="preserve">Papírová krabička s 1 </w:t>
      </w:r>
      <w:r w:rsidR="002C3DCD">
        <w:rPr>
          <w:szCs w:val="22"/>
        </w:rPr>
        <w:t xml:space="preserve">injekční </w:t>
      </w:r>
      <w:r>
        <w:rPr>
          <w:szCs w:val="22"/>
        </w:rPr>
        <w:t>lahvičkou o obsahu 100 ml.</w:t>
      </w:r>
      <w:r>
        <w:rPr>
          <w:szCs w:val="22"/>
        </w:rPr>
        <w:br/>
        <w:t xml:space="preserve">Papírová krabička s 1 </w:t>
      </w:r>
      <w:r w:rsidR="002C3DCD">
        <w:rPr>
          <w:szCs w:val="22"/>
        </w:rPr>
        <w:t xml:space="preserve">injekční </w:t>
      </w:r>
      <w:r>
        <w:rPr>
          <w:szCs w:val="22"/>
        </w:rPr>
        <w:t>lahvičkou o obsahu 250 ml.</w:t>
      </w:r>
    </w:p>
    <w:p w14:paraId="1E8FD129" w14:textId="77777777" w:rsidR="00997093" w:rsidRDefault="00997093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</w:p>
    <w:p w14:paraId="0E57E60B" w14:textId="77777777" w:rsidR="00997093" w:rsidRDefault="00B33FFE">
      <w:pPr>
        <w:tabs>
          <w:tab w:val="clear" w:pos="567"/>
        </w:tabs>
        <w:autoSpaceDE w:val="0"/>
        <w:autoSpaceDN w:val="0"/>
        <w:spacing w:line="240" w:lineRule="auto"/>
        <w:rPr>
          <w:szCs w:val="22"/>
        </w:rPr>
      </w:pPr>
      <w:r>
        <w:rPr>
          <w:szCs w:val="22"/>
        </w:rPr>
        <w:t>Na trhu nemusí být všechny velikosti balení.</w:t>
      </w:r>
    </w:p>
    <w:p w14:paraId="5D20E6CC" w14:textId="77777777" w:rsidR="00997093" w:rsidRDefault="00997093">
      <w:pPr>
        <w:rPr>
          <w:b/>
        </w:rPr>
      </w:pPr>
    </w:p>
    <w:bookmarkEnd w:id="15"/>
    <w:p w14:paraId="5242FFCB" w14:textId="77777777" w:rsidR="00997093" w:rsidRDefault="00B33FFE" w:rsidP="00516E9C">
      <w:pPr>
        <w:pStyle w:val="Style1"/>
        <w:keepNext/>
      </w:pPr>
      <w:r>
        <w:rPr>
          <w:lang w:bidi="cs-CZ"/>
        </w:rPr>
        <w:t>5.5</w:t>
      </w:r>
      <w:r>
        <w:rPr>
          <w:lang w:bidi="cs-CZ"/>
        </w:rPr>
        <w:tab/>
        <w:t xml:space="preserve">Zvláštní opatření pro </w:t>
      </w:r>
      <w:r>
        <w:t>likvidaci nepoužitých veterinárních léčivých přípravků nebo odpadů, které pochází z těchto přípravků</w:t>
      </w:r>
    </w:p>
    <w:p w14:paraId="6F5BE6DC" w14:textId="77777777" w:rsidR="00997093" w:rsidRDefault="00997093" w:rsidP="00516E9C">
      <w:pPr>
        <w:pStyle w:val="Style1"/>
        <w:keepNext/>
      </w:pPr>
    </w:p>
    <w:p w14:paraId="33B47724" w14:textId="77777777" w:rsidR="00997093" w:rsidRDefault="00B33FFE">
      <w:pPr>
        <w:rPr>
          <w:szCs w:val="22"/>
          <w:lang w:val="gsw-FR"/>
        </w:rPr>
      </w:pPr>
      <w:r>
        <w:rPr>
          <w:szCs w:val="22"/>
          <w:lang w:val="gsw-FR"/>
        </w:rPr>
        <w:t>Léčivé přípravky se nesmí likvidovat prostřednictvím odpadní vody či domovního odpadu.</w:t>
      </w:r>
    </w:p>
    <w:p w14:paraId="2D4B653D" w14:textId="77777777" w:rsidR="00997093" w:rsidRDefault="00B33FFE">
      <w:pPr>
        <w:rPr>
          <w:iCs/>
        </w:rPr>
      </w:pPr>
      <w:r>
        <w:rPr>
          <w:lang w:val="gsw-FR"/>
        </w:rPr>
        <w:t xml:space="preserve">Všechen nepoužitý veterinární léčivý přípravek nebo odpad, který pochází z tohoto přípravku, likvidujte odevzdáním v souladu s místními požadavky a národními systémy sběru, které jsou platné pro příslušný veterinární léčivý přípravek. </w:t>
      </w:r>
    </w:p>
    <w:p w14:paraId="4077A1BD" w14:textId="04A27343" w:rsidR="00997093" w:rsidRDefault="00997093">
      <w:pPr>
        <w:rPr>
          <w:iCs/>
        </w:rPr>
      </w:pPr>
    </w:p>
    <w:p w14:paraId="672C7DB2" w14:textId="77777777" w:rsidR="00516E9C" w:rsidRDefault="00516E9C">
      <w:pPr>
        <w:rPr>
          <w:iCs/>
        </w:rPr>
      </w:pPr>
    </w:p>
    <w:p w14:paraId="48849B90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6.</w:t>
      </w:r>
      <w:r>
        <w:rPr>
          <w:rFonts w:ascii="Times New Roman" w:hAnsi="Times New Roman"/>
          <w:szCs w:val="22"/>
          <w:lang w:bidi="cs-CZ"/>
        </w:rPr>
        <w:tab/>
        <w:t>DRŽITEL ROZHODNUTÍ O REGISTRACI</w:t>
      </w:r>
    </w:p>
    <w:p w14:paraId="2250BD3B" w14:textId="77777777" w:rsidR="00997093" w:rsidRDefault="00B33FFE">
      <w:r>
        <w:rPr>
          <w:lang w:bidi="cs-CZ"/>
        </w:rPr>
        <w:t>Alfasan Nederland B.V.</w:t>
      </w:r>
    </w:p>
    <w:p w14:paraId="0E7832B7" w14:textId="77777777" w:rsidR="00997093" w:rsidRDefault="00997093"/>
    <w:p w14:paraId="343E4563" w14:textId="77777777" w:rsidR="00997093" w:rsidRDefault="00997093"/>
    <w:p w14:paraId="53F8B590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7.</w:t>
      </w:r>
      <w:r>
        <w:rPr>
          <w:rFonts w:ascii="Times New Roman" w:hAnsi="Times New Roman"/>
          <w:szCs w:val="22"/>
          <w:lang w:bidi="cs-CZ"/>
        </w:rPr>
        <w:tab/>
        <w:t>REGISTRAČNÍ ČÍSLO(A)</w:t>
      </w:r>
    </w:p>
    <w:p w14:paraId="075A43E9" w14:textId="322FC504" w:rsidR="00997093" w:rsidRDefault="008611FB">
      <w:pPr>
        <w:pStyle w:val="BODY"/>
        <w:rPr>
          <w:szCs w:val="22"/>
        </w:rPr>
      </w:pPr>
      <w:r w:rsidRPr="008611FB">
        <w:rPr>
          <w:szCs w:val="22"/>
        </w:rPr>
        <w:t>96/037/</w:t>
      </w:r>
      <w:proofErr w:type="gramStart"/>
      <w:r w:rsidRPr="008611FB">
        <w:rPr>
          <w:szCs w:val="22"/>
        </w:rPr>
        <w:t>22-C</w:t>
      </w:r>
      <w:proofErr w:type="gramEnd"/>
    </w:p>
    <w:p w14:paraId="6DA5E771" w14:textId="77777777" w:rsidR="008611FB" w:rsidRDefault="008611FB">
      <w:pPr>
        <w:pStyle w:val="BODY"/>
        <w:rPr>
          <w:szCs w:val="22"/>
        </w:rPr>
      </w:pPr>
    </w:p>
    <w:p w14:paraId="2CEBF905" w14:textId="77777777" w:rsidR="00997093" w:rsidRDefault="00B33FFE">
      <w:pPr>
        <w:pStyle w:val="Nadpis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bidi="cs-CZ"/>
        </w:rPr>
        <w:t>8.</w:t>
      </w:r>
      <w:r>
        <w:rPr>
          <w:rFonts w:ascii="Times New Roman" w:hAnsi="Times New Roman"/>
          <w:szCs w:val="22"/>
          <w:lang w:bidi="cs-CZ"/>
        </w:rPr>
        <w:tab/>
        <w:t>DATUM PRVNÍ REGISTRACE/</w:t>
      </w:r>
    </w:p>
    <w:p w14:paraId="327E6788" w14:textId="10ACD4B6" w:rsidR="00997093" w:rsidRDefault="008611FB">
      <w:pPr>
        <w:rPr>
          <w:szCs w:val="22"/>
          <w:lang w:val="gsw-FR"/>
        </w:rPr>
      </w:pPr>
      <w:r w:rsidRPr="008611FB">
        <w:rPr>
          <w:szCs w:val="22"/>
          <w:lang w:val="gsw-FR"/>
        </w:rPr>
        <w:t>5.12.2022</w:t>
      </w:r>
    </w:p>
    <w:p w14:paraId="51690AEE" w14:textId="77777777" w:rsidR="008611FB" w:rsidRDefault="008611FB">
      <w:bookmarkStart w:id="16" w:name="_GoBack"/>
      <w:bookmarkEnd w:id="16"/>
    </w:p>
    <w:p w14:paraId="365687D3" w14:textId="77777777" w:rsidR="00997093" w:rsidRDefault="00997093"/>
    <w:p w14:paraId="30A58511" w14:textId="77777777" w:rsidR="00997093" w:rsidRDefault="00B33FFE">
      <w:pPr>
        <w:pStyle w:val="Nadpis2"/>
      </w:pPr>
      <w:r>
        <w:rPr>
          <w:lang w:bidi="cs-CZ"/>
        </w:rPr>
        <w:lastRenderedPageBreak/>
        <w:t>9.</w:t>
      </w:r>
      <w:r>
        <w:rPr>
          <w:lang w:bidi="cs-CZ"/>
        </w:rPr>
        <w:tab/>
        <w:t xml:space="preserve">DATUM </w:t>
      </w:r>
      <w:r>
        <w:t>POSLEDNÍ AKTUALIZACE SOUHRNU ÚDAJŮ O PŘÍPRAVKU</w:t>
      </w:r>
      <w:r>
        <w:rPr>
          <w:lang w:bidi="cs-CZ"/>
        </w:rPr>
        <w:t xml:space="preserve"> </w:t>
      </w:r>
    </w:p>
    <w:p w14:paraId="58EEA7BA" w14:textId="3670C4AA" w:rsidR="00997093" w:rsidRDefault="00870541">
      <w:pPr>
        <w:tabs>
          <w:tab w:val="clear" w:pos="567"/>
        </w:tabs>
        <w:spacing w:line="240" w:lineRule="auto"/>
        <w:rPr>
          <w:szCs w:val="22"/>
          <w:lang w:val="gsw-FR"/>
        </w:rPr>
      </w:pPr>
      <w:r>
        <w:rPr>
          <w:szCs w:val="22"/>
          <w:lang w:val="gsw-FR"/>
        </w:rPr>
        <w:t>03/2025</w:t>
      </w:r>
    </w:p>
    <w:p w14:paraId="56A58082" w14:textId="618EDDA5" w:rsidR="00997093" w:rsidRDefault="00997093">
      <w:pPr>
        <w:pStyle w:val="BODY"/>
        <w:rPr>
          <w:szCs w:val="22"/>
        </w:rPr>
      </w:pPr>
    </w:p>
    <w:p w14:paraId="40D9E9BE" w14:textId="77777777" w:rsidR="001415F7" w:rsidRDefault="001415F7">
      <w:pPr>
        <w:pStyle w:val="BODY"/>
        <w:rPr>
          <w:szCs w:val="22"/>
        </w:rPr>
      </w:pPr>
    </w:p>
    <w:p w14:paraId="263FD152" w14:textId="77777777" w:rsidR="00997093" w:rsidRDefault="00B33FFE" w:rsidP="001415F7">
      <w:pPr>
        <w:pStyle w:val="BODY"/>
        <w:rPr>
          <w:b/>
          <w:szCs w:val="22"/>
        </w:rPr>
      </w:pPr>
      <w:r>
        <w:rPr>
          <w:b/>
          <w:szCs w:val="22"/>
        </w:rPr>
        <w:t>10.</w:t>
      </w:r>
      <w:r>
        <w:rPr>
          <w:b/>
          <w:szCs w:val="22"/>
        </w:rPr>
        <w:tab/>
        <w:t>KLASIFIKACE VETERINÁRNÍCH LÉČIVÝCH PŘÍPRAVKŮ</w:t>
      </w:r>
    </w:p>
    <w:p w14:paraId="794E0550" w14:textId="77777777" w:rsidR="00997093" w:rsidRDefault="00997093" w:rsidP="001415F7">
      <w:pPr>
        <w:jc w:val="both"/>
      </w:pPr>
    </w:p>
    <w:p w14:paraId="412EB5B0" w14:textId="77777777" w:rsidR="00997093" w:rsidRDefault="00B33FFE" w:rsidP="001415F7">
      <w:pPr>
        <w:rPr>
          <w:szCs w:val="22"/>
          <w:lang w:val="gsw-FR"/>
        </w:rPr>
      </w:pPr>
      <w:r>
        <w:t>Veterinární léčivý přípravek je vydáván pouze na předpis.</w:t>
      </w:r>
      <w:r>
        <w:rPr>
          <w:szCs w:val="22"/>
          <w:lang w:val="gsw-FR"/>
        </w:rPr>
        <w:t xml:space="preserve"> </w:t>
      </w:r>
    </w:p>
    <w:p w14:paraId="37FD02DF" w14:textId="77777777" w:rsidR="00997093" w:rsidRDefault="00997093" w:rsidP="001415F7">
      <w:pPr>
        <w:rPr>
          <w:szCs w:val="22"/>
          <w:lang w:val="gsw-FR"/>
        </w:rPr>
      </w:pPr>
    </w:p>
    <w:p w14:paraId="0063E800" w14:textId="017F14F8" w:rsidR="00997093" w:rsidRDefault="00B33FFE" w:rsidP="001415F7">
      <w:pPr>
        <w:rPr>
          <w:szCs w:val="22"/>
          <w:lang w:val="gsw-FR"/>
        </w:rPr>
      </w:pPr>
      <w:r>
        <w:rPr>
          <w:szCs w:val="22"/>
          <w:lang w:val="gsw-FR"/>
        </w:rPr>
        <w:t>Podrobné informace o tomto veterinárním léčivém přípravku jsou k dispozici v </w:t>
      </w:r>
      <w:r>
        <w:rPr>
          <w:rStyle w:val="Hypertextovodkaz"/>
          <w:szCs w:val="22"/>
          <w:lang w:val="gsw-FR"/>
        </w:rPr>
        <w:t>databázi přípravků Unie</w:t>
      </w:r>
      <w:r>
        <w:rPr>
          <w:szCs w:val="22"/>
          <w:lang w:val="gsw-FR"/>
        </w:rPr>
        <w:t xml:space="preserve"> (</w:t>
      </w:r>
      <w:hyperlink r:id="rId12" w:history="1">
        <w:r>
          <w:rPr>
            <w:rStyle w:val="Hypertextovodkaz"/>
            <w:szCs w:val="22"/>
            <w:lang w:val="gsw-FR"/>
          </w:rPr>
          <w:t>https://medicines.health.europa.eu/veterinary</w:t>
        </w:r>
      </w:hyperlink>
      <w:r>
        <w:rPr>
          <w:szCs w:val="22"/>
          <w:lang w:val="gsw-FR"/>
        </w:rPr>
        <w:t>).</w:t>
      </w:r>
    </w:p>
    <w:p w14:paraId="03542013" w14:textId="4D5F324C" w:rsidR="00870541" w:rsidRDefault="00870541" w:rsidP="001415F7">
      <w:pPr>
        <w:rPr>
          <w:szCs w:val="22"/>
          <w:lang w:val="gsw-FR"/>
        </w:rPr>
      </w:pPr>
    </w:p>
    <w:p w14:paraId="6424D494" w14:textId="77777777" w:rsidR="00870541" w:rsidRPr="008611FB" w:rsidRDefault="00870541" w:rsidP="00870541">
      <w:pPr>
        <w:spacing w:line="240" w:lineRule="auto"/>
        <w:jc w:val="both"/>
      </w:pPr>
      <w:bookmarkStart w:id="17" w:name="_Hlk148432335"/>
      <w:r w:rsidRPr="008611FB">
        <w:t>Podrobné informace o tomto veterinárním léčivém přípravku naleznete také v národní databázi (</w:t>
      </w:r>
      <w:hyperlink r:id="rId13" w:history="1">
        <w:r w:rsidRPr="008611FB">
          <w:rPr>
            <w:rStyle w:val="Hypertextovodkaz"/>
          </w:rPr>
          <w:t>https://www.uskvbl.cz</w:t>
        </w:r>
      </w:hyperlink>
      <w:r w:rsidRPr="008611FB">
        <w:t>).</w:t>
      </w:r>
    </w:p>
    <w:bookmarkEnd w:id="17"/>
    <w:p w14:paraId="58197831" w14:textId="77777777" w:rsidR="00870541" w:rsidRDefault="00870541" w:rsidP="001415F7">
      <w:pPr>
        <w:rPr>
          <w:szCs w:val="22"/>
          <w:lang w:val="gsw-FR"/>
        </w:rPr>
      </w:pPr>
    </w:p>
    <w:p w14:paraId="13C80A51" w14:textId="77777777" w:rsidR="00997093" w:rsidRDefault="00997093">
      <w:pPr>
        <w:ind w:right="-318"/>
      </w:pPr>
    </w:p>
    <w:p w14:paraId="23127FF9" w14:textId="43F1C975" w:rsidR="00997093" w:rsidRDefault="00B33FFE" w:rsidP="00CD65CA">
      <w:pPr>
        <w:tabs>
          <w:tab w:val="clear" w:pos="567"/>
        </w:tabs>
        <w:spacing w:line="240" w:lineRule="auto"/>
        <w:rPr>
          <w:b/>
          <w:szCs w:val="22"/>
        </w:rPr>
      </w:pPr>
      <w:r>
        <w:br w:type="page"/>
      </w:r>
    </w:p>
    <w:p w14:paraId="17C44B20" w14:textId="77777777" w:rsidR="00997093" w:rsidRDefault="00997093">
      <w:pPr>
        <w:pStyle w:val="BODY"/>
        <w:rPr>
          <w:szCs w:val="22"/>
        </w:rPr>
      </w:pPr>
    </w:p>
    <w:sectPr w:rsidR="00997093">
      <w:footerReference w:type="default" r:id="rId14"/>
      <w:headerReference w:type="first" r:id="rId15"/>
      <w:footerReference w:type="first" r:id="rId16"/>
      <w:endnotePr>
        <w:numFmt w:val="decimal"/>
      </w:endnotePr>
      <w:pgSz w:w="11918" w:h="16840" w:code="9"/>
      <w:pgMar w:top="1134" w:right="1418" w:bottom="1134" w:left="1418" w:header="737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E455C" w14:textId="77777777" w:rsidR="00B43979" w:rsidRDefault="00B43979">
      <w:r>
        <w:separator/>
      </w:r>
    </w:p>
  </w:endnote>
  <w:endnote w:type="continuationSeparator" w:id="0">
    <w:p w14:paraId="399DA381" w14:textId="77777777" w:rsidR="00B43979" w:rsidRDefault="00B4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0891097"/>
      <w:docPartObj>
        <w:docPartGallery w:val="Page Numbers (Bottom of Page)"/>
        <w:docPartUnique/>
      </w:docPartObj>
    </w:sdtPr>
    <w:sdtEndPr/>
    <w:sdtContent>
      <w:p w14:paraId="2610B3BA" w14:textId="77777777" w:rsidR="00997093" w:rsidRDefault="00B33FFE">
        <w:pPr>
          <w:pStyle w:val="Zpat"/>
          <w:jc w:val="center"/>
        </w:pPr>
        <w:r>
          <w:rPr>
            <w:lang w:bidi="cs-CZ"/>
          </w:rPr>
          <w:fldChar w:fldCharType="begin"/>
        </w:r>
        <w:r>
          <w:rPr>
            <w:lang w:bidi="cs-CZ"/>
          </w:rPr>
          <w:instrText>PAGE   \* MERGEFORMAT</w:instrText>
        </w:r>
        <w:r>
          <w:rPr>
            <w:lang w:bidi="cs-CZ"/>
          </w:rPr>
          <w:fldChar w:fldCharType="separate"/>
        </w:r>
        <w:r>
          <w:rPr>
            <w:noProof/>
            <w:lang w:bidi="cs-CZ"/>
          </w:rPr>
          <w:t>17</w:t>
        </w:r>
        <w:r>
          <w:rPr>
            <w:lang w:bidi="cs-CZ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0A68" w14:textId="77777777" w:rsidR="00997093" w:rsidRDefault="00B33FFE">
    <w:pPr>
      <w:pStyle w:val="Zpat"/>
      <w:jc w:val="center"/>
    </w:pPr>
    <w:r>
      <w:rPr>
        <w:lang w:bidi="cs-CZ"/>
      </w:rPr>
      <w:fldChar w:fldCharType="begin"/>
    </w:r>
    <w:r>
      <w:rPr>
        <w:lang w:bidi="cs-CZ"/>
      </w:rPr>
      <w:instrText>PAGE   \* MERGEFORMAT</w:instrText>
    </w:r>
    <w:r>
      <w:rPr>
        <w:lang w:bidi="cs-CZ"/>
      </w:rPr>
      <w:fldChar w:fldCharType="separate"/>
    </w:r>
    <w:r>
      <w:rPr>
        <w:noProof/>
        <w:lang w:bidi="cs-CZ"/>
      </w:rPr>
      <w:t>1</w:t>
    </w:r>
    <w:r>
      <w:rPr>
        <w:lang w:bidi="cs-CZ"/>
      </w:rPr>
      <w:fldChar w:fldCharType="end"/>
    </w:r>
  </w:p>
  <w:p w14:paraId="6CFC0F5F" w14:textId="77777777" w:rsidR="00997093" w:rsidRDefault="0099709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9485" w14:textId="77777777" w:rsidR="00B43979" w:rsidRDefault="00B43979">
      <w:r>
        <w:separator/>
      </w:r>
    </w:p>
  </w:footnote>
  <w:footnote w:type="continuationSeparator" w:id="0">
    <w:p w14:paraId="745F4CCA" w14:textId="77777777" w:rsidR="00B43979" w:rsidRDefault="00B4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C803" w14:textId="77777777" w:rsidR="00997093" w:rsidRDefault="00B33FFE">
    <w:pPr>
      <w:pStyle w:val="Zhlav"/>
      <w:jc w:val="right"/>
      <w:rPr>
        <w:rFonts w:ascii="Arial" w:hAnsi="Arial" w:cs="Arial"/>
      </w:rPr>
    </w:pP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  <w:r>
      <w:rPr>
        <w:lang w:bidi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BB7"/>
    <w:multiLevelType w:val="hybridMultilevel"/>
    <w:tmpl w:val="D116C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F3C"/>
    <w:multiLevelType w:val="hybridMultilevel"/>
    <w:tmpl w:val="5CC44438"/>
    <w:lvl w:ilvl="0" w:tplc="89BA0E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" w15:restartNumberingAfterBreak="0">
    <w:nsid w:val="0B5B55DE"/>
    <w:multiLevelType w:val="hybridMultilevel"/>
    <w:tmpl w:val="FC2226AC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195C"/>
    <w:multiLevelType w:val="hybridMultilevel"/>
    <w:tmpl w:val="47B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B8D"/>
    <w:multiLevelType w:val="hybridMultilevel"/>
    <w:tmpl w:val="51548FA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8D6"/>
    <w:multiLevelType w:val="hybridMultilevel"/>
    <w:tmpl w:val="2DA8D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E6DB9"/>
    <w:multiLevelType w:val="hybridMultilevel"/>
    <w:tmpl w:val="1C705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00A08"/>
    <w:multiLevelType w:val="hybridMultilevel"/>
    <w:tmpl w:val="EE60784E"/>
    <w:lvl w:ilvl="0" w:tplc="FFFFFFFF">
      <w:start w:val="1"/>
      <w:numFmt w:val="bullet"/>
      <w:lvlText w:val="-"/>
      <w:lvlJc w:val="left"/>
      <w:pPr>
        <w:ind w:left="788" w:hanging="360"/>
      </w:pPr>
    </w:lvl>
    <w:lvl w:ilvl="1" w:tplc="041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194C384B"/>
    <w:multiLevelType w:val="hybridMultilevel"/>
    <w:tmpl w:val="9DE857BA"/>
    <w:lvl w:ilvl="0" w:tplc="FBCAFD24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18806904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4AB681DA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041AA4DC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34588598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87CC0036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5D4A5B60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D9507316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863E861A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abstractNum w:abstractNumId="10" w15:restartNumberingAfterBreak="0">
    <w:nsid w:val="1BA24273"/>
    <w:multiLevelType w:val="hybridMultilevel"/>
    <w:tmpl w:val="78D4D0BA"/>
    <w:lvl w:ilvl="0" w:tplc="19CCFEBE">
      <w:start w:val="8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7EA0913"/>
    <w:multiLevelType w:val="hybridMultilevel"/>
    <w:tmpl w:val="DDF45E4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F75D6"/>
    <w:multiLevelType w:val="hybridMultilevel"/>
    <w:tmpl w:val="A41A180A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A232D"/>
    <w:multiLevelType w:val="hybridMultilevel"/>
    <w:tmpl w:val="59629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98"/>
    <w:multiLevelType w:val="hybridMultilevel"/>
    <w:tmpl w:val="6CEE86B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A0F92"/>
    <w:multiLevelType w:val="hybridMultilevel"/>
    <w:tmpl w:val="2F9A8A1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F2B8A"/>
    <w:multiLevelType w:val="hybridMultilevel"/>
    <w:tmpl w:val="045ED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B6A43"/>
    <w:multiLevelType w:val="hybridMultilevel"/>
    <w:tmpl w:val="AABC99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13B43"/>
    <w:multiLevelType w:val="hybridMultilevel"/>
    <w:tmpl w:val="7C1CD7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B2E74"/>
    <w:multiLevelType w:val="hybridMultilevel"/>
    <w:tmpl w:val="CD62C2DE"/>
    <w:lvl w:ilvl="0" w:tplc="454A7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A83E22"/>
    <w:multiLevelType w:val="hybridMultilevel"/>
    <w:tmpl w:val="2E3AE790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3A70"/>
    <w:multiLevelType w:val="hybridMultilevel"/>
    <w:tmpl w:val="0054EB86"/>
    <w:lvl w:ilvl="0" w:tplc="454A7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C4530"/>
    <w:multiLevelType w:val="hybridMultilevel"/>
    <w:tmpl w:val="0F0C8608"/>
    <w:lvl w:ilvl="0" w:tplc="7B141648">
      <w:numFmt w:val="bullet"/>
      <w:lvlText w:val="-"/>
      <w:lvlJc w:val="left"/>
      <w:pPr>
        <w:ind w:left="34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2202F3CC">
      <w:numFmt w:val="bullet"/>
      <w:lvlText w:val="•"/>
      <w:lvlJc w:val="left"/>
      <w:pPr>
        <w:ind w:left="1268" w:hanging="128"/>
      </w:pPr>
      <w:rPr>
        <w:rFonts w:hint="default"/>
        <w:lang w:val="cs-CZ" w:eastAsia="en-US" w:bidi="ar-SA"/>
      </w:rPr>
    </w:lvl>
    <w:lvl w:ilvl="2" w:tplc="A426EBFE">
      <w:numFmt w:val="bullet"/>
      <w:lvlText w:val="•"/>
      <w:lvlJc w:val="left"/>
      <w:pPr>
        <w:ind w:left="2197" w:hanging="128"/>
      </w:pPr>
      <w:rPr>
        <w:rFonts w:hint="default"/>
        <w:lang w:val="cs-CZ" w:eastAsia="en-US" w:bidi="ar-SA"/>
      </w:rPr>
    </w:lvl>
    <w:lvl w:ilvl="3" w:tplc="15EA0CA8">
      <w:numFmt w:val="bullet"/>
      <w:lvlText w:val="•"/>
      <w:lvlJc w:val="left"/>
      <w:pPr>
        <w:ind w:left="3125" w:hanging="128"/>
      </w:pPr>
      <w:rPr>
        <w:rFonts w:hint="default"/>
        <w:lang w:val="cs-CZ" w:eastAsia="en-US" w:bidi="ar-SA"/>
      </w:rPr>
    </w:lvl>
    <w:lvl w:ilvl="4" w:tplc="F5124530">
      <w:numFmt w:val="bullet"/>
      <w:lvlText w:val="•"/>
      <w:lvlJc w:val="left"/>
      <w:pPr>
        <w:ind w:left="4054" w:hanging="128"/>
      </w:pPr>
      <w:rPr>
        <w:rFonts w:hint="default"/>
        <w:lang w:val="cs-CZ" w:eastAsia="en-US" w:bidi="ar-SA"/>
      </w:rPr>
    </w:lvl>
    <w:lvl w:ilvl="5" w:tplc="BE184E70">
      <w:numFmt w:val="bullet"/>
      <w:lvlText w:val="•"/>
      <w:lvlJc w:val="left"/>
      <w:pPr>
        <w:ind w:left="4983" w:hanging="128"/>
      </w:pPr>
      <w:rPr>
        <w:rFonts w:hint="default"/>
        <w:lang w:val="cs-CZ" w:eastAsia="en-US" w:bidi="ar-SA"/>
      </w:rPr>
    </w:lvl>
    <w:lvl w:ilvl="6" w:tplc="821A9A8A">
      <w:numFmt w:val="bullet"/>
      <w:lvlText w:val="•"/>
      <w:lvlJc w:val="left"/>
      <w:pPr>
        <w:ind w:left="5911" w:hanging="128"/>
      </w:pPr>
      <w:rPr>
        <w:rFonts w:hint="default"/>
        <w:lang w:val="cs-CZ" w:eastAsia="en-US" w:bidi="ar-SA"/>
      </w:rPr>
    </w:lvl>
    <w:lvl w:ilvl="7" w:tplc="390AA44E">
      <w:numFmt w:val="bullet"/>
      <w:lvlText w:val="•"/>
      <w:lvlJc w:val="left"/>
      <w:pPr>
        <w:ind w:left="6840" w:hanging="128"/>
      </w:pPr>
      <w:rPr>
        <w:rFonts w:hint="default"/>
        <w:lang w:val="cs-CZ" w:eastAsia="en-US" w:bidi="ar-SA"/>
      </w:rPr>
    </w:lvl>
    <w:lvl w:ilvl="8" w:tplc="E6365E6E">
      <w:numFmt w:val="bullet"/>
      <w:lvlText w:val="•"/>
      <w:lvlJc w:val="left"/>
      <w:pPr>
        <w:ind w:left="7769" w:hanging="128"/>
      </w:pPr>
      <w:rPr>
        <w:rFonts w:hint="default"/>
        <w:lang w:val="cs-CZ" w:eastAsia="en-US" w:bidi="ar-SA"/>
      </w:rPr>
    </w:lvl>
  </w:abstractNum>
  <w:abstractNum w:abstractNumId="24" w15:restartNumberingAfterBreak="0">
    <w:nsid w:val="7DDC4652"/>
    <w:multiLevelType w:val="hybridMultilevel"/>
    <w:tmpl w:val="FA16EB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4"/>
  </w:num>
  <w:num w:numId="6">
    <w:abstractNumId w:val="18"/>
  </w:num>
  <w:num w:numId="7">
    <w:abstractNumId w:val="14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6"/>
  </w:num>
  <w:num w:numId="16">
    <w:abstractNumId w:val="13"/>
  </w:num>
  <w:num w:numId="17">
    <w:abstractNumId w:val="8"/>
  </w:num>
  <w:num w:numId="18">
    <w:abstractNumId w:val="10"/>
  </w:num>
  <w:num w:numId="19">
    <w:abstractNumId w:val="1"/>
  </w:num>
  <w:num w:numId="20">
    <w:abstractNumId w:val="21"/>
  </w:num>
  <w:num w:numId="21">
    <w:abstractNumId w:val="20"/>
  </w:num>
  <w:num w:numId="22">
    <w:abstractNumId w:val="22"/>
  </w:num>
  <w:num w:numId="23">
    <w:abstractNumId w:val="12"/>
  </w:num>
  <w:num w:numId="24">
    <w:abstractNumId w:val="9"/>
  </w:num>
  <w:num w:numId="25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997093"/>
    <w:rsid w:val="001415F7"/>
    <w:rsid w:val="001D4999"/>
    <w:rsid w:val="00273BE7"/>
    <w:rsid w:val="002C3DCD"/>
    <w:rsid w:val="002E78F6"/>
    <w:rsid w:val="003352A5"/>
    <w:rsid w:val="003D3F6C"/>
    <w:rsid w:val="004C09C2"/>
    <w:rsid w:val="00516E9C"/>
    <w:rsid w:val="00592A87"/>
    <w:rsid w:val="005E2ABB"/>
    <w:rsid w:val="00621B39"/>
    <w:rsid w:val="00790517"/>
    <w:rsid w:val="008611FB"/>
    <w:rsid w:val="00866783"/>
    <w:rsid w:val="00870541"/>
    <w:rsid w:val="008B595C"/>
    <w:rsid w:val="0095309D"/>
    <w:rsid w:val="00997093"/>
    <w:rsid w:val="00A37C42"/>
    <w:rsid w:val="00A94ED7"/>
    <w:rsid w:val="00B051F7"/>
    <w:rsid w:val="00B079B6"/>
    <w:rsid w:val="00B16E06"/>
    <w:rsid w:val="00B33FFE"/>
    <w:rsid w:val="00B43979"/>
    <w:rsid w:val="00C053B1"/>
    <w:rsid w:val="00C3248D"/>
    <w:rsid w:val="00C50E78"/>
    <w:rsid w:val="00CD65CA"/>
    <w:rsid w:val="00D03E91"/>
    <w:rsid w:val="00ED1F00"/>
    <w:rsid w:val="00F51E53"/>
    <w:rsid w:val="00FA0D6E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BC6D70"/>
  <w15:docId w15:val="{8F53AFE2-4B70-4A45-9A39-0FB40395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line="240" w:lineRule="auto"/>
      <w:jc w:val="center"/>
      <w:outlineLvl w:val="0"/>
    </w:pPr>
    <w:rPr>
      <w:b/>
      <w:caps/>
      <w:lang w:val="en-US"/>
    </w:rPr>
  </w:style>
  <w:style w:type="paragraph" w:styleId="Nadpis2">
    <w:name w:val="heading 2"/>
    <w:basedOn w:val="Normln"/>
    <w:next w:val="BODY"/>
    <w:qFormat/>
    <w:pPr>
      <w:keepNext/>
      <w:spacing w:after="220" w:line="240" w:lineRule="auto"/>
      <w:outlineLvl w:val="1"/>
    </w:pPr>
    <w:rPr>
      <w:rFonts w:ascii="Times New Roman Bold" w:hAnsi="Times New Roman Bold"/>
      <w:b/>
      <w:caps/>
    </w:rPr>
  </w:style>
  <w:style w:type="paragraph" w:styleId="Nadpis3">
    <w:name w:val="heading 3"/>
    <w:basedOn w:val="Normln"/>
    <w:next w:val="BODY"/>
    <w:qFormat/>
    <w:pPr>
      <w:keepNext/>
      <w:spacing w:after="220" w:line="240" w:lineRule="auto"/>
      <w:ind w:left="567" w:hanging="567"/>
      <w:outlineLvl w:val="2"/>
    </w:pPr>
    <w:rPr>
      <w:b/>
      <w:kern w:val="28"/>
    </w:rPr>
  </w:style>
  <w:style w:type="paragraph" w:styleId="Nadpis4">
    <w:name w:val="heading 4"/>
    <w:basedOn w:val="Normln"/>
    <w:next w:val="BODY"/>
    <w:qFormat/>
    <w:pPr>
      <w:keepNext/>
      <w:spacing w:line="240" w:lineRule="auto"/>
      <w:outlineLvl w:val="3"/>
    </w:pPr>
    <w:rPr>
      <w:u w:val="single"/>
    </w:rPr>
  </w:style>
  <w:style w:type="paragraph" w:styleId="Nadpis5">
    <w:name w:val="heading 5"/>
    <w:basedOn w:val="Normln"/>
    <w:next w:val="BODY"/>
    <w:qFormat/>
    <w:pPr>
      <w:keepNext/>
      <w:tabs>
        <w:tab w:val="clear" w:pos="567"/>
      </w:tabs>
      <w:spacing w:line="240" w:lineRule="auto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567" w:hanging="567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qFormat/>
    <w:pPr>
      <w:spacing w:after="220" w:line="240" w:lineRule="auto"/>
      <w:contextualSpacing/>
    </w:pPr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link w:val="Zpat"/>
    <w:uiPriority w:val="99"/>
    <w:rPr>
      <w:rFonts w:ascii="Helvetica" w:hAnsi="Helvetica"/>
      <w:sz w:val="16"/>
      <w:lang w:eastAsia="en-US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link w:val="Zkladntext"/>
    <w:rPr>
      <w:sz w:val="22"/>
      <w:lang w:eastAsia="en-US"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link w:val="Zkladntextodsazen2Char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link w:val="Zkladntextodsazen2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character" w:customStyle="1" w:styleId="TextkomenteChar">
    <w:name w:val="Text komentáře Char"/>
    <w:link w:val="Textkomente"/>
    <w:uiPriority w:val="99"/>
    <w:rPr>
      <w:lang w:eastAsia="en-US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link w:val="Zkladntextodsazen"/>
    <w:rPr>
      <w:b/>
      <w:sz w:val="22"/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Underlining">
    <w:name w:val="Underlining"/>
    <w:qFormat/>
    <w:rPr>
      <w:u w:val="single"/>
    </w:rPr>
  </w:style>
  <w:style w:type="paragraph" w:styleId="Podnadpis">
    <w:name w:val="Subtitle"/>
    <w:basedOn w:val="Normln"/>
    <w:next w:val="Normln"/>
    <w:link w:val="PodnadpisChar"/>
    <w:qFormat/>
    <w:pPr>
      <w:spacing w:after="220" w:line="240" w:lineRule="auto"/>
      <w:contextualSpacing/>
      <w:jc w:val="center"/>
    </w:pPr>
    <w:rPr>
      <w:szCs w:val="24"/>
    </w:rPr>
  </w:style>
  <w:style w:type="character" w:customStyle="1" w:styleId="PodnadpisChar">
    <w:name w:val="Podnadpis Char"/>
    <w:link w:val="Podnadpis"/>
    <w:rPr>
      <w:rFonts w:eastAsia="Times New Roman" w:cs="Times New Roman"/>
      <w:sz w:val="22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  <w:lang w:eastAsia="en-US"/>
    </w:rPr>
  </w:style>
  <w:style w:type="character" w:styleId="Siln">
    <w:name w:val="Strong"/>
    <w:qFormat/>
    <w:rPr>
      <w:b/>
      <w:bCs/>
    </w:rPr>
  </w:style>
  <w:style w:type="paragraph" w:customStyle="1" w:styleId="TableDose">
    <w:name w:val="TableDose"/>
    <w:basedOn w:val="Normln"/>
    <w:qFormat/>
    <w:pPr>
      <w:spacing w:line="240" w:lineRule="auto"/>
    </w:p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eenafstand1">
    <w:name w:val="Geen afstand1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PCKetamin">
    <w:name w:val="SPC Ketamin"/>
    <w:basedOn w:val="Normln"/>
    <w:link w:val="SPCKetaminZchn"/>
    <w:qFormat/>
    <w:pPr>
      <w:tabs>
        <w:tab w:val="clear" w:pos="567"/>
      </w:tabs>
      <w:spacing w:line="300" w:lineRule="exact"/>
      <w:jc w:val="both"/>
    </w:pPr>
    <w:rPr>
      <w:szCs w:val="22"/>
    </w:rPr>
  </w:style>
  <w:style w:type="character" w:customStyle="1" w:styleId="SPCKetaminZchn">
    <w:name w:val="SPC Ketamin Zchn"/>
    <w:link w:val="SPCKetamin"/>
    <w:rPr>
      <w:sz w:val="22"/>
      <w:szCs w:val="22"/>
      <w:lang w:val="en-GB" w:eastAsia="en-US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1">
    <w:name w:val="Rastertabel 1 licht1"/>
    <w:basedOn w:val="Normlntabul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AHeader1">
    <w:name w:val="AHeader 1"/>
    <w:basedOn w:val="Normln"/>
    <w:pPr>
      <w:numPr>
        <w:numId w:val="9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Revisie1">
    <w:name w:val="Revisie1"/>
    <w:hidden/>
    <w:uiPriority w:val="99"/>
    <w:semiHidden/>
    <w:rPr>
      <w:sz w:val="22"/>
      <w:lang w:val="en-GB" w:eastAsia="en-US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10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Geenafstand2">
    <w:name w:val="Geen afstand2"/>
    <w:uiPriority w:val="1"/>
    <w:qFormat/>
    <w:rPr>
      <w:rFonts w:ascii="Cambria" w:eastAsia="Cambria" w:hAnsi="Cambria"/>
      <w:sz w:val="24"/>
      <w:szCs w:val="24"/>
      <w:lang w:val="en-US"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styleId="Normlnweb">
    <w:name w:val="Normal (Web)"/>
    <w:basedOn w:val="Normln"/>
    <w:uiPriority w:val="99"/>
    <w:unhideWhenUsed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ma.europa.eu/documents/template-form/qrd-appendix-i-adverse-event-phv-mss-reporting-details_en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D3DC32CFF4A4485D9CC3DE50D0ECF" ma:contentTypeVersion="19" ma:contentTypeDescription="Een nieuw document maken." ma:contentTypeScope="" ma:versionID="a4f83539deabdbdddc942472c2cb1828">
  <xsd:schema xmlns:xsd="http://www.w3.org/2001/XMLSchema" xmlns:xs="http://www.w3.org/2001/XMLSchema" xmlns:p="http://schemas.microsoft.com/office/2006/metadata/properties" xmlns:ns2="54c22511-638e-4273-9837-ffa84345baa4" xmlns:ns3="785010aa-b74b-4483-a1ff-00100c12865f" xmlns:ns4="090c5233-a5c5-42a4-ac9f-bfbebbdb39dc" targetNamespace="http://schemas.microsoft.com/office/2006/metadata/properties" ma:root="true" ma:fieldsID="c9483ec2d79794ed46377c5f63fc3f48" ns2:_="" ns3:_="" ns4:_="">
    <xsd:import namespace="54c22511-638e-4273-9837-ffa84345baa4"/>
    <xsd:import namespace="785010aa-b74b-4483-a1ff-00100c12865f"/>
    <xsd:import namespace="090c5233-a5c5-42a4-ac9f-bfbebbdb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2511-638e-4273-9837-ffa84345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um" ma:index="19" nillable="true" ma:displayName="Datum" ma:format="DateOnly" ma:internalName="Datum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c83eb9e-f01d-47f4-b8b0-4cf3ec603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0aa-b74b-4483-a1ff-00100c12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5233-a5c5-42a4-ac9f-bfbebbdb39d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49d01a-cccd-4411-ae7f-58dd3e9b4d14}" ma:internalName="TaxCatchAll" ma:showField="CatchAllData" ma:web="090c5233-a5c5-42a4-ac9f-bfbebbdb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4c22511-638e-4273-9837-ffa84345baa4" xsi:nil="true"/>
    <lcf76f155ced4ddcb4097134ff3c332f xmlns="54c22511-638e-4273-9837-ffa84345baa4">
      <Terms xmlns="http://schemas.microsoft.com/office/infopath/2007/PartnerControls"/>
    </lcf76f155ced4ddcb4097134ff3c332f>
    <TaxCatchAll xmlns="090c5233-a5c5-42a4-ac9f-bfbebbdb3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96B3-A451-4997-B54B-06C20D488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22511-638e-4273-9837-ffa84345baa4"/>
    <ds:schemaRef ds:uri="785010aa-b74b-4483-a1ff-00100c12865f"/>
    <ds:schemaRef ds:uri="090c5233-a5c5-42a4-ac9f-bfbebbdb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C409-A1F3-4882-B8A5-150A11307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D3639-6242-403B-9F6F-69D0810A4EF9}">
  <ds:schemaRefs>
    <ds:schemaRef ds:uri="http://schemas.microsoft.com/office/2006/metadata/properties"/>
    <ds:schemaRef ds:uri="http://schemas.microsoft.com/office/infopath/2007/PartnerControls"/>
    <ds:schemaRef ds:uri="54c22511-638e-4273-9837-ffa84345baa4"/>
    <ds:schemaRef ds:uri="090c5233-a5c5-42a4-ac9f-bfbebbdb39dc"/>
  </ds:schemaRefs>
</ds:datastoreItem>
</file>

<file path=customXml/itemProps4.xml><?xml version="1.0" encoding="utf-8"?>
<ds:datastoreItem xmlns:ds="http://schemas.openxmlformats.org/officeDocument/2006/customXml" ds:itemID="{565BD9A8-4618-467A-8477-74CBC48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1615</Words>
  <Characters>9529</Characters>
  <Application>Microsoft Office Word</Application>
  <DocSecurity>0</DocSecurity>
  <Lines>79</Lines>
  <Paragraphs>22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MFranse@alfasan.nl</dc:creator>
  <cp:lastModifiedBy>Neugebauerová Kateřina</cp:lastModifiedBy>
  <cp:revision>21</cp:revision>
  <cp:lastPrinted>2025-03-24T12:04:00Z</cp:lastPrinted>
  <dcterms:created xsi:type="dcterms:W3CDTF">2024-12-30T08:42:00Z</dcterms:created>
  <dcterms:modified xsi:type="dcterms:W3CDTF">2025-03-24T12:04:00Z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0x010100402D3DC32CFF4A4485D9CC3DE50D0ECF</vt:lpwstr>
  </property>
  <property fmtid="{D5CDD505-2E9C-101B-9397-08002B2CF9AE}" pid="3" name="AuthorIds_UIVersion_1536">
    <vt:lpwstr>20,14</vt:lpwstr>
  </property>
  <property fmtid="{D5CDD505-2E9C-101B-9397-08002B2CF9AE}" pid="4" name="MediaServiceImageTags">
    <vt:lpwstr/>
  </property>
</Properties>
</file>