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70222" w14:textId="73437E20" w:rsidR="00B74F56" w:rsidRPr="00412AD4" w:rsidRDefault="000F0F57">
      <w:pPr>
        <w:rPr>
          <w:b/>
          <w:sz w:val="28"/>
          <w:szCs w:val="28"/>
        </w:rPr>
      </w:pPr>
      <w:r w:rsidRPr="00412AD4">
        <w:rPr>
          <w:b/>
          <w:sz w:val="28"/>
          <w:szCs w:val="28"/>
        </w:rPr>
        <w:t xml:space="preserve">Testovací souprava pro detekci protilátek proti viru </w:t>
      </w:r>
      <w:proofErr w:type="spellStart"/>
      <w:r w:rsidRPr="00412AD4">
        <w:rPr>
          <w:b/>
          <w:sz w:val="28"/>
          <w:szCs w:val="28"/>
        </w:rPr>
        <w:t>retikuloendoteli</w:t>
      </w:r>
      <w:bookmarkStart w:id="0" w:name="_GoBack"/>
      <w:bookmarkEnd w:id="0"/>
      <w:r w:rsidRPr="00412AD4">
        <w:rPr>
          <w:b/>
          <w:sz w:val="28"/>
          <w:szCs w:val="28"/>
        </w:rPr>
        <w:t>ózy</w:t>
      </w:r>
      <w:proofErr w:type="spellEnd"/>
    </w:p>
    <w:p w14:paraId="7A79C4C4" w14:textId="77777777" w:rsidR="000F0F57" w:rsidRDefault="004D311E" w:rsidP="004E4F75">
      <w:pPr>
        <w:jc w:val="right"/>
      </w:pPr>
      <w:r>
        <w:t>Pouze pro veterinární použití.</w:t>
      </w:r>
    </w:p>
    <w:p w14:paraId="2C7E7B0E" w14:textId="77777777" w:rsidR="004D311E" w:rsidRPr="002A6EFC" w:rsidRDefault="004D311E">
      <w:pPr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Název a zamýšlené použití</w:t>
      </w:r>
    </w:p>
    <w:p w14:paraId="0B4398A3" w14:textId="77777777" w:rsidR="004D311E" w:rsidRDefault="004D311E">
      <w:r>
        <w:t xml:space="preserve">IDEXX REV je enzymový imunologický test od firmy IDEXX určený k detekci protilátek proti viru </w:t>
      </w:r>
      <w:proofErr w:type="spellStart"/>
      <w:r>
        <w:t>retikuloendoteliózy</w:t>
      </w:r>
      <w:proofErr w:type="spellEnd"/>
      <w:r>
        <w:t xml:space="preserve"> (REV) v kuřecím séru. </w:t>
      </w:r>
    </w:p>
    <w:p w14:paraId="3B4362CE" w14:textId="77777777" w:rsidR="004D311E" w:rsidRPr="002A6EFC" w:rsidRDefault="004D311E" w:rsidP="004D311E">
      <w:pPr>
        <w:rPr>
          <w:b/>
          <w:sz w:val="28"/>
          <w:szCs w:val="28"/>
        </w:rPr>
      </w:pPr>
      <w:r w:rsidRPr="002A6EFC">
        <w:rPr>
          <w:b/>
          <w:sz w:val="28"/>
          <w:szCs w:val="28"/>
        </w:rPr>
        <w:t>Obecné informace</w:t>
      </w:r>
    </w:p>
    <w:p w14:paraId="23325E84" w14:textId="68132E92" w:rsidR="004D311E" w:rsidRDefault="004D311E" w:rsidP="004D311E">
      <w:r>
        <w:t>Určení imunologického statusu i sérologická identifikace REV vyžaduje stanovení protilátek proti REV ze séra. Enzymové imunologické testy se osvědčily jako účinná metoda kvantifikace hladiny protilátek proti REV a usnadňují</w:t>
      </w:r>
      <w:r w:rsidR="00A41204">
        <w:t>cí</w:t>
      </w:r>
      <w:r>
        <w:t xml:space="preserve"> monitoring imunologického statusu ve velkých hejnech. </w:t>
      </w:r>
    </w:p>
    <w:p w14:paraId="5E60B416" w14:textId="77777777" w:rsidR="00B515C6" w:rsidRPr="002A6EFC" w:rsidRDefault="00B515C6" w:rsidP="004D311E">
      <w:pPr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Popis a principy</w:t>
      </w:r>
    </w:p>
    <w:p w14:paraId="3EE98A6E" w14:textId="77777777" w:rsidR="00B515C6" w:rsidRDefault="00B515C6" w:rsidP="004D311E">
      <w:r>
        <w:t>Tento test je navržen ke stanovení relativní hladiny protilátek proti REV v kuřecím séru. Virový antigen je nanesen na destičkách s 96 jamkami. Během inkubace testu se v potažené jamce destičky vytvoří komplex specifických protilátek proti REV s nanesenými antigeny viru. Po vymytí nenavázaného materiálu z jamek se přidá konjugát, který se naváže na kuřecí protilátky zachycené v jamkách. Nenavázaný konjugát se vymyje a přidá se enzymový substrát. Následující rozvoj zbarvení přímo souvisí s</w:t>
      </w:r>
      <w:r w:rsidR="00360B9D">
        <w:t xml:space="preserve"> množstvím protilátek proti REV přítomným v testovaném vzorku. </w:t>
      </w:r>
    </w:p>
    <w:p w14:paraId="20708105" w14:textId="77777777" w:rsidR="004D311E" w:rsidRDefault="004D311E" w:rsidP="004D311E"/>
    <w:p w14:paraId="1712553E" w14:textId="1D0D452C" w:rsidR="00360B9D" w:rsidRDefault="006A73AF" w:rsidP="00360B9D">
      <w:pPr>
        <w:tabs>
          <w:tab w:val="left" w:pos="7140"/>
        </w:tabs>
        <w:spacing w:after="0"/>
      </w:pPr>
      <w:r>
        <w:rPr>
          <w:b/>
          <w:bCs/>
          <w:noProof/>
          <w:lang w:eastAsia="cs-CZ"/>
        </w:rPr>
        <w:drawing>
          <wp:inline distT="0" distB="0" distL="0" distR="0" wp14:anchorId="4E7F8A65" wp14:editId="0DED2E58">
            <wp:extent cx="256634" cy="1975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8" cy="2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 w:rsidRPr="00C65821">
        <w:rPr>
          <w:b/>
          <w:bCs/>
        </w:rPr>
        <w:t xml:space="preserve">Činidla  </w:t>
      </w:r>
      <w:r>
        <w:t xml:space="preserve">                                                                                                            Objem                                     </w:t>
      </w:r>
      <w:r w:rsidR="00360B9D">
        <w:t xml:space="preserve">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126"/>
      </w:tblGrid>
      <w:tr w:rsidR="00360B9D" w14:paraId="40ED8F48" w14:textId="77777777" w:rsidTr="000F1622">
        <w:tc>
          <w:tcPr>
            <w:tcW w:w="534" w:type="dxa"/>
          </w:tcPr>
          <w:p w14:paraId="355CD662" w14:textId="77777777" w:rsidR="00360B9D" w:rsidRDefault="00360B9D" w:rsidP="000F1622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4599438B" w14:textId="77777777" w:rsidR="00360B9D" w:rsidRDefault="00360B9D" w:rsidP="00360B9D">
            <w:pPr>
              <w:jc w:val="center"/>
            </w:pPr>
            <w:r>
              <w:t>Destička potažená antigenem REV</w:t>
            </w:r>
          </w:p>
        </w:tc>
        <w:tc>
          <w:tcPr>
            <w:tcW w:w="2126" w:type="dxa"/>
          </w:tcPr>
          <w:p w14:paraId="23C11273" w14:textId="77777777" w:rsidR="00360B9D" w:rsidRDefault="00360B9D" w:rsidP="000F1622">
            <w:pPr>
              <w:jc w:val="center"/>
            </w:pPr>
            <w:r>
              <w:t>5</w:t>
            </w:r>
          </w:p>
        </w:tc>
      </w:tr>
      <w:tr w:rsidR="00360B9D" w14:paraId="2B57AA1F" w14:textId="77777777" w:rsidTr="000F1622">
        <w:tc>
          <w:tcPr>
            <w:tcW w:w="534" w:type="dxa"/>
          </w:tcPr>
          <w:p w14:paraId="749E9E43" w14:textId="77777777" w:rsidR="00360B9D" w:rsidRDefault="00360B9D" w:rsidP="000F1622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042A59C5" w14:textId="278A0EEB" w:rsidR="00360B9D" w:rsidRDefault="00360B9D" w:rsidP="00360B9D">
            <w:pPr>
              <w:jc w:val="center"/>
            </w:pPr>
            <w:r>
              <w:t>Pozitivní kontrolní vzorek - ředěné kuřecí anti-REV sérum</w:t>
            </w:r>
            <w:r w:rsidR="00F01A11">
              <w:t>;</w:t>
            </w:r>
            <w:r>
              <w:t xml:space="preserve"> </w:t>
            </w:r>
            <w:r w:rsidR="00F01A11">
              <w:t>konzervované Proclinem™150</w:t>
            </w:r>
          </w:p>
        </w:tc>
        <w:tc>
          <w:tcPr>
            <w:tcW w:w="2126" w:type="dxa"/>
          </w:tcPr>
          <w:p w14:paraId="67C27D8E" w14:textId="77777777" w:rsidR="00360B9D" w:rsidRDefault="00360B9D" w:rsidP="000F1622">
            <w:pPr>
              <w:jc w:val="center"/>
            </w:pPr>
            <w:r>
              <w:t>1 x 1,9 ml</w:t>
            </w:r>
          </w:p>
        </w:tc>
      </w:tr>
      <w:tr w:rsidR="00360B9D" w14:paraId="6B6209C5" w14:textId="77777777" w:rsidTr="000F1622">
        <w:tc>
          <w:tcPr>
            <w:tcW w:w="534" w:type="dxa"/>
          </w:tcPr>
          <w:p w14:paraId="5D263290" w14:textId="77777777" w:rsidR="00360B9D" w:rsidRDefault="00360B9D" w:rsidP="000F1622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1D6EAD35" w14:textId="198B8E25" w:rsidR="00360B9D" w:rsidRDefault="00360B9D" w:rsidP="00360B9D">
            <w:pPr>
              <w:jc w:val="center"/>
            </w:pPr>
            <w:r>
              <w:t xml:space="preserve">Negativní kontrolní vzorek - ředěné kuřecí sérum nereagující na REV; </w:t>
            </w:r>
            <w:r w:rsidR="00F01A11">
              <w:t>konzervované Proclinem™150</w:t>
            </w:r>
          </w:p>
        </w:tc>
        <w:tc>
          <w:tcPr>
            <w:tcW w:w="2126" w:type="dxa"/>
          </w:tcPr>
          <w:p w14:paraId="39F79D80" w14:textId="77777777" w:rsidR="00360B9D" w:rsidRDefault="00360B9D" w:rsidP="000F1622">
            <w:pPr>
              <w:jc w:val="center"/>
            </w:pPr>
            <w:r>
              <w:t>1 x 1,9 ml</w:t>
            </w:r>
          </w:p>
        </w:tc>
      </w:tr>
      <w:tr w:rsidR="00360B9D" w14:paraId="0F8FE95A" w14:textId="77777777" w:rsidTr="000F1622">
        <w:tc>
          <w:tcPr>
            <w:tcW w:w="534" w:type="dxa"/>
          </w:tcPr>
          <w:p w14:paraId="2B1DB557" w14:textId="77777777" w:rsidR="00360B9D" w:rsidRDefault="00360B9D" w:rsidP="000F1622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2DC29E4D" w14:textId="3124ADBF" w:rsidR="00360B9D" w:rsidRDefault="00360B9D" w:rsidP="00360B9D">
            <w:pPr>
              <w:jc w:val="center"/>
            </w:pPr>
            <w:r>
              <w:t xml:space="preserve">Konjugát - (kozí) anti-kuřecí: HRPO konjugát; </w:t>
            </w:r>
            <w:r w:rsidR="00F01A11">
              <w:t>konzervované Proclinem™150</w:t>
            </w:r>
          </w:p>
        </w:tc>
        <w:tc>
          <w:tcPr>
            <w:tcW w:w="2126" w:type="dxa"/>
          </w:tcPr>
          <w:p w14:paraId="1E3FC5B1" w14:textId="77777777" w:rsidR="00360B9D" w:rsidRDefault="00360B9D" w:rsidP="000F1622">
            <w:pPr>
              <w:jc w:val="center"/>
            </w:pPr>
            <w:r>
              <w:t>1 x 50 ml</w:t>
            </w:r>
          </w:p>
        </w:tc>
      </w:tr>
      <w:tr w:rsidR="00360B9D" w14:paraId="24062AB7" w14:textId="77777777" w:rsidTr="000F1622">
        <w:tc>
          <w:tcPr>
            <w:tcW w:w="534" w:type="dxa"/>
          </w:tcPr>
          <w:p w14:paraId="1EF7D134" w14:textId="77777777" w:rsidR="00360B9D" w:rsidRDefault="00360B9D" w:rsidP="000F1622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24217183" w14:textId="5D95CD42" w:rsidR="00360B9D" w:rsidRDefault="00360B9D" w:rsidP="00360B9D">
            <w:pPr>
              <w:jc w:val="center"/>
            </w:pPr>
            <w:r>
              <w:t xml:space="preserve">Roztok k ředění vzorků - </w:t>
            </w:r>
            <w:r w:rsidR="00F01A11">
              <w:t>konzervované Proclinem™150</w:t>
            </w:r>
          </w:p>
        </w:tc>
        <w:tc>
          <w:tcPr>
            <w:tcW w:w="2126" w:type="dxa"/>
          </w:tcPr>
          <w:p w14:paraId="320C7C37" w14:textId="77777777" w:rsidR="00360B9D" w:rsidRDefault="00360B9D" w:rsidP="000F1622">
            <w:pPr>
              <w:jc w:val="center"/>
            </w:pPr>
            <w:r>
              <w:t>1 x 235 ml</w:t>
            </w:r>
          </w:p>
        </w:tc>
      </w:tr>
      <w:tr w:rsidR="00360B9D" w14:paraId="76CE7116" w14:textId="77777777" w:rsidTr="000F1622">
        <w:tc>
          <w:tcPr>
            <w:tcW w:w="534" w:type="dxa"/>
          </w:tcPr>
          <w:p w14:paraId="1BA17511" w14:textId="77777777" w:rsidR="00360B9D" w:rsidRDefault="00360B9D" w:rsidP="000F1622">
            <w:pPr>
              <w:jc w:val="center"/>
            </w:pPr>
            <w:r>
              <w:t>A</w:t>
            </w:r>
          </w:p>
        </w:tc>
        <w:tc>
          <w:tcPr>
            <w:tcW w:w="5670" w:type="dxa"/>
          </w:tcPr>
          <w:p w14:paraId="1C14C4B3" w14:textId="77777777" w:rsidR="00360B9D" w:rsidRDefault="00360B9D" w:rsidP="000F1622">
            <w:pPr>
              <w:jc w:val="center"/>
            </w:pPr>
            <w:r>
              <w:t xml:space="preserve">TMB substrát </w:t>
            </w:r>
          </w:p>
        </w:tc>
        <w:tc>
          <w:tcPr>
            <w:tcW w:w="2126" w:type="dxa"/>
          </w:tcPr>
          <w:p w14:paraId="63CAD15B" w14:textId="77777777" w:rsidR="00360B9D" w:rsidRDefault="00360B9D" w:rsidP="000F1622">
            <w:pPr>
              <w:jc w:val="center"/>
            </w:pPr>
            <w:r>
              <w:t>1 x 60 ml</w:t>
            </w:r>
          </w:p>
        </w:tc>
      </w:tr>
      <w:tr w:rsidR="00360B9D" w14:paraId="4411E4AD" w14:textId="77777777" w:rsidTr="000F1622">
        <w:tc>
          <w:tcPr>
            <w:tcW w:w="534" w:type="dxa"/>
          </w:tcPr>
          <w:p w14:paraId="68D561CF" w14:textId="77777777" w:rsidR="00360B9D" w:rsidRDefault="00360B9D" w:rsidP="000F1622">
            <w:pPr>
              <w:jc w:val="center"/>
            </w:pPr>
            <w:r>
              <w:t>B</w:t>
            </w:r>
          </w:p>
        </w:tc>
        <w:tc>
          <w:tcPr>
            <w:tcW w:w="5670" w:type="dxa"/>
          </w:tcPr>
          <w:p w14:paraId="5D16361D" w14:textId="77777777" w:rsidR="00360B9D" w:rsidRDefault="00360B9D" w:rsidP="000F1622">
            <w:pPr>
              <w:jc w:val="center"/>
            </w:pPr>
            <w:r>
              <w:t xml:space="preserve">Zastavovací roztok </w:t>
            </w:r>
          </w:p>
        </w:tc>
        <w:tc>
          <w:tcPr>
            <w:tcW w:w="2126" w:type="dxa"/>
          </w:tcPr>
          <w:p w14:paraId="3826D04D" w14:textId="77777777" w:rsidR="00360B9D" w:rsidRDefault="00360B9D" w:rsidP="000F1622">
            <w:pPr>
              <w:jc w:val="center"/>
            </w:pPr>
            <w:r>
              <w:t>1 x 60 ml</w:t>
            </w:r>
          </w:p>
        </w:tc>
      </w:tr>
    </w:tbl>
    <w:p w14:paraId="7D7E9E5B" w14:textId="77777777" w:rsidR="004D311E" w:rsidRDefault="004D311E" w:rsidP="004D311E"/>
    <w:p w14:paraId="1AB36893" w14:textId="77777777" w:rsidR="00F01A11" w:rsidRDefault="00F01A11" w:rsidP="00F01A11">
      <w:pPr>
        <w:spacing w:after="0" w:line="240" w:lineRule="auto"/>
      </w:pPr>
      <w:r w:rsidRPr="00330EFC">
        <w:rPr>
          <w:b/>
          <w:bCs/>
        </w:rPr>
        <w:t>Poznámka:</w:t>
      </w:r>
      <w:r>
        <w:t xml:space="preserve"> V tabulce na konci tohoto dokumentu je uveden popis symbolů používaných v příbalové informaci a na etiketě této testovací sady.</w:t>
      </w:r>
    </w:p>
    <w:p w14:paraId="4B3A35C7" w14:textId="77777777" w:rsidR="00360B9D" w:rsidRDefault="00360B9D" w:rsidP="00360B9D">
      <w:pPr>
        <w:spacing w:after="0"/>
      </w:pPr>
    </w:p>
    <w:p w14:paraId="25932F4B" w14:textId="77777777" w:rsidR="00F01A11" w:rsidRDefault="00F01A11" w:rsidP="00360B9D">
      <w:pPr>
        <w:spacing w:after="0"/>
        <w:rPr>
          <w:b/>
          <w:sz w:val="32"/>
          <w:szCs w:val="32"/>
        </w:rPr>
      </w:pPr>
    </w:p>
    <w:p w14:paraId="3FC2B395" w14:textId="77777777" w:rsidR="00F01A11" w:rsidRDefault="00F01A11" w:rsidP="00360B9D">
      <w:pPr>
        <w:spacing w:after="0"/>
        <w:rPr>
          <w:b/>
          <w:sz w:val="32"/>
          <w:szCs w:val="32"/>
        </w:rPr>
      </w:pPr>
    </w:p>
    <w:p w14:paraId="07FAFECF" w14:textId="77777777" w:rsidR="00F01A11" w:rsidRDefault="00F01A11" w:rsidP="00360B9D">
      <w:pPr>
        <w:spacing w:after="0"/>
        <w:rPr>
          <w:b/>
          <w:sz w:val="32"/>
          <w:szCs w:val="32"/>
        </w:rPr>
      </w:pPr>
    </w:p>
    <w:p w14:paraId="099CD3C9" w14:textId="77777777" w:rsidR="00F01A11" w:rsidRDefault="00F01A11" w:rsidP="00360B9D">
      <w:pPr>
        <w:spacing w:after="0"/>
        <w:rPr>
          <w:b/>
          <w:sz w:val="32"/>
          <w:szCs w:val="32"/>
        </w:rPr>
      </w:pPr>
    </w:p>
    <w:p w14:paraId="13D4650E" w14:textId="77777777" w:rsidR="00F01A11" w:rsidRDefault="00F01A11" w:rsidP="00360B9D">
      <w:pPr>
        <w:spacing w:after="0"/>
        <w:rPr>
          <w:b/>
          <w:sz w:val="32"/>
          <w:szCs w:val="32"/>
        </w:rPr>
      </w:pPr>
    </w:p>
    <w:p w14:paraId="132DFAEC" w14:textId="60756C9B" w:rsidR="00360B9D" w:rsidRPr="002A6EFC" w:rsidRDefault="00360B9D" w:rsidP="00360B9D">
      <w:pPr>
        <w:spacing w:after="0"/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Uchovávání</w:t>
      </w:r>
    </w:p>
    <w:p w14:paraId="50BA421A" w14:textId="56358F65" w:rsidR="002A6EFC" w:rsidRDefault="002A6EFC" w:rsidP="00360B9D">
      <w:pPr>
        <w:spacing w:after="0"/>
      </w:pPr>
      <w:r>
        <w:t>Činidla uchovávejte při teplotě 2–8 °C. Pokud jsou činidla správně uchovávána, zůstávají stabilní až do data exspirace.</w:t>
      </w:r>
    </w:p>
    <w:p w14:paraId="10E926E6" w14:textId="77777777" w:rsidR="002A6EFC" w:rsidRDefault="002A6EFC" w:rsidP="00360B9D">
      <w:pPr>
        <w:spacing w:after="0"/>
      </w:pPr>
    </w:p>
    <w:p w14:paraId="6C166159" w14:textId="77777777" w:rsidR="00360B9D" w:rsidRPr="002A6EFC" w:rsidRDefault="00360B9D" w:rsidP="00360B9D">
      <w:pPr>
        <w:spacing w:after="0"/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Potřebné materiály, které nejsou součástí soupravy</w:t>
      </w:r>
    </w:p>
    <w:p w14:paraId="31A18C45" w14:textId="77777777" w:rsidR="00360B9D" w:rsidRDefault="00360B9D" w:rsidP="00360B9D">
      <w:pPr>
        <w:spacing w:after="0"/>
      </w:pPr>
    </w:p>
    <w:p w14:paraId="4234FDDC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r>
        <w:t>Přesné pipety nebo pipety pro hromadné pipetování</w:t>
      </w:r>
    </w:p>
    <w:p w14:paraId="05FBC93A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2763638E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proofErr w:type="spellStart"/>
      <w:r>
        <w:t>Mikrodestička</w:t>
      </w:r>
      <w:proofErr w:type="spellEnd"/>
      <w:r>
        <w:t xml:space="preserve"> s 96 jamkami (vybavená filtrem s vlnovou délkou 650 </w:t>
      </w:r>
      <w:proofErr w:type="spellStart"/>
      <w:r>
        <w:t>nm</w:t>
      </w:r>
      <w:proofErr w:type="spellEnd"/>
      <w:r>
        <w:t>)</w:t>
      </w:r>
    </w:p>
    <w:p w14:paraId="2AEEFBE1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r>
        <w:t>Promývačka mikrotitračních destiček (manuální, poloautomatická nebo automatická)</w:t>
      </w:r>
    </w:p>
    <w:p w14:paraId="2D41B08B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r>
        <w:t xml:space="preserve">Pro přípravu činidel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4C1E9B1D" w14:textId="77777777" w:rsidR="002A6EFC" w:rsidRDefault="002A6EFC" w:rsidP="002A6EFC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třepačka</w:t>
      </w:r>
    </w:p>
    <w:p w14:paraId="17C3A0E4" w14:textId="77777777" w:rsidR="00360B9D" w:rsidRDefault="00360B9D" w:rsidP="00360B9D">
      <w:pPr>
        <w:spacing w:after="0"/>
      </w:pPr>
    </w:p>
    <w:p w14:paraId="4700195A" w14:textId="77777777" w:rsidR="00360B9D" w:rsidRPr="002A6EFC" w:rsidRDefault="00360B9D" w:rsidP="00360B9D">
      <w:pPr>
        <w:spacing w:after="0"/>
        <w:rPr>
          <w:b/>
          <w:sz w:val="28"/>
          <w:szCs w:val="28"/>
        </w:rPr>
      </w:pPr>
      <w:r w:rsidRPr="002A6EFC">
        <w:rPr>
          <w:b/>
          <w:sz w:val="28"/>
          <w:szCs w:val="28"/>
        </w:rPr>
        <w:t>Bezpečnostní opatření a upozornění pro uživatele</w:t>
      </w:r>
    </w:p>
    <w:p w14:paraId="69D97952" w14:textId="77777777" w:rsidR="00360B9D" w:rsidRDefault="00360B9D" w:rsidP="00360B9D">
      <w:pPr>
        <w:spacing w:after="0"/>
      </w:pPr>
    </w:p>
    <w:p w14:paraId="2C09270D" w14:textId="77777777" w:rsidR="00F01A11" w:rsidRDefault="00F01A11" w:rsidP="00F01A11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 Antigen, užitý v této sadě nemusí být zcela inaktivovaný.</w:t>
      </w:r>
    </w:p>
    <w:p w14:paraId="762BF011" w14:textId="77777777" w:rsidR="00F01A11" w:rsidRDefault="00F01A11" w:rsidP="00F01A11">
      <w:pPr>
        <w:pStyle w:val="Odstavecseseznamem"/>
        <w:numPr>
          <w:ilvl w:val="0"/>
          <w:numId w:val="2"/>
        </w:numPr>
        <w:spacing w:after="0"/>
      </w:pPr>
      <w:r>
        <w:t>Při manipulaci se vzorky a činidly používejte ochranné rukavice / ochranné oblečení / ochranné brýle nebo obličejový štít.</w:t>
      </w:r>
    </w:p>
    <w:p w14:paraId="0EA5ADEC" w14:textId="77777777" w:rsidR="00F01A11" w:rsidRDefault="00F01A11" w:rsidP="00F01A11">
      <w:pPr>
        <w:pStyle w:val="Odstavecseseznamem"/>
        <w:numPr>
          <w:ilvl w:val="0"/>
          <w:numId w:val="2"/>
        </w:numPr>
        <w:spacing w:after="0"/>
      </w:pPr>
      <w:r>
        <w:t>Další informace najdete v materiálovém bezpečnostním listu.</w:t>
      </w:r>
    </w:p>
    <w:p w14:paraId="050DE006" w14:textId="77777777" w:rsidR="00F01A11" w:rsidRDefault="00F01A11" w:rsidP="00F01A11">
      <w:pPr>
        <w:pStyle w:val="Odstavecseseznamem"/>
        <w:numPr>
          <w:ilvl w:val="0"/>
          <w:numId w:val="2"/>
        </w:numPr>
        <w:spacing w:after="0"/>
      </w:pPr>
      <w:r>
        <w:t>Varování a upozornění týkající se činidel jsou uvedena na konci této příbalové informace.</w:t>
      </w:r>
    </w:p>
    <w:p w14:paraId="703B359F" w14:textId="77777777" w:rsidR="00360B9D" w:rsidRDefault="00360B9D" w:rsidP="00360B9D">
      <w:pPr>
        <w:spacing w:after="0"/>
      </w:pPr>
    </w:p>
    <w:p w14:paraId="2A84F50C" w14:textId="77777777" w:rsidR="00360B9D" w:rsidRPr="002A6EFC" w:rsidRDefault="00360B9D" w:rsidP="00360B9D">
      <w:pPr>
        <w:spacing w:after="0"/>
        <w:rPr>
          <w:b/>
          <w:sz w:val="28"/>
          <w:szCs w:val="28"/>
        </w:rPr>
      </w:pPr>
      <w:r w:rsidRPr="002A6EFC">
        <w:rPr>
          <w:b/>
          <w:sz w:val="28"/>
          <w:szCs w:val="28"/>
        </w:rPr>
        <w:t>Laboratorní postupy</w:t>
      </w:r>
    </w:p>
    <w:p w14:paraId="49B99092" w14:textId="77777777" w:rsidR="00360B9D" w:rsidRDefault="00360B9D" w:rsidP="00360B9D">
      <w:pPr>
        <w:spacing w:after="0"/>
      </w:pPr>
    </w:p>
    <w:p w14:paraId="31B91376" w14:textId="77777777" w:rsidR="00F01A11" w:rsidRPr="004B37BF" w:rsidRDefault="00F01A11" w:rsidP="00F01A11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58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Optimálních výsledků dosáhnete díky striktnímu dodržování tohoto protokolu. K zajištění maximální přesnosti během celého postupu je nutné pečlivé pipetování, dodržování časových intervalů a promývání. Pro každý vzorek a kontrolní test používejte novou špičku pipety.</w:t>
      </w:r>
    </w:p>
    <w:p w14:paraId="242C50D6" w14:textId="77777777" w:rsidR="00F01A11" w:rsidRPr="004B37BF" w:rsidRDefault="00F01A11" w:rsidP="00F01A11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TMB roztok nevystavujte silnému světlu nebo oxidačním činidlům. Při práci s TMB roztokem používejte skleněné nebo plastové vybavení.</w:t>
      </w:r>
    </w:p>
    <w:p w14:paraId="5325F9B5" w14:textId="77777777" w:rsidR="00F01A11" w:rsidRPr="004B37BF" w:rsidRDefault="00F01A11" w:rsidP="00F01A11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06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Všechny odpadní materiály je nutné před likvidací řádně dekontaminovat. Jednotlivé materiály likvidujte v souladu s místními, regionálními nebo národními předpisy.</w:t>
      </w:r>
    </w:p>
    <w:p w14:paraId="72E97808" w14:textId="77777777" w:rsidR="00F01A11" w:rsidRPr="004B37BF" w:rsidRDefault="00F01A11" w:rsidP="00F01A11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Je třeba také dbát na to, aby nedošlo ke kontaminaci součástí sady. Použitá činidla nenalévejte zpět do nádobek.</w:t>
      </w:r>
    </w:p>
    <w:p w14:paraId="01AEBE9A" w14:textId="77777777" w:rsidR="00F01A11" w:rsidRDefault="00F01A11" w:rsidP="00F01A11">
      <w:pPr>
        <w:pStyle w:val="Odstavecseseznamem"/>
        <w:numPr>
          <w:ilvl w:val="0"/>
          <w:numId w:val="3"/>
        </w:numPr>
        <w:spacing w:after="0"/>
      </w:pPr>
      <w:r w:rsidRPr="004B37BF">
        <w:t>Sadu nepoužívejte po vypršení data exspirace.</w:t>
      </w:r>
    </w:p>
    <w:p w14:paraId="7764D7D2" w14:textId="77777777" w:rsidR="00360B9D" w:rsidRDefault="00360B9D" w:rsidP="00360B9D">
      <w:pPr>
        <w:spacing w:after="0"/>
      </w:pPr>
    </w:p>
    <w:p w14:paraId="72B88A1F" w14:textId="77777777" w:rsidR="00360B9D" w:rsidRPr="002A6EFC" w:rsidRDefault="00360B9D" w:rsidP="004D311E">
      <w:pPr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Příprava vzorků</w:t>
      </w:r>
    </w:p>
    <w:p w14:paraId="2C97CAC3" w14:textId="207E4F9B" w:rsidR="00360B9D" w:rsidRDefault="00360B9D" w:rsidP="00360B9D">
      <w:pPr>
        <w:spacing w:after="0"/>
      </w:pPr>
      <w:r>
        <w:t xml:space="preserve">Testovací vzorky před zahájením testu zřeďte přiloženým ředicím roztokem v poměru 1:500 (např. 1 </w:t>
      </w:r>
      <w:proofErr w:type="spellStart"/>
      <w:r>
        <w:t>μL</w:t>
      </w:r>
      <w:proofErr w:type="spellEnd"/>
      <w:r>
        <w:t xml:space="preserve"> vzorku na 500 </w:t>
      </w:r>
      <w:proofErr w:type="spellStart"/>
      <w:r>
        <w:t>μL</w:t>
      </w:r>
      <w:proofErr w:type="spellEnd"/>
      <w:r>
        <w:t xml:space="preserve"> ředicího roztoku). </w:t>
      </w:r>
      <w:r w:rsidRPr="00F01A11">
        <w:rPr>
          <w:b/>
          <w:bCs/>
        </w:rPr>
        <w:t>POZNÁMKA: NEŘEĎTE KONTROLNÍ VZORKY.</w:t>
      </w:r>
      <w:r>
        <w:br/>
      </w:r>
      <w:r>
        <w:lastRenderedPageBreak/>
        <w:t xml:space="preserve">Ujistěte se, že pro každý vzorek používáte čistou </w:t>
      </w:r>
      <w:proofErr w:type="spellStart"/>
      <w:r>
        <w:t>pipetovací</w:t>
      </w:r>
      <w:proofErr w:type="spellEnd"/>
      <w:r>
        <w:t xml:space="preserve"> špičku. Vzorky musí být před rozdělením do jamek potažené destičky důkladně promíchány. </w:t>
      </w:r>
    </w:p>
    <w:p w14:paraId="564A6C49" w14:textId="77777777" w:rsidR="00360B9D" w:rsidRDefault="00360B9D" w:rsidP="00360B9D">
      <w:pPr>
        <w:spacing w:after="0"/>
      </w:pPr>
    </w:p>
    <w:p w14:paraId="01358D13" w14:textId="77777777" w:rsidR="00F01A11" w:rsidRDefault="00F01A11" w:rsidP="003D53FB">
      <w:pPr>
        <w:spacing w:after="0"/>
        <w:rPr>
          <w:b/>
          <w:sz w:val="32"/>
          <w:szCs w:val="32"/>
        </w:rPr>
      </w:pPr>
    </w:p>
    <w:p w14:paraId="0029175F" w14:textId="28C0A2E2" w:rsidR="003D53FB" w:rsidRPr="002A6EFC" w:rsidRDefault="003D53FB" w:rsidP="003D53FB">
      <w:pPr>
        <w:spacing w:after="0"/>
        <w:rPr>
          <w:b/>
          <w:sz w:val="32"/>
          <w:szCs w:val="32"/>
        </w:rPr>
      </w:pPr>
      <w:r w:rsidRPr="002A6EFC">
        <w:rPr>
          <w:b/>
          <w:sz w:val="32"/>
          <w:szCs w:val="32"/>
        </w:rPr>
        <w:t>Postup testu</w:t>
      </w:r>
    </w:p>
    <w:p w14:paraId="43724BBD" w14:textId="77777777" w:rsidR="003D53FB" w:rsidRDefault="003D53FB" w:rsidP="003D53FB">
      <w:pPr>
        <w:spacing w:after="0"/>
      </w:pPr>
    </w:p>
    <w:p w14:paraId="6D912D34" w14:textId="77777777" w:rsidR="00F01A11" w:rsidRDefault="00F01A11" w:rsidP="00F01A11">
      <w:pPr>
        <w:spacing w:line="240" w:lineRule="auto"/>
      </w:pPr>
      <w:r>
        <w:t>Všechna činidla musí před použitím dosáhnout teploty 18–26°C. Míchejte jemným obracením nebo kroužením.</w:t>
      </w:r>
    </w:p>
    <w:p w14:paraId="5E7167CF" w14:textId="77777777" w:rsidR="003D53FB" w:rsidRDefault="003D53FB" w:rsidP="003D53FB">
      <w:pPr>
        <w:spacing w:after="0"/>
      </w:pPr>
    </w:p>
    <w:p w14:paraId="3FA863BD" w14:textId="77777777" w:rsidR="003D53FB" w:rsidRDefault="003D53FB" w:rsidP="003D53FB">
      <w:pPr>
        <w:spacing w:after="0"/>
      </w:pPr>
      <w:r>
        <w:t xml:space="preserve">1. Připravte si potažené destičky a zaznamenejte umístění vzorku. </w:t>
      </w:r>
    </w:p>
    <w:p w14:paraId="3A0726F2" w14:textId="00F3D25E" w:rsidR="003D53FB" w:rsidRDefault="003D53FB" w:rsidP="003D53FB">
      <w:pPr>
        <w:spacing w:after="0"/>
      </w:pPr>
      <w:r>
        <w:t xml:space="preserve">2. </w:t>
      </w:r>
      <w:r w:rsidR="00F01A11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negativního kontrolního vzorku (N</w:t>
      </w:r>
      <w:r w:rsidR="00F01A11">
        <w:t>C</w:t>
      </w:r>
      <w:r>
        <w:t>) do duplicitních jamek.</w:t>
      </w:r>
      <w:r>
        <w:br/>
        <w:t xml:space="preserve">3. </w:t>
      </w:r>
      <w:r w:rsidR="00F01A11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pozitivního kontrolního vzorku (PK) do duplicitních jamek.</w:t>
      </w:r>
    </w:p>
    <w:p w14:paraId="3F6DF139" w14:textId="659675C9" w:rsidR="003D53FB" w:rsidRDefault="003D53FB" w:rsidP="003D53FB">
      <w:pPr>
        <w:spacing w:after="0"/>
      </w:pPr>
      <w:r>
        <w:t xml:space="preserve">4. </w:t>
      </w:r>
      <w:r w:rsidR="00F01A11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ŘEDĚNÉHO testovaného vzorku do určené jamky. Vzorky </w:t>
      </w:r>
      <w:r w:rsidR="00E14334">
        <w:t>je vhodné</w:t>
      </w:r>
      <w:r>
        <w:t xml:space="preserve"> testovat v duplikátech, ale </w:t>
      </w:r>
      <w:r w:rsidR="00E14334">
        <w:t>lze použít i jen jednu jamku</w:t>
      </w:r>
      <w:r>
        <w:t>.</w:t>
      </w:r>
    </w:p>
    <w:p w14:paraId="77CBF357" w14:textId="77777777" w:rsidR="003D53FB" w:rsidRDefault="003D53FB" w:rsidP="003D53FB">
      <w:pPr>
        <w:spacing w:after="0"/>
      </w:pPr>
      <w:r>
        <w:t>5.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6643566D" w14:textId="60C827A2" w:rsidR="003D53FB" w:rsidRDefault="003D53FB" w:rsidP="003D53FB">
      <w:pPr>
        <w:spacing w:after="0"/>
      </w:pPr>
      <w:r>
        <w:t xml:space="preserve">6. Odstraňte roztok a každou jamku 3-5x promyjte přibližně 350 µl destilované nebo </w:t>
      </w:r>
      <w:proofErr w:type="spellStart"/>
      <w:r>
        <w:t>deionizované</w:t>
      </w:r>
      <w:proofErr w:type="spellEnd"/>
      <w:r>
        <w:t xml:space="preserve"> vody.  Destička nesmí mezi </w:t>
      </w:r>
      <w:r w:rsidR="00F01A11">
        <w:t>pro</w:t>
      </w:r>
      <w:r>
        <w:t xml:space="preserve">mýváním a před přidáním </w:t>
      </w:r>
      <w:r w:rsidR="00F01A11">
        <w:t>dalšího</w:t>
      </w:r>
      <w:r>
        <w:t xml:space="preserve"> </w:t>
      </w:r>
      <w:r w:rsidR="00F01A11">
        <w:t>činidla</w:t>
      </w:r>
      <w:r>
        <w:t xml:space="preserve"> vyschnout. Po posledním vymytí odstraňte zbývající mycí tekutinu z každé destičky poklepáváním na savý materiál. </w:t>
      </w:r>
    </w:p>
    <w:p w14:paraId="40577D52" w14:textId="77777777" w:rsidR="003D53FB" w:rsidRDefault="003D53FB" w:rsidP="003D53FB">
      <w:pPr>
        <w:spacing w:after="0"/>
      </w:pPr>
      <w:r>
        <w:t xml:space="preserve">7. Přidejte 100 </w:t>
      </w:r>
      <w:proofErr w:type="spellStart"/>
      <w:r>
        <w:t>μl</w:t>
      </w:r>
      <w:proofErr w:type="spellEnd"/>
      <w:r>
        <w:t xml:space="preserve"> konjugátu do každé jamky.</w:t>
      </w:r>
    </w:p>
    <w:p w14:paraId="776F97F0" w14:textId="77777777" w:rsidR="003D53FB" w:rsidRDefault="003D53FB" w:rsidP="003D53FB">
      <w:pPr>
        <w:spacing w:after="0"/>
      </w:pPr>
      <w:r>
        <w:t>8.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0F24DAA3" w14:textId="77777777" w:rsidR="003D53FB" w:rsidRDefault="003D53FB" w:rsidP="003D53FB">
      <w:pPr>
        <w:spacing w:after="0"/>
      </w:pPr>
      <w:r>
        <w:t xml:space="preserve">9. Opakujte krok č. 6. </w:t>
      </w:r>
    </w:p>
    <w:p w14:paraId="13E449DA" w14:textId="77777777" w:rsidR="003D53FB" w:rsidRDefault="003D53FB" w:rsidP="003D53FB">
      <w:pPr>
        <w:spacing w:after="0"/>
      </w:pPr>
      <w:r>
        <w:t xml:space="preserve">10. Přidejte 100 </w:t>
      </w:r>
      <w:proofErr w:type="spellStart"/>
      <w:r>
        <w:t>μl</w:t>
      </w:r>
      <w:proofErr w:type="spellEnd"/>
      <w:r>
        <w:t xml:space="preserve"> TMB substrátu </w:t>
      </w:r>
      <w:r w:rsidRPr="004879E6">
        <w:t>do každé jamky.</w:t>
      </w:r>
    </w:p>
    <w:p w14:paraId="37F1F13C" w14:textId="77777777" w:rsidR="003D53FB" w:rsidRDefault="003D53FB" w:rsidP="003D53FB">
      <w:pPr>
        <w:spacing w:after="0"/>
      </w:pPr>
      <w:r>
        <w:t xml:space="preserve">11. Inkubujte 15 minut (±1 min.) při </w:t>
      </w:r>
      <w:r w:rsidRPr="004F60F1">
        <w:t>18–26°C</w:t>
      </w:r>
      <w:r>
        <w:t xml:space="preserve">. </w:t>
      </w:r>
    </w:p>
    <w:p w14:paraId="57C057BF" w14:textId="77777777" w:rsidR="003D53FB" w:rsidRDefault="003D53FB" w:rsidP="003D53FB">
      <w:pPr>
        <w:spacing w:after="0"/>
      </w:pPr>
      <w:r>
        <w:t xml:space="preserve">12. </w:t>
      </w:r>
      <w:r w:rsidRPr="004879E6">
        <w:t xml:space="preserve">Přidejte 100 </w:t>
      </w:r>
      <w:proofErr w:type="spellStart"/>
      <w:r w:rsidRPr="004879E6">
        <w:t>μl</w:t>
      </w:r>
      <w:proofErr w:type="spellEnd"/>
      <w:r w:rsidRPr="004879E6">
        <w:t xml:space="preserve"> zastavovacího roztoku do každé jamky.</w:t>
      </w:r>
    </w:p>
    <w:p w14:paraId="08F32922" w14:textId="77777777" w:rsidR="003D53FB" w:rsidRDefault="003D53FB" w:rsidP="003D53FB">
      <w:pPr>
        <w:spacing w:after="0"/>
      </w:pPr>
      <w:r>
        <w:t xml:space="preserve">13. Odečtěte a zaznamenejte výsledky při vlnové délce 650 </w:t>
      </w:r>
      <w:proofErr w:type="spellStart"/>
      <w:r>
        <w:t>nm</w:t>
      </w:r>
      <w:proofErr w:type="spellEnd"/>
      <w:r>
        <w:t xml:space="preserve">, A (650). </w:t>
      </w:r>
    </w:p>
    <w:p w14:paraId="737DC2A8" w14:textId="77777777" w:rsidR="003D53FB" w:rsidRDefault="003D53FB" w:rsidP="003D53FB">
      <w:pPr>
        <w:spacing w:after="0"/>
      </w:pPr>
    </w:p>
    <w:p w14:paraId="3AA1A7E9" w14:textId="77777777" w:rsidR="003D53FB" w:rsidRDefault="003D53FB" w:rsidP="003D53FB">
      <w:pPr>
        <w:spacing w:after="0"/>
      </w:pPr>
      <w:r>
        <w:t xml:space="preserve">14. </w:t>
      </w:r>
      <w:r w:rsidRPr="00B440A5">
        <w:rPr>
          <w:b/>
        </w:rPr>
        <w:t>Výpočty:</w:t>
      </w:r>
      <w:r>
        <w:t xml:space="preserve"> </w:t>
      </w:r>
    </w:p>
    <w:p w14:paraId="66B3594E" w14:textId="77777777" w:rsidR="003D53FB" w:rsidRDefault="003D53FB" w:rsidP="003D53FB">
      <w:pPr>
        <w:spacing w:after="0"/>
      </w:pPr>
    </w:p>
    <w:p w14:paraId="0975E001" w14:textId="77777777" w:rsidR="003D53FB" w:rsidRPr="00B440A5" w:rsidRDefault="003D53FB" w:rsidP="003D53FB">
      <w:pPr>
        <w:spacing w:after="0"/>
        <w:rPr>
          <w:b/>
        </w:rPr>
      </w:pPr>
      <w:r w:rsidRPr="00B440A5">
        <w:rPr>
          <w:b/>
        </w:rPr>
        <w:t>Kontrolní vzorky</w:t>
      </w:r>
    </w:p>
    <w:p w14:paraId="69BE8D00" w14:textId="43F7F5DB" w:rsidR="003D53FB" w:rsidRDefault="00F01A11" w:rsidP="003D53FB">
      <w:pPr>
        <w:spacing w:after="0"/>
      </w:pPr>
      <w:r>
        <w:rPr>
          <w:noProof/>
          <w:lang w:eastAsia="cs-CZ"/>
        </w:rPr>
        <w:drawing>
          <wp:inline distT="0" distB="0" distL="0" distR="0" wp14:anchorId="277CD378" wp14:editId="46C1CD96">
            <wp:extent cx="1765300" cy="299246"/>
            <wp:effectExtent l="0" t="0" r="635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05" cy="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cs-CZ"/>
        </w:rPr>
        <w:drawing>
          <wp:inline distT="0" distB="0" distL="0" distR="0" wp14:anchorId="5B5A7105" wp14:editId="71041633">
            <wp:extent cx="1828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92" cy="3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DE7F" w14:textId="158CAF28" w:rsidR="003D53FB" w:rsidRPr="000A5779" w:rsidRDefault="003D53FB" w:rsidP="003D53FB">
      <w:pPr>
        <w:spacing w:after="0"/>
        <w:rPr>
          <w:b/>
        </w:rPr>
      </w:pPr>
      <w:r w:rsidRPr="00B440A5">
        <w:rPr>
          <w:b/>
        </w:rPr>
        <w:t xml:space="preserve">Kritéria validity </w:t>
      </w:r>
    </w:p>
    <w:p w14:paraId="75EFA556" w14:textId="05BCFFEE" w:rsidR="003D53FB" w:rsidRDefault="000A5779" w:rsidP="003D53FB">
      <w:pPr>
        <w:spacing w:after="0"/>
      </w:pPr>
      <w:r>
        <w:rPr>
          <w:noProof/>
          <w:lang w:eastAsia="cs-CZ"/>
        </w:rPr>
        <w:drawing>
          <wp:inline distT="0" distB="0" distL="0" distR="0" wp14:anchorId="47B347BB" wp14:editId="436F07D8">
            <wp:extent cx="1651000" cy="168613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31" cy="1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cs-CZ"/>
        </w:rPr>
        <w:drawing>
          <wp:inline distT="0" distB="0" distL="0" distR="0" wp14:anchorId="4096B234" wp14:editId="2DB60418">
            <wp:extent cx="1841500" cy="184150"/>
            <wp:effectExtent l="0" t="0" r="635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3670" w14:textId="77777777" w:rsidR="000A5779" w:rsidRDefault="000A5779" w:rsidP="000A5779">
      <w:pPr>
        <w:spacing w:after="0"/>
      </w:pPr>
      <w:r>
        <w:t xml:space="preserve">Při neplatnosti výsledků je třeba předpokládat chybu v technice provedení. Doporučuje se důkladně znovu prostudovat příbalovou informaci a test provést znovu. </w:t>
      </w:r>
    </w:p>
    <w:p w14:paraId="6B1CF793" w14:textId="77777777" w:rsidR="003D53FB" w:rsidRDefault="003D53FB" w:rsidP="003D53FB">
      <w:pPr>
        <w:spacing w:after="0"/>
      </w:pPr>
    </w:p>
    <w:p w14:paraId="5152AEBF" w14:textId="77777777" w:rsidR="003D53FB" w:rsidRPr="00B440A5" w:rsidRDefault="003D53FB" w:rsidP="003D53FB">
      <w:pPr>
        <w:spacing w:after="0"/>
        <w:rPr>
          <w:b/>
        </w:rPr>
      </w:pPr>
      <w:r w:rsidRPr="00B440A5">
        <w:rPr>
          <w:b/>
        </w:rPr>
        <w:t>Vzorky</w:t>
      </w:r>
    </w:p>
    <w:p w14:paraId="6C06C866" w14:textId="6E07ACFD" w:rsidR="003D53FB" w:rsidRPr="00B440A5" w:rsidRDefault="003D53FB" w:rsidP="003D53FB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S/P </w:t>
      </w:r>
      <w:r w:rsidRPr="005618F5">
        <w:rPr>
          <w:rFonts w:cs="Swiss 72 1 BT"/>
          <w:color w:val="000000"/>
        </w:rPr>
        <w:t xml:space="preserve"> = </w:t>
      </w:r>
      <w:r w:rsidRPr="0056081F">
        <w:rPr>
          <w:rFonts w:cs="Swiss 72 1 BT"/>
          <w:color w:val="000000"/>
          <w:u w:val="single"/>
        </w:rPr>
        <w:t>Průměr vzorku</w:t>
      </w:r>
      <w:r w:rsidRPr="005618F5">
        <w:rPr>
          <w:rFonts w:cs="Swiss 72 1 BT"/>
          <w:color w:val="000000"/>
          <w:u w:val="single"/>
        </w:rPr>
        <w:t xml:space="preserve"> – </w:t>
      </w:r>
      <w:proofErr w:type="spellStart"/>
      <w:r w:rsidRPr="005618F5">
        <w:rPr>
          <w:rFonts w:cs="Swiss 72 1 BT"/>
          <w:color w:val="000000"/>
          <w:u w:val="single"/>
        </w:rPr>
        <w:t>N</w:t>
      </w:r>
      <w:r w:rsidR="000A5779">
        <w:rPr>
          <w:rFonts w:cs="Swiss 72 1 BT"/>
          <w:color w:val="000000"/>
          <w:u w:val="single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>
        <w:rPr>
          <w:rFonts w:cs="Swiss 72 1 BT"/>
          <w:strike/>
          <w:color w:val="000000"/>
        </w:rPr>
        <w:t xml:space="preserve"> </w:t>
      </w:r>
      <w:r w:rsidRPr="0056081F">
        <w:rPr>
          <w:rFonts w:cs="Swiss 72 1 BT"/>
          <w:color w:val="000000"/>
        </w:rPr>
        <w:t xml:space="preserve">                               Log</w:t>
      </w:r>
      <w:r w:rsidRPr="0056081F">
        <w:rPr>
          <w:rFonts w:cs="Swiss 72 1 BT"/>
          <w:color w:val="000000"/>
          <w:vertAlign w:val="subscript"/>
        </w:rPr>
        <w:t>10</w:t>
      </w:r>
      <w:r>
        <w:rPr>
          <w:rFonts w:cs="Swiss 72 1 BT"/>
          <w:color w:val="000000"/>
        </w:rPr>
        <w:t xml:space="preserve"> Titr</w:t>
      </w:r>
      <w:r w:rsidRPr="0056081F">
        <w:rPr>
          <w:rFonts w:cs="Swiss 72 1 BT"/>
          <w:color w:val="000000"/>
        </w:rPr>
        <w:t xml:space="preserve"> = 1.09 (log</w:t>
      </w:r>
      <w:r w:rsidRPr="0056081F">
        <w:rPr>
          <w:rFonts w:cs="Swiss 72 1 BT"/>
          <w:color w:val="000000"/>
          <w:vertAlign w:val="subscript"/>
        </w:rPr>
        <w:t>10</w:t>
      </w:r>
      <w:r w:rsidRPr="0056081F">
        <w:rPr>
          <w:rFonts w:cs="Swiss 72 1 BT"/>
          <w:color w:val="000000"/>
        </w:rPr>
        <w:t xml:space="preserve"> S/P) + 3.36*</w:t>
      </w:r>
    </w:p>
    <w:p w14:paraId="5B42EA4A" w14:textId="4558F17C" w:rsidR="003D53FB" w:rsidRDefault="003D53FB" w:rsidP="003D53FB">
      <w:pPr>
        <w:spacing w:after="0"/>
        <w:rPr>
          <w:rFonts w:cs="Swiss 72 1 BT"/>
          <w:strike/>
          <w:color w:val="000000"/>
        </w:rPr>
      </w:pPr>
      <w:r>
        <w:rPr>
          <w:rFonts w:cs="Swiss 72 1 BT"/>
          <w:color w:val="000000"/>
        </w:rPr>
        <w:t xml:space="preserve">                           </w:t>
      </w:r>
      <w:proofErr w:type="spellStart"/>
      <w:r w:rsidRPr="005618F5">
        <w:rPr>
          <w:rFonts w:cs="Swiss 72 1 BT"/>
          <w:color w:val="000000"/>
        </w:rPr>
        <w:t>P</w:t>
      </w:r>
      <w:r w:rsidR="000A5779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 w:rsidRPr="005618F5">
        <w:rPr>
          <w:rFonts w:cs="Swiss 72 1 BT"/>
          <w:strike/>
          <w:color w:val="000000"/>
        </w:rPr>
        <w:t xml:space="preserve"> </w:t>
      </w:r>
      <w:r w:rsidRPr="005618F5">
        <w:rPr>
          <w:rFonts w:cs="Swiss 72 1 BT"/>
          <w:color w:val="000000"/>
        </w:rPr>
        <w:t xml:space="preserve">– </w:t>
      </w:r>
      <w:proofErr w:type="spellStart"/>
      <w:r w:rsidRPr="005618F5">
        <w:rPr>
          <w:rFonts w:cs="Swiss 72 1 BT"/>
          <w:color w:val="000000"/>
        </w:rPr>
        <w:t>N</w:t>
      </w:r>
      <w:r w:rsidR="000A5779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</w:p>
    <w:p w14:paraId="3122EED4" w14:textId="77777777" w:rsidR="003D53FB" w:rsidRDefault="003D53FB" w:rsidP="003D53FB">
      <w:pPr>
        <w:spacing w:after="0"/>
        <w:rPr>
          <w:rFonts w:cs="Swiss 72 1 BT"/>
          <w:strike/>
          <w:color w:val="000000"/>
        </w:rPr>
      </w:pPr>
    </w:p>
    <w:p w14:paraId="2430FB9B" w14:textId="77777777" w:rsidR="003D53FB" w:rsidRDefault="003D53FB" w:rsidP="003D53FB">
      <w:pPr>
        <w:spacing w:after="0"/>
        <w:rPr>
          <w:rFonts w:cs="Swiss 72 1 BT"/>
          <w:color w:val="000000"/>
        </w:rPr>
      </w:pPr>
      <w:r w:rsidRPr="0056081F">
        <w:rPr>
          <w:rFonts w:cs="Swiss 72 1 BT"/>
          <w:color w:val="000000"/>
        </w:rPr>
        <w:t>*</w:t>
      </w:r>
      <w:r>
        <w:rPr>
          <w:rFonts w:cs="Swiss 72 1 BT"/>
          <w:color w:val="000000"/>
        </w:rPr>
        <w:t>Vztahuje se na</w:t>
      </w:r>
      <w:r w:rsidRPr="0056081F">
        <w:rPr>
          <w:rFonts w:cs="Swiss 72 1 BT"/>
          <w:color w:val="000000"/>
        </w:rPr>
        <w:t xml:space="preserve"> S/P </w:t>
      </w:r>
      <w:r>
        <w:rPr>
          <w:rFonts w:cs="Swiss 72 1 BT"/>
          <w:color w:val="000000"/>
        </w:rPr>
        <w:t>při ředění</w:t>
      </w:r>
      <w:r w:rsidRPr="0056081F">
        <w:rPr>
          <w:rFonts w:cs="Swiss 72 1 BT"/>
          <w:color w:val="000000"/>
        </w:rPr>
        <w:t xml:space="preserve"> </w:t>
      </w:r>
      <w:r>
        <w:rPr>
          <w:rFonts w:cs="Swiss 72 1 BT"/>
          <w:color w:val="000000"/>
        </w:rPr>
        <w:t xml:space="preserve">koncového titru </w:t>
      </w:r>
      <w:r w:rsidRPr="0056081F">
        <w:rPr>
          <w:rFonts w:cs="Swiss 72 1 BT"/>
          <w:color w:val="000000"/>
        </w:rPr>
        <w:t>1:500</w:t>
      </w:r>
      <w:r>
        <w:rPr>
          <w:rFonts w:cs="Swiss 72 1 BT"/>
          <w:color w:val="000000"/>
        </w:rPr>
        <w:t>.</w:t>
      </w:r>
    </w:p>
    <w:p w14:paraId="063132D1" w14:textId="77777777" w:rsidR="003D53FB" w:rsidRDefault="003D53FB" w:rsidP="003D53FB">
      <w:pPr>
        <w:spacing w:after="0"/>
        <w:rPr>
          <w:rFonts w:cs="Swiss 72 1 BT"/>
          <w:color w:val="000000"/>
        </w:rPr>
      </w:pPr>
    </w:p>
    <w:p w14:paraId="287736AC" w14:textId="77777777" w:rsidR="003D53FB" w:rsidRDefault="003D53FB" w:rsidP="003D53FB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lastRenderedPageBreak/>
        <w:t>Přítomnost nebo nepřítomnost REV je určena porovnáním hodnoty absorbance A (650) vzorku s průměrem pozitivního kontrolního vzorku. Pozitivní kontrolní vzorek je standardizovaný a reprezentuje významnou hladinu protilátek proti REV v kuřecím séru. Relativní hladina protilátek ve vzorku je určena přepočítáním vzorku na pozitivní poměr S/P. Koncový titr se vypočítá použitím výše popsané rovnice.</w:t>
      </w:r>
    </w:p>
    <w:p w14:paraId="0079278D" w14:textId="77777777" w:rsidR="003D53FB" w:rsidRPr="0056081F" w:rsidRDefault="003D53FB" w:rsidP="003D53FB">
      <w:pPr>
        <w:spacing w:after="0"/>
        <w:rPr>
          <w:rFonts w:cs="Swiss 72 1 BT"/>
          <w:color w:val="000000"/>
        </w:rPr>
      </w:pPr>
    </w:p>
    <w:p w14:paraId="0B3481B4" w14:textId="77777777" w:rsidR="000A5779" w:rsidRDefault="000A5779" w:rsidP="003D53FB">
      <w:pPr>
        <w:spacing w:after="0"/>
        <w:rPr>
          <w:rFonts w:cs="Swiss 72 1 BT"/>
          <w:color w:val="000000"/>
        </w:rPr>
      </w:pPr>
    </w:p>
    <w:p w14:paraId="2CB81120" w14:textId="77777777" w:rsidR="000A5779" w:rsidRDefault="000A5779" w:rsidP="003D53FB">
      <w:pPr>
        <w:spacing w:after="0"/>
        <w:rPr>
          <w:rFonts w:cs="Swiss 72 1 BT"/>
          <w:color w:val="000000"/>
        </w:rPr>
      </w:pPr>
    </w:p>
    <w:p w14:paraId="3F6E2D06" w14:textId="77777777" w:rsidR="000A5779" w:rsidRDefault="000A5779" w:rsidP="003D53FB">
      <w:pPr>
        <w:spacing w:after="0"/>
        <w:rPr>
          <w:rFonts w:cs="Swiss 72 1 BT"/>
          <w:color w:val="000000"/>
        </w:rPr>
      </w:pPr>
    </w:p>
    <w:p w14:paraId="42EEEF24" w14:textId="2C75D4B7" w:rsidR="003D53FB" w:rsidRDefault="003D53FB" w:rsidP="003D53FB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15. </w:t>
      </w:r>
      <w:r w:rsidRPr="00B440A5">
        <w:rPr>
          <w:rFonts w:cs="Swiss 72 1 BT"/>
          <w:b/>
          <w:color w:val="000000"/>
        </w:rPr>
        <w:t>Intepretace</w:t>
      </w:r>
    </w:p>
    <w:p w14:paraId="6906190B" w14:textId="5E17A204" w:rsidR="003D53FB" w:rsidRDefault="000A5779" w:rsidP="000A5779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>
        <w:rPr>
          <w:rFonts w:asciiTheme="minorHAnsi" w:hAnsiTheme="minorHAnsi" w:cs="Swiss 72 1 BT"/>
          <w:color w:val="000000"/>
          <w:sz w:val="22"/>
          <w:szCs w:val="22"/>
        </w:rPr>
        <w:t xml:space="preserve">               </w:t>
      </w:r>
      <w:r w:rsidR="003D53FB" w:rsidRPr="00B440A5">
        <w:rPr>
          <w:rFonts w:asciiTheme="minorHAnsi" w:hAnsiTheme="minorHAnsi" w:cs="Swiss 72 1 BT"/>
          <w:color w:val="000000"/>
          <w:sz w:val="22"/>
          <w:szCs w:val="22"/>
        </w:rPr>
        <w:t>Negativní</w:t>
      </w:r>
      <w:r>
        <w:rPr>
          <w:rFonts w:asciiTheme="minorHAnsi" w:hAnsiTheme="minorHAnsi" w:cs="Swiss 72 1 BT"/>
          <w:color w:val="000000"/>
          <w:sz w:val="22"/>
          <w:szCs w:val="22"/>
        </w:rPr>
        <w:t xml:space="preserve">       </w:t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  <w:t xml:space="preserve">         Pozitivní</w:t>
      </w:r>
    </w:p>
    <w:p w14:paraId="6EAB4647" w14:textId="01E1AD99" w:rsidR="000A5779" w:rsidRPr="000A5779" w:rsidRDefault="000A5779" w:rsidP="000A5779">
      <w:r>
        <w:rPr>
          <w:noProof/>
          <w:lang w:eastAsia="cs-CZ"/>
        </w:rPr>
        <w:drawing>
          <wp:inline distT="0" distB="0" distL="0" distR="0" wp14:anchorId="3C7F9D86" wp14:editId="487DC38B">
            <wp:extent cx="1549400" cy="170434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39" cy="1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  <w:lang w:eastAsia="cs-CZ"/>
        </w:rPr>
        <w:drawing>
          <wp:inline distT="0" distB="0" distL="0" distR="0" wp14:anchorId="6998EAAD" wp14:editId="66D2DD17">
            <wp:extent cx="1663700" cy="17894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56" cy="1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A180" w14:textId="77777777" w:rsidR="003D53FB" w:rsidRDefault="003D53FB" w:rsidP="003D53FB">
      <w:pPr>
        <w:spacing w:after="0"/>
      </w:pPr>
    </w:p>
    <w:p w14:paraId="356F718F" w14:textId="0F589E08" w:rsidR="003D53FB" w:rsidRDefault="003D53FB" w:rsidP="003D53FB">
      <w:pPr>
        <w:spacing w:after="0"/>
      </w:pPr>
      <w:r>
        <w:t xml:space="preserve">Pozitivní výsledek (titr větší než </w:t>
      </w:r>
      <w:r w:rsidR="001A58AB">
        <w:t>1076</w:t>
      </w:r>
      <w:r>
        <w:t xml:space="preserve">) naznačuje vakcinaci nebo jiné vystavení viru </w:t>
      </w:r>
      <w:r w:rsidR="001A58AB">
        <w:t>RE</w:t>
      </w:r>
      <w:r>
        <w:t xml:space="preserve">V. Každá laboratoř by si měla stanovit vlastní kritéria pro imunitu s ohledem na titr protilátek založený na korelaci </w:t>
      </w:r>
      <w:proofErr w:type="spellStart"/>
      <w:r>
        <w:t>kitu</w:t>
      </w:r>
      <w:proofErr w:type="spellEnd"/>
      <w:r>
        <w:t xml:space="preserve"> IDEXX </w:t>
      </w:r>
      <w:r w:rsidR="001A58AB">
        <w:t>REV</w:t>
      </w:r>
      <w:r>
        <w:t xml:space="preserve"> se současnými testovacími metodami a na dřívějších reakcích protilátek. </w:t>
      </w:r>
    </w:p>
    <w:p w14:paraId="0F644E6C" w14:textId="77777777" w:rsidR="003D53FB" w:rsidRDefault="003D53FB" w:rsidP="003D53FB">
      <w:pPr>
        <w:spacing w:after="0"/>
      </w:pPr>
    </w:p>
    <w:p w14:paraId="1621460D" w14:textId="77777777" w:rsidR="003D53FB" w:rsidRDefault="003D53FB" w:rsidP="003D53FB">
      <w:pPr>
        <w:spacing w:after="0"/>
      </w:pPr>
      <w:r w:rsidRPr="000A5779">
        <w:rPr>
          <w:b/>
          <w:bCs/>
        </w:rPr>
        <w:t>Poznámka:</w:t>
      </w:r>
      <w:r>
        <w:t xml:space="preserve"> Společnost IDEXX má přístrojové a softwarové systémy, které vypočítávají výsledky a poskytují souhrny údajů.</w:t>
      </w:r>
    </w:p>
    <w:p w14:paraId="158918C6" w14:textId="77777777" w:rsidR="003D53FB" w:rsidRDefault="003D53FB" w:rsidP="003D53FB">
      <w:pPr>
        <w:spacing w:after="0"/>
      </w:pPr>
    </w:p>
    <w:p w14:paraId="4788124F" w14:textId="77777777" w:rsidR="003D53FB" w:rsidRPr="005618F5" w:rsidRDefault="001A58AB" w:rsidP="003D53FB">
      <w:pPr>
        <w:spacing w:after="0"/>
        <w:rPr>
          <w:b/>
        </w:rPr>
      </w:pPr>
      <w:r>
        <w:rPr>
          <w:b/>
        </w:rPr>
        <w:t>Kontakty p</w:t>
      </w:r>
      <w:r w:rsidR="003D53FB">
        <w:rPr>
          <w:b/>
        </w:rPr>
        <w:t xml:space="preserve">ro </w:t>
      </w:r>
      <w:r w:rsidR="003D53FB" w:rsidRPr="005618F5">
        <w:rPr>
          <w:b/>
        </w:rPr>
        <w:t>technickou podporu:</w:t>
      </w:r>
    </w:p>
    <w:p w14:paraId="4A334B3F" w14:textId="77777777" w:rsidR="003D53FB" w:rsidRDefault="003D53FB" w:rsidP="003D53FB">
      <w:pPr>
        <w:spacing w:after="0"/>
      </w:pPr>
    </w:p>
    <w:p w14:paraId="2CDA94F7" w14:textId="77777777" w:rsidR="003D53FB" w:rsidRDefault="003D53FB" w:rsidP="003D53FB">
      <w:pPr>
        <w:spacing w:after="0"/>
      </w:pPr>
      <w:r>
        <w:t>IDEXX USA Tel: +1 800 548 9997 nebo +1 207 556 4895</w:t>
      </w:r>
    </w:p>
    <w:p w14:paraId="5891A2D8" w14:textId="77777777" w:rsidR="003D53FB" w:rsidRDefault="003D53FB" w:rsidP="003D53FB">
      <w:pPr>
        <w:spacing w:after="0"/>
      </w:pPr>
      <w:r>
        <w:t>IDEXX Evropa Tel: +800 727 43399</w:t>
      </w:r>
    </w:p>
    <w:p w14:paraId="66210D83" w14:textId="77777777" w:rsidR="003D53FB" w:rsidRDefault="003D53FB" w:rsidP="003D53FB">
      <w:pPr>
        <w:spacing w:after="0"/>
      </w:pPr>
      <w:r>
        <w:t xml:space="preserve">Obraťte se na manažera nebo distributora společnosti IDEXX pro Vaši oblast nebo navštivte naši webovou stránku: </w:t>
      </w:r>
      <w:hyperlink r:id="rId14" w:history="1">
        <w:r w:rsidR="001A58AB" w:rsidRPr="004E3A7F">
          <w:rPr>
            <w:rStyle w:val="Hypertextovodkaz"/>
          </w:rPr>
          <w:t>www.idexx.com/production/contactlpd</w:t>
        </w:r>
      </w:hyperlink>
    </w:p>
    <w:p w14:paraId="1D103AA6" w14:textId="77777777" w:rsidR="001A58AB" w:rsidRDefault="001A58AB" w:rsidP="003D53FB">
      <w:pPr>
        <w:spacing w:after="0"/>
      </w:pPr>
    </w:p>
    <w:p w14:paraId="2329422B" w14:textId="0AA74A0E" w:rsidR="001A58AB" w:rsidRDefault="000A5779" w:rsidP="001A58AB">
      <w:pPr>
        <w:spacing w:after="0"/>
      </w:pPr>
      <w:r>
        <w:t>VLN/PCN: 313/5265.00</w:t>
      </w:r>
    </w:p>
    <w:p w14:paraId="00DC3295" w14:textId="77777777" w:rsidR="003D53FB" w:rsidRDefault="003D53FB" w:rsidP="003D53FB">
      <w:pPr>
        <w:spacing w:after="0"/>
      </w:pPr>
    </w:p>
    <w:p w14:paraId="1A8D3222" w14:textId="77777777" w:rsidR="003D53FB" w:rsidRDefault="003D53FB" w:rsidP="003D53FB">
      <w:pPr>
        <w:spacing w:after="0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35C8F814" w14:textId="77777777" w:rsidR="003D53FB" w:rsidRDefault="003D53FB" w:rsidP="003D53FB">
      <w:pPr>
        <w:spacing w:after="0"/>
      </w:pPr>
      <w:r>
        <w:t>společnosti IDEXX Laboratories, Inc. nebo jejích přidružených společností ve Spojených státech amerických a/nebo v jiných zemích.</w:t>
      </w:r>
    </w:p>
    <w:p w14:paraId="79E1DF4E" w14:textId="77777777" w:rsidR="003D53FB" w:rsidRDefault="003D53FB" w:rsidP="003D53FB">
      <w:pPr>
        <w:spacing w:after="0"/>
      </w:pPr>
    </w:p>
    <w:p w14:paraId="6940B928" w14:textId="272B2EE7" w:rsidR="003D53FB" w:rsidRDefault="003D53FB" w:rsidP="003D53FB">
      <w:pPr>
        <w:spacing w:after="0"/>
      </w:pPr>
      <w:r>
        <w:t>©20</w:t>
      </w:r>
      <w:r w:rsidR="000A5779">
        <w:t>20</w:t>
      </w:r>
      <w:r>
        <w:t xml:space="preserve"> IDEXX Laboratories,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730C1D41" w14:textId="77777777" w:rsidR="003D53FB" w:rsidRDefault="003D53FB" w:rsidP="003D53FB">
      <w:pPr>
        <w:spacing w:after="0"/>
      </w:pPr>
    </w:p>
    <w:p w14:paraId="78B8F69F" w14:textId="77777777" w:rsidR="000A5779" w:rsidRDefault="000A5779" w:rsidP="001A58AB">
      <w:pPr>
        <w:spacing w:after="0"/>
        <w:rPr>
          <w:b/>
        </w:rPr>
      </w:pPr>
    </w:p>
    <w:p w14:paraId="5098F872" w14:textId="77777777" w:rsidR="000A5779" w:rsidRDefault="000A5779" w:rsidP="001A58AB">
      <w:pPr>
        <w:spacing w:after="0"/>
        <w:rPr>
          <w:b/>
        </w:rPr>
      </w:pPr>
    </w:p>
    <w:p w14:paraId="24052CE9" w14:textId="77777777" w:rsidR="000A5779" w:rsidRDefault="000A5779" w:rsidP="001A58AB">
      <w:pPr>
        <w:spacing w:after="0"/>
        <w:rPr>
          <w:b/>
        </w:rPr>
      </w:pPr>
    </w:p>
    <w:p w14:paraId="7CFE0AAB" w14:textId="77777777" w:rsidR="000A5779" w:rsidRDefault="000A5779" w:rsidP="001A58AB">
      <w:pPr>
        <w:spacing w:after="0"/>
        <w:rPr>
          <w:b/>
        </w:rPr>
      </w:pPr>
    </w:p>
    <w:p w14:paraId="59DEC5BA" w14:textId="77777777" w:rsidR="000A5779" w:rsidRDefault="000A5779" w:rsidP="001A58AB">
      <w:pPr>
        <w:spacing w:after="0"/>
        <w:rPr>
          <w:b/>
        </w:rPr>
      </w:pPr>
    </w:p>
    <w:p w14:paraId="08A2F9B5" w14:textId="77777777" w:rsidR="000A5779" w:rsidRDefault="000A5779" w:rsidP="001A58AB">
      <w:pPr>
        <w:spacing w:after="0"/>
        <w:rPr>
          <w:b/>
        </w:rPr>
      </w:pPr>
    </w:p>
    <w:p w14:paraId="40794A53" w14:textId="77777777" w:rsidR="000A5779" w:rsidRDefault="000A5779" w:rsidP="001A58AB">
      <w:pPr>
        <w:spacing w:after="0"/>
        <w:rPr>
          <w:b/>
        </w:rPr>
      </w:pPr>
    </w:p>
    <w:p w14:paraId="14B98516" w14:textId="77777777" w:rsidR="000A5779" w:rsidRDefault="000A5779" w:rsidP="001A58AB">
      <w:pPr>
        <w:spacing w:after="0"/>
        <w:rPr>
          <w:b/>
        </w:rPr>
      </w:pPr>
    </w:p>
    <w:p w14:paraId="4A158112" w14:textId="77777777" w:rsidR="000A5779" w:rsidRDefault="000A5779" w:rsidP="001A58AB">
      <w:pPr>
        <w:spacing w:after="0"/>
        <w:rPr>
          <w:b/>
        </w:rPr>
      </w:pPr>
    </w:p>
    <w:p w14:paraId="0BEFDA27" w14:textId="77777777" w:rsidR="000A5779" w:rsidRDefault="000A5779" w:rsidP="001A58AB">
      <w:pPr>
        <w:spacing w:after="0"/>
        <w:rPr>
          <w:b/>
        </w:rPr>
      </w:pPr>
    </w:p>
    <w:p w14:paraId="489A8DB4" w14:textId="77777777" w:rsidR="000A5779" w:rsidRDefault="000A5779" w:rsidP="001A58AB">
      <w:pPr>
        <w:spacing w:after="0"/>
        <w:rPr>
          <w:b/>
        </w:rPr>
      </w:pPr>
    </w:p>
    <w:p w14:paraId="2F54107D" w14:textId="77777777" w:rsidR="000A5779" w:rsidRDefault="000A5779" w:rsidP="001A58AB">
      <w:pPr>
        <w:spacing w:after="0"/>
        <w:rPr>
          <w:b/>
        </w:rPr>
      </w:pPr>
    </w:p>
    <w:p w14:paraId="4B4DBEA6" w14:textId="77777777" w:rsidR="000A5779" w:rsidRDefault="000A5779" w:rsidP="001A58AB">
      <w:pPr>
        <w:spacing w:after="0"/>
        <w:rPr>
          <w:b/>
        </w:rPr>
      </w:pPr>
    </w:p>
    <w:p w14:paraId="5B8D3C43" w14:textId="77777777" w:rsidR="000A5779" w:rsidRDefault="000A5779" w:rsidP="001A58AB">
      <w:pPr>
        <w:spacing w:after="0"/>
        <w:rPr>
          <w:b/>
        </w:rPr>
      </w:pPr>
    </w:p>
    <w:p w14:paraId="32CB2BC5" w14:textId="6680BE99" w:rsidR="001A58AB" w:rsidRDefault="00B8279B" w:rsidP="000A5779">
      <w:pPr>
        <w:spacing w:after="0"/>
        <w:jc w:val="center"/>
        <w:rPr>
          <w:b/>
          <w:sz w:val="32"/>
          <w:szCs w:val="32"/>
        </w:rPr>
      </w:pPr>
      <w:r w:rsidRPr="000A5779">
        <w:rPr>
          <w:b/>
          <w:sz w:val="32"/>
          <w:szCs w:val="32"/>
        </w:rPr>
        <w:t>Upozornění</w:t>
      </w:r>
    </w:p>
    <w:p w14:paraId="375AE06F" w14:textId="5CECBCF7" w:rsidR="001A58AB" w:rsidRPr="000A5779" w:rsidRDefault="000A5779" w:rsidP="000A5779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2CE2D7F6" wp14:editId="75722105">
            <wp:extent cx="5753100" cy="2476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E12F" w14:textId="2CA021D1" w:rsidR="001A58AB" w:rsidRDefault="000A5779" w:rsidP="001A58AB">
      <w:pPr>
        <w:spacing w:after="0"/>
        <w:rPr>
          <w:bCs/>
        </w:rPr>
      </w:pPr>
      <w:r>
        <w:rPr>
          <w:b/>
        </w:rPr>
        <w:t xml:space="preserve">Pozitivní kontrolní vzorek / Konjugát - </w:t>
      </w:r>
      <w:r>
        <w:rPr>
          <w:bCs/>
        </w:rPr>
        <w:t>Může vyvolat alergickou kožní reakci. Škodlivý pro vodní organismy, s dlouhodobými účinky. Používejte ochranné rukavice. PŘI STYKU S KŮŽÍ: Omyjte velkým množstvím vody s mýdlem. Při podráždění kůže nebo vyrážce: Vyhledejte lékařskou pomoc / ošetření.</w:t>
      </w:r>
    </w:p>
    <w:p w14:paraId="163E2300" w14:textId="30C0C7C1" w:rsidR="000A5779" w:rsidRDefault="000B3FED" w:rsidP="001A58AB">
      <w:pPr>
        <w:spacing w:after="0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1EB4F72F" wp14:editId="382D8D6C">
            <wp:extent cx="5753100" cy="254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BF287" w14:textId="37ABA0E9" w:rsidR="000B3FED" w:rsidRDefault="000B3FED" w:rsidP="001A58AB">
      <w:pPr>
        <w:spacing w:after="0"/>
        <w:rPr>
          <w:b/>
        </w:rPr>
      </w:pPr>
      <w:r>
        <w:rPr>
          <w:b/>
        </w:rPr>
        <w:t xml:space="preserve">Negativní kontrolní vzorek / Roztok na ředění vzorků - </w:t>
      </w:r>
      <w:r>
        <w:rPr>
          <w:bCs/>
        </w:rPr>
        <w:t>Může vyvolat alergickou kožní reakci. Používejte ochranné rukavice. PŘI STYKU S KŮŽÍ: Omyjte velkým množstvím vody s mýdlem. Při podráždění kůže nebo vyrážce: Vyhledejte lékařskou pomoc / ošetření.</w:t>
      </w:r>
    </w:p>
    <w:p w14:paraId="6A302286" w14:textId="77777777" w:rsidR="001A58AB" w:rsidRPr="005618F5" w:rsidRDefault="001A58AB" w:rsidP="001A58AB">
      <w:pPr>
        <w:spacing w:after="0"/>
        <w:rPr>
          <w:b/>
        </w:rPr>
      </w:pPr>
    </w:p>
    <w:p w14:paraId="57F8BEC8" w14:textId="4E48D3A0" w:rsidR="00360B9D" w:rsidRDefault="00360B9D" w:rsidP="004D311E">
      <w:pPr>
        <w:rPr>
          <w:b/>
        </w:rPr>
      </w:pPr>
    </w:p>
    <w:p w14:paraId="19E766FE" w14:textId="77777777" w:rsidR="000B3FED" w:rsidRPr="00B23A22" w:rsidRDefault="000B3FED" w:rsidP="000B3FED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5D66F02B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B4CCB5C" wp14:editId="1C222E30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51188FEA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655EC3C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652AFE4" wp14:editId="0D32B079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195486AD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ABF5C42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CA8C1FC" wp14:editId="2126CAF2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7A433FC4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0F242B6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8447D0E" wp14:editId="267E6571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68F5E102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BC5FFF7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A067458" wp14:editId="44AA3B12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35F97DCC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F5BD77F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1A8F8FB" wp14:editId="5A648E0C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4166FB8D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6CD36F4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EAA4C88" wp14:editId="4646E602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29C1E33E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3788A2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28F2A415" wp14:editId="7F8D8CCC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038170CB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7D0C93B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45F5FC6" wp14:editId="09EA1DE7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3FC499BA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44A3E5F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589DAD7" wp14:editId="449D6596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5F47BF7E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E8A1DB6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54F1284" wp14:editId="258648CB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73A2C042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5B68875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BA34A5F" wp14:editId="3268E1F3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069DBA50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C013F50" w14:textId="670607D3" w:rsidR="000B3FED" w:rsidRDefault="000B3FED" w:rsidP="000B3FED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7CB0ED08" wp14:editId="2A82503B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C7701A">
        <w:rPr>
          <w:rFonts w:cs="Swiss721BT-Bold"/>
          <w:bCs/>
          <w:noProof/>
          <w:color w:val="000000"/>
        </w:rPr>
        <w:t>Větší změna v</w:t>
      </w:r>
      <w:r w:rsidR="009A2BDA">
        <w:rPr>
          <w:rFonts w:cs="Swiss721BT-Bold"/>
          <w:bCs/>
          <w:noProof/>
          <w:color w:val="000000"/>
        </w:rPr>
        <w:t> příbalové informaci</w:t>
      </w:r>
    </w:p>
    <w:p w14:paraId="49BFBF91" w14:textId="5C250B25" w:rsidR="0075435B" w:rsidRDefault="0075435B" w:rsidP="000B3FED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0A18FDA0" w14:textId="77777777" w:rsidR="0075435B" w:rsidRDefault="0075435B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</w:p>
    <w:p w14:paraId="06E6DF5F" w14:textId="0965311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  <w:r w:rsidRPr="00B67717">
        <w:rPr>
          <w:rFonts w:cstheme="minorHAnsi"/>
          <w:noProof/>
          <w:color w:val="000000"/>
        </w:rPr>
        <w:t>Výrobce</w:t>
      </w:r>
    </w:p>
    <w:p w14:paraId="6213E400" w14:textId="7777777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>IDEXX Laboratories, Inc.</w:t>
      </w:r>
      <w:r w:rsidRPr="00B67717">
        <w:rPr>
          <w:rFonts w:cs="TTE1965D00t00"/>
          <w:noProof/>
        </w:rPr>
        <w:br/>
        <w:t>One IDEXX Drive</w:t>
      </w:r>
      <w:r w:rsidRPr="00B67717">
        <w:rPr>
          <w:rFonts w:cs="TTE1965D00t00"/>
          <w:noProof/>
        </w:rPr>
        <w:br/>
        <w:t>Westbrook, Maine 04092</w:t>
      </w:r>
      <w:r w:rsidRPr="00B67717">
        <w:rPr>
          <w:rFonts w:cs="TTE1965D00t00"/>
          <w:noProof/>
        </w:rPr>
        <w:br/>
        <w:t>USA</w:t>
      </w:r>
      <w:r w:rsidRPr="00B67717">
        <w:rPr>
          <w:rFonts w:cs="TTE1965D00t00"/>
          <w:noProof/>
        </w:rPr>
        <w:br/>
      </w:r>
    </w:p>
    <w:p w14:paraId="301EBF73" w14:textId="7777777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26A36463" w14:textId="38EC4453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Zástupce pro EU</w:t>
      </w:r>
      <w:r w:rsidR="0075435B">
        <w:rPr>
          <w:rFonts w:cs="TTE1965D00t00"/>
          <w:noProof/>
        </w:rPr>
        <w:t xml:space="preserve"> a držitel rozhodnutí o schválení</w:t>
      </w:r>
    </w:p>
    <w:p w14:paraId="654EF9FC" w14:textId="7777777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21D93874" w14:textId="7777777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25576FF1" w14:textId="77777777" w:rsidR="000B3FED" w:rsidRPr="00B67717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</w:p>
    <w:p w14:paraId="266E3410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780016F9" w14:textId="487A7717" w:rsidR="00FF7F0A" w:rsidRPr="00FF7F0A" w:rsidRDefault="00FF7F0A" w:rsidP="00FF7F0A">
      <w:pPr>
        <w:rPr>
          <w:rFonts w:ascii="Calibri" w:hAnsi="Calibri" w:cs="Calibri"/>
        </w:rPr>
      </w:pPr>
      <w:r w:rsidRPr="00FF7F0A">
        <w:rPr>
          <w:rFonts w:ascii="Calibri" w:hAnsi="Calibri" w:cs="Calibri"/>
        </w:rPr>
        <w:t>Číslo schválení: 128-16/C</w:t>
      </w:r>
    </w:p>
    <w:p w14:paraId="6CD01689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05FD85FA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6A097334" w14:textId="77777777" w:rsidR="000B3FED" w:rsidRPr="00B23A22" w:rsidRDefault="000B3FED" w:rsidP="000B3FE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644CB8E1" wp14:editId="6E5D7A95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7241" w14:textId="77777777" w:rsidR="000B3FED" w:rsidRDefault="000B3FED" w:rsidP="000B3FED"/>
    <w:p w14:paraId="06B79829" w14:textId="77777777" w:rsidR="000B3FED" w:rsidRDefault="000B3FED" w:rsidP="004D311E"/>
    <w:sectPr w:rsidR="000B3FED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899F" w14:textId="77777777" w:rsidR="0091280B" w:rsidRDefault="0091280B" w:rsidP="00D37DC1">
      <w:pPr>
        <w:spacing w:after="0" w:line="240" w:lineRule="auto"/>
      </w:pPr>
      <w:r>
        <w:separator/>
      </w:r>
    </w:p>
  </w:endnote>
  <w:endnote w:type="continuationSeparator" w:id="0">
    <w:p w14:paraId="1C600B47" w14:textId="77777777" w:rsidR="0091280B" w:rsidRDefault="0091280B" w:rsidP="00D3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1633" w14:textId="77777777" w:rsidR="0091280B" w:rsidRDefault="0091280B" w:rsidP="00D37DC1">
      <w:pPr>
        <w:spacing w:after="0" w:line="240" w:lineRule="auto"/>
      </w:pPr>
      <w:r>
        <w:separator/>
      </w:r>
    </w:p>
  </w:footnote>
  <w:footnote w:type="continuationSeparator" w:id="0">
    <w:p w14:paraId="58D077A6" w14:textId="77777777" w:rsidR="0091280B" w:rsidRDefault="0091280B" w:rsidP="00D3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49C" w14:textId="157D0494" w:rsidR="00D37DC1" w:rsidRDefault="00D37DC1" w:rsidP="00D37DC1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F9E2EA6A7FD142EEA7A34DA2BEEF7442"/>
        </w:placeholder>
        <w:text/>
      </w:sdtPr>
      <w:sdtEndPr/>
      <w:sdtContent>
        <w:r w:rsidR="000E79FB" w:rsidRPr="000E79FB">
          <w:rPr>
            <w:rFonts w:eastAsia="Times New Roman"/>
            <w:lang w:eastAsia="cs-CZ"/>
          </w:rPr>
          <w:t>USKVBL/11723/2021/POD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256413127"/>
        <w:placeholder>
          <w:docPart w:val="F9E2EA6A7FD142EEA7A34DA2BEEF7442"/>
        </w:placeholder>
        <w:text/>
      </w:sdtPr>
      <w:sdtEndPr/>
      <w:sdtContent>
        <w:r w:rsidR="000E79FB">
          <w:rPr>
            <w:rFonts w:eastAsia="Times New Roman"/>
            <w:lang w:eastAsia="cs-CZ"/>
          </w:rPr>
          <w:t>USKVBL/12927/2021/REG-</w:t>
        </w:r>
        <w:proofErr w:type="spellStart"/>
        <w:r w:rsidR="000E79FB" w:rsidRPr="000E79FB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BEDE09555D824AD793E14F605D2C9A63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79FB">
          <w:rPr>
            <w:bCs/>
          </w:rPr>
          <w:t>22.9.2021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4F9ECEDA6FE4480DAFA96C65DC55DB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79FB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28773371"/>
        <w:placeholder>
          <w:docPart w:val="2B703CC919374ADBB0BD352D2BB66AF4"/>
        </w:placeholder>
        <w:text/>
      </w:sdtPr>
      <w:sdtEndPr/>
      <w:sdtContent>
        <w:r w:rsidR="000E79FB" w:rsidRPr="000E79FB">
          <w:rPr>
            <w:rFonts w:eastAsia="Times New Roman" w:cs="Calibri"/>
            <w:bCs/>
            <w:lang w:eastAsia="cs-CZ"/>
          </w:rPr>
          <w:t xml:space="preserve">IDEXX </w:t>
        </w:r>
        <w:proofErr w:type="spellStart"/>
        <w:r w:rsidR="000E79FB" w:rsidRPr="000E79FB">
          <w:rPr>
            <w:rFonts w:eastAsia="Times New Roman" w:cs="Calibri"/>
            <w:bCs/>
            <w:lang w:eastAsia="cs-CZ"/>
          </w:rPr>
          <w:t>Reticuloendotheliosis</w:t>
        </w:r>
        <w:proofErr w:type="spellEnd"/>
        <w:r w:rsidR="000E79FB" w:rsidRPr="000E79FB">
          <w:rPr>
            <w:rFonts w:eastAsia="Times New Roman" w:cs="Calibri"/>
            <w:bCs/>
            <w:lang w:eastAsia="cs-CZ"/>
          </w:rPr>
          <w:t xml:space="preserve"> V</w:t>
        </w:r>
        <w:r w:rsidR="002A65D9">
          <w:rPr>
            <w:rFonts w:eastAsia="Times New Roman" w:cs="Calibri"/>
            <w:bCs/>
            <w:lang w:eastAsia="cs-CZ"/>
          </w:rPr>
          <w:t>i</w:t>
        </w:r>
        <w:r w:rsidR="000E79FB" w:rsidRPr="000E79FB">
          <w:rPr>
            <w:rFonts w:eastAsia="Times New Roman" w:cs="Calibri"/>
            <w:bCs/>
            <w:lang w:eastAsia="cs-CZ"/>
          </w:rPr>
          <w:t xml:space="preserve">rus </w:t>
        </w:r>
        <w:proofErr w:type="spellStart"/>
        <w:r w:rsidR="000E79FB" w:rsidRPr="000E79FB">
          <w:rPr>
            <w:rFonts w:eastAsia="Times New Roman" w:cs="Calibri"/>
            <w:bCs/>
            <w:lang w:eastAsia="cs-CZ"/>
          </w:rPr>
          <w:t>Antibody</w:t>
        </w:r>
        <w:proofErr w:type="spellEnd"/>
        <w:r w:rsidR="000E79FB" w:rsidRPr="000E79FB">
          <w:rPr>
            <w:rFonts w:eastAsia="Times New Roman" w:cs="Calibri"/>
            <w:bCs/>
            <w:lang w:eastAsia="cs-CZ"/>
          </w:rPr>
          <w:t xml:space="preserve"> Test </w:t>
        </w:r>
        <w:proofErr w:type="spellStart"/>
        <w:r w:rsidR="000E79FB" w:rsidRPr="000E79FB">
          <w:rPr>
            <w:rFonts w:eastAsia="Times New Roman" w:cs="Calibri"/>
            <w:bCs/>
            <w:lang w:eastAsia="cs-CZ"/>
          </w:rPr>
          <w:t>Kit</w:t>
        </w:r>
        <w:proofErr w:type="spellEnd"/>
      </w:sdtContent>
    </w:sdt>
  </w:p>
  <w:p w14:paraId="0821F084" w14:textId="77777777" w:rsidR="00D37DC1" w:rsidRPr="00D37DC1" w:rsidRDefault="00D37DC1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57"/>
    <w:rsid w:val="0002788F"/>
    <w:rsid w:val="000A5779"/>
    <w:rsid w:val="000B3FED"/>
    <w:rsid w:val="000E79FB"/>
    <w:rsid w:val="000F0F57"/>
    <w:rsid w:val="001001EA"/>
    <w:rsid w:val="001A58AB"/>
    <w:rsid w:val="001D499D"/>
    <w:rsid w:val="001E03D5"/>
    <w:rsid w:val="002A65D9"/>
    <w:rsid w:val="002A6EFC"/>
    <w:rsid w:val="003351F1"/>
    <w:rsid w:val="00360B9D"/>
    <w:rsid w:val="003D53FB"/>
    <w:rsid w:val="00412AD4"/>
    <w:rsid w:val="004D311E"/>
    <w:rsid w:val="004E4F75"/>
    <w:rsid w:val="006A73AF"/>
    <w:rsid w:val="006F6067"/>
    <w:rsid w:val="0075435B"/>
    <w:rsid w:val="007E440E"/>
    <w:rsid w:val="0091280B"/>
    <w:rsid w:val="009A2BDA"/>
    <w:rsid w:val="00A41204"/>
    <w:rsid w:val="00B515C6"/>
    <w:rsid w:val="00B8279B"/>
    <w:rsid w:val="00B9510F"/>
    <w:rsid w:val="00D37DC1"/>
    <w:rsid w:val="00DD3515"/>
    <w:rsid w:val="00E14334"/>
    <w:rsid w:val="00F01A11"/>
    <w:rsid w:val="00F14C98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3C15"/>
  <w15:chartTrackingRefBased/>
  <w15:docId w15:val="{244F14FA-6A79-43C2-B3F7-4B64E4EC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0B9D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3D53FB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19">
    <w:name w:val="Pa19"/>
    <w:basedOn w:val="Normln"/>
    <w:next w:val="Normln"/>
    <w:uiPriority w:val="99"/>
    <w:rsid w:val="001A58AB"/>
    <w:pPr>
      <w:autoSpaceDE w:val="0"/>
      <w:autoSpaceDN w:val="0"/>
      <w:adjustRightInd w:val="0"/>
      <w:spacing w:after="0" w:line="241" w:lineRule="atLeast"/>
    </w:pPr>
    <w:rPr>
      <w:rFonts w:ascii="Rockwell" w:hAnsi="Rockwell"/>
      <w:sz w:val="24"/>
      <w:szCs w:val="24"/>
    </w:rPr>
  </w:style>
  <w:style w:type="character" w:customStyle="1" w:styleId="A6">
    <w:name w:val="A6"/>
    <w:uiPriority w:val="99"/>
    <w:rsid w:val="001A58AB"/>
    <w:rPr>
      <w:rFonts w:cs="Rockwell"/>
      <w:color w:val="000000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1A58AB"/>
    <w:rPr>
      <w:color w:val="0563C1" w:themeColor="hyperlink"/>
      <w:u w:val="single"/>
    </w:rPr>
  </w:style>
  <w:style w:type="paragraph" w:customStyle="1" w:styleId="Style1">
    <w:name w:val="Style1"/>
    <w:basedOn w:val="Normln"/>
    <w:rsid w:val="00412A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2">
    <w:name w:val="Style2"/>
    <w:basedOn w:val="Normln"/>
    <w:rsid w:val="00412A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3">
    <w:name w:val="Style3"/>
    <w:basedOn w:val="Normln"/>
    <w:rsid w:val="00412A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26">
    <w:name w:val="Font Style26"/>
    <w:rsid w:val="00412AD4"/>
    <w:rPr>
      <w:rFonts w:ascii="Arial Narrow" w:hAnsi="Arial Narrow" w:cs="Arial Narrow"/>
      <w:b/>
      <w:bCs/>
      <w:color w:val="000000"/>
      <w:sz w:val="28"/>
      <w:szCs w:val="28"/>
      <w:lang w:val="cs-CZ" w:eastAsia="cs-CZ"/>
    </w:rPr>
  </w:style>
  <w:style w:type="character" w:customStyle="1" w:styleId="FontStyle27">
    <w:name w:val="Font Style27"/>
    <w:rsid w:val="00412AD4"/>
    <w:rPr>
      <w:rFonts w:ascii="Arial Narrow" w:hAnsi="Arial Narrow" w:cs="Arial Narrow"/>
      <w:b/>
      <w:bCs/>
      <w:i/>
      <w:iCs/>
      <w:color w:val="000000"/>
      <w:sz w:val="28"/>
      <w:szCs w:val="28"/>
      <w:lang w:val="cs-CZ" w:eastAsia="cs-CZ"/>
    </w:rPr>
  </w:style>
  <w:style w:type="character" w:customStyle="1" w:styleId="FontStyle28">
    <w:name w:val="Font Style28"/>
    <w:rsid w:val="00412AD4"/>
    <w:rPr>
      <w:rFonts w:ascii="Arial Narrow" w:hAnsi="Arial Narrow" w:cs="Arial Narrow"/>
      <w:b/>
      <w:bCs/>
      <w:color w:val="000000"/>
      <w:sz w:val="18"/>
      <w:szCs w:val="18"/>
      <w:lang w:val="cs-CZ" w:eastAsia="cs-CZ"/>
    </w:rPr>
  </w:style>
  <w:style w:type="character" w:customStyle="1" w:styleId="FontStyle29">
    <w:name w:val="Font Style29"/>
    <w:rsid w:val="00412AD4"/>
    <w:rPr>
      <w:rFonts w:ascii="Arial Narrow" w:hAnsi="Arial Narrow" w:cs="Arial Narrow"/>
      <w:color w:val="000000"/>
      <w:sz w:val="18"/>
      <w:szCs w:val="18"/>
      <w:lang w:val="cs-CZ" w:eastAsia="cs-CZ"/>
    </w:rPr>
  </w:style>
  <w:style w:type="character" w:customStyle="1" w:styleId="FontStyle30">
    <w:name w:val="Font Style30"/>
    <w:rsid w:val="00412AD4"/>
    <w:rPr>
      <w:rFonts w:ascii="Arial Narrow" w:hAnsi="Arial Narrow" w:cs="Arial Narrow"/>
      <w:b/>
      <w:bCs/>
      <w:i/>
      <w:iCs/>
      <w:color w:val="000000"/>
      <w:sz w:val="18"/>
      <w:szCs w:val="18"/>
      <w:lang w:val="cs-CZ" w:eastAsia="cs-CZ"/>
    </w:rPr>
  </w:style>
  <w:style w:type="character" w:customStyle="1" w:styleId="FontStyle33">
    <w:name w:val="Font Style33"/>
    <w:rsid w:val="00412AD4"/>
    <w:rPr>
      <w:rFonts w:ascii="Arial Narrow" w:hAnsi="Arial Narrow" w:cs="Arial Narrow"/>
      <w:b/>
      <w:bCs/>
      <w:color w:val="000000"/>
      <w:sz w:val="16"/>
      <w:szCs w:val="16"/>
      <w:lang w:val="cs-CZ" w:eastAsia="cs-CZ"/>
    </w:rPr>
  </w:style>
  <w:style w:type="paragraph" w:customStyle="1" w:styleId="Style15">
    <w:name w:val="Style15"/>
    <w:basedOn w:val="Normln"/>
    <w:rsid w:val="00F01A11"/>
    <w:pPr>
      <w:widowControl w:val="0"/>
      <w:autoSpaceDE w:val="0"/>
      <w:autoSpaceDN w:val="0"/>
      <w:adjustRightInd w:val="0"/>
      <w:spacing w:after="0" w:line="204" w:lineRule="exact"/>
      <w:ind w:hanging="173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DC1"/>
  </w:style>
  <w:style w:type="paragraph" w:styleId="Zpat">
    <w:name w:val="footer"/>
    <w:basedOn w:val="Normln"/>
    <w:link w:val="ZpatChar"/>
    <w:uiPriority w:val="99"/>
    <w:unhideWhenUsed/>
    <w:rsid w:val="00D3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DC1"/>
  </w:style>
  <w:style w:type="character" w:styleId="Zstupntext">
    <w:name w:val="Placeholder Text"/>
    <w:rsid w:val="00D37D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dexx.com/production/contactlpd" TargetMode="External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2EA6A7FD142EEA7A34DA2BEEF7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8702C-C717-40E4-A0D5-C55D69F148A9}"/>
      </w:docPartPr>
      <w:docPartBody>
        <w:p w:rsidR="00BB67EC" w:rsidRDefault="00A3321D" w:rsidP="00A3321D">
          <w:pPr>
            <w:pStyle w:val="F9E2EA6A7FD142EEA7A34DA2BEEF744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DE09555D824AD793E14F605D2C9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85EB7-6A90-4F8C-8466-5EEAAC56E3A6}"/>
      </w:docPartPr>
      <w:docPartBody>
        <w:p w:rsidR="00BB67EC" w:rsidRDefault="00A3321D" w:rsidP="00A3321D">
          <w:pPr>
            <w:pStyle w:val="BEDE09555D824AD793E14F605D2C9A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9ECEDA6FE4480DAFA96C65DC55D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21A97-B5B0-49AA-9700-908B2ABC3F8D}"/>
      </w:docPartPr>
      <w:docPartBody>
        <w:p w:rsidR="00BB67EC" w:rsidRDefault="00A3321D" w:rsidP="00A3321D">
          <w:pPr>
            <w:pStyle w:val="4F9ECEDA6FE4480DAFA96C65DC55DB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B703CC919374ADBB0BD352D2BB66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C0EA5-D802-413D-B901-67FAF229F5EF}"/>
      </w:docPartPr>
      <w:docPartBody>
        <w:p w:rsidR="00BB67EC" w:rsidRDefault="00A3321D" w:rsidP="00A3321D">
          <w:pPr>
            <w:pStyle w:val="2B703CC919374ADBB0BD352D2BB66A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1D"/>
    <w:rsid w:val="00174F05"/>
    <w:rsid w:val="0027787B"/>
    <w:rsid w:val="0074473B"/>
    <w:rsid w:val="009D52A3"/>
    <w:rsid w:val="00A3321D"/>
    <w:rsid w:val="00BB67EC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321D"/>
    <w:rPr>
      <w:color w:val="808080"/>
    </w:rPr>
  </w:style>
  <w:style w:type="paragraph" w:customStyle="1" w:styleId="F9E2EA6A7FD142EEA7A34DA2BEEF7442">
    <w:name w:val="F9E2EA6A7FD142EEA7A34DA2BEEF7442"/>
    <w:rsid w:val="00A3321D"/>
  </w:style>
  <w:style w:type="paragraph" w:customStyle="1" w:styleId="BEDE09555D824AD793E14F605D2C9A63">
    <w:name w:val="BEDE09555D824AD793E14F605D2C9A63"/>
    <w:rsid w:val="00A3321D"/>
  </w:style>
  <w:style w:type="paragraph" w:customStyle="1" w:styleId="4F9ECEDA6FE4480DAFA96C65DC55DBDF">
    <w:name w:val="4F9ECEDA6FE4480DAFA96C65DC55DBDF"/>
    <w:rsid w:val="00A3321D"/>
  </w:style>
  <w:style w:type="paragraph" w:customStyle="1" w:styleId="2B703CC919374ADBB0BD352D2BB66AF4">
    <w:name w:val="2B703CC919374ADBB0BD352D2BB66AF4"/>
    <w:rsid w:val="00A33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Katrnošková Michaela</dc:creator>
  <cp:keywords/>
  <dc:description/>
  <cp:lastModifiedBy>Podbřecká Milena</cp:lastModifiedBy>
  <cp:revision>8</cp:revision>
  <cp:lastPrinted>2021-09-23T13:46:00Z</cp:lastPrinted>
  <dcterms:created xsi:type="dcterms:W3CDTF">2021-09-20T10:09:00Z</dcterms:created>
  <dcterms:modified xsi:type="dcterms:W3CDTF">2021-09-23T13:46:00Z</dcterms:modified>
</cp:coreProperties>
</file>