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BA80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5BEBDB26" w14:textId="77777777" w:rsidR="00CD1D9C" w:rsidRPr="00CD1D9C" w:rsidRDefault="00CD1D9C" w:rsidP="00BA591D">
      <w:pPr>
        <w:tabs>
          <w:tab w:val="clear" w:pos="567"/>
        </w:tabs>
        <w:spacing w:line="240" w:lineRule="auto"/>
        <w:rPr>
          <w:szCs w:val="22"/>
        </w:rPr>
      </w:pPr>
    </w:p>
    <w:p w14:paraId="02433446" w14:textId="77777777" w:rsidR="00CD1D9C" w:rsidRPr="00CD1D9C" w:rsidRDefault="00CD1D9C" w:rsidP="00BA591D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CD1D9C" w:rsidRDefault="002D0F62" w:rsidP="00BA591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D1D9C">
        <w:rPr>
          <w:b/>
          <w:szCs w:val="22"/>
        </w:rPr>
        <w:t>PŘÍLOHA I</w:t>
      </w:r>
    </w:p>
    <w:p w14:paraId="50FE88E4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CD1D9C" w:rsidRDefault="002D0F62" w:rsidP="00BA591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D1D9C">
        <w:rPr>
          <w:b/>
          <w:szCs w:val="22"/>
        </w:rPr>
        <w:t>SOUHRN ÚDAJŮ O PŘÍPRAVKU</w:t>
      </w:r>
    </w:p>
    <w:p w14:paraId="70A64732" w14:textId="77777777" w:rsidR="00C114FF" w:rsidRPr="00CD1D9C" w:rsidRDefault="002D0F62" w:rsidP="00BA591D">
      <w:pPr>
        <w:pStyle w:val="Style1"/>
      </w:pPr>
      <w:r w:rsidRPr="00CD1D9C">
        <w:br w:type="page"/>
      </w:r>
      <w:r w:rsidRPr="00CD1D9C">
        <w:lastRenderedPageBreak/>
        <w:t>1.</w:t>
      </w:r>
      <w:r w:rsidRPr="00CD1D9C">
        <w:tab/>
        <w:t>NÁZEV VETERINÁRNÍHO LÉČIVÉHO PŘÍPRAVKU</w:t>
      </w:r>
    </w:p>
    <w:p w14:paraId="3606368F" w14:textId="77777777" w:rsidR="00C114FF" w:rsidRPr="00CD1D9C" w:rsidRDefault="00C114FF" w:rsidP="00BA591D">
      <w:pPr>
        <w:tabs>
          <w:tab w:val="clear" w:pos="567"/>
        </w:tabs>
        <w:spacing w:line="240" w:lineRule="auto"/>
        <w:rPr>
          <w:szCs w:val="22"/>
        </w:rPr>
      </w:pPr>
    </w:p>
    <w:p w14:paraId="746BCF85" w14:textId="77777777" w:rsidR="00B735AF" w:rsidRPr="00CD1D9C" w:rsidRDefault="00B735AF" w:rsidP="00BF03D1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 xml:space="preserve">GONADORELIN Bioveta 0,05 mg/ml injekční roztok </w:t>
      </w:r>
    </w:p>
    <w:p w14:paraId="5906BB1F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CD1D9C" w:rsidRDefault="002D0F62">
      <w:pPr>
        <w:pStyle w:val="Style1"/>
      </w:pPr>
      <w:r w:rsidRPr="00CD1D9C">
        <w:t>2.</w:t>
      </w:r>
      <w:r w:rsidRPr="00CD1D9C">
        <w:tab/>
        <w:t>KVALITATIVNÍ A KVANTITATIVNÍ SLOŽENÍ</w:t>
      </w:r>
    </w:p>
    <w:p w14:paraId="3EAF4F83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3C73EC8" w14:textId="6639F8B1" w:rsidR="00B735AF" w:rsidRPr="00CD1D9C" w:rsidRDefault="00DB17F8">
      <w:pPr>
        <w:tabs>
          <w:tab w:val="clear" w:pos="567"/>
        </w:tabs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>1</w:t>
      </w:r>
      <w:r w:rsidR="00B735AF" w:rsidRPr="00CD1D9C">
        <w:rPr>
          <w:szCs w:val="24"/>
          <w:lang w:eastAsia="cs-CZ"/>
        </w:rPr>
        <w:t xml:space="preserve"> ml injekčního roztoku obsahuje:</w:t>
      </w:r>
    </w:p>
    <w:p w14:paraId="5D38C787" w14:textId="77777777" w:rsidR="00B735AF" w:rsidRPr="00CD1D9C" w:rsidRDefault="00B735AF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649558B5" w:rsidR="00C114FF" w:rsidRPr="00CD1D9C" w:rsidRDefault="002D0F62" w:rsidP="00BF03D1">
      <w:pPr>
        <w:tabs>
          <w:tab w:val="clear" w:pos="567"/>
        </w:tabs>
        <w:spacing w:line="240" w:lineRule="auto"/>
        <w:rPr>
          <w:b/>
          <w:szCs w:val="22"/>
        </w:rPr>
      </w:pPr>
      <w:r w:rsidRPr="00CD1D9C">
        <w:rPr>
          <w:b/>
          <w:szCs w:val="22"/>
        </w:rPr>
        <w:t>Léčivá látka:</w:t>
      </w:r>
    </w:p>
    <w:p w14:paraId="5DBC8849" w14:textId="7D905938" w:rsidR="00C114FF" w:rsidRPr="00CD1D9C" w:rsidRDefault="00B735AF" w:rsidP="00BF03D1">
      <w:pPr>
        <w:tabs>
          <w:tab w:val="clear" w:pos="567"/>
        </w:tabs>
        <w:spacing w:line="240" w:lineRule="auto"/>
        <w:rPr>
          <w:iCs/>
          <w:szCs w:val="22"/>
        </w:rPr>
      </w:pPr>
      <w:r w:rsidRPr="00CD1D9C">
        <w:rPr>
          <w:szCs w:val="24"/>
          <w:lang w:eastAsia="cs-CZ"/>
        </w:rPr>
        <w:t>Gonadorelinum [6-D-Phe] 0,05 mg</w:t>
      </w:r>
      <w:r w:rsidRPr="00CD1D9C">
        <w:rPr>
          <w:szCs w:val="24"/>
          <w:lang w:eastAsia="cs-CZ"/>
        </w:rPr>
        <w:br/>
        <w:t>(odpovídá Gonadorelini[6-D-Phe] acetas 0,0524 mg)</w:t>
      </w:r>
    </w:p>
    <w:p w14:paraId="4114CC73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1394D04C" w:rsidR="00C114FF" w:rsidRPr="00CD1D9C" w:rsidRDefault="002D0F62" w:rsidP="00D060C9">
      <w:pPr>
        <w:tabs>
          <w:tab w:val="clear" w:pos="567"/>
        </w:tabs>
        <w:spacing w:line="240" w:lineRule="auto"/>
        <w:rPr>
          <w:szCs w:val="22"/>
        </w:rPr>
      </w:pPr>
      <w:r w:rsidRPr="00CD1D9C">
        <w:rPr>
          <w:b/>
          <w:szCs w:val="22"/>
        </w:rPr>
        <w:t>Pomocné látky:</w:t>
      </w:r>
    </w:p>
    <w:p w14:paraId="682D2DFD" w14:textId="284A3F85" w:rsidR="0016011D" w:rsidRPr="00CD1D9C" w:rsidRDefault="0016011D">
      <w:pPr>
        <w:spacing w:line="240" w:lineRule="auto"/>
        <w:rPr>
          <w:szCs w:val="24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6011D" w:rsidRPr="00CD1D9C" w14:paraId="28594CDB" w14:textId="77777777" w:rsidTr="0016011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5947" w14:textId="7859974C" w:rsidR="0016011D" w:rsidRPr="00CD1D9C" w:rsidRDefault="0016011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D1D9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F1B9" w14:textId="5BEEACDC" w:rsidR="0016011D" w:rsidRPr="00CD1D9C" w:rsidRDefault="0016011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D1D9C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6011D" w:rsidRPr="00CD1D9C" w14:paraId="5D61FEFA" w14:textId="77777777" w:rsidTr="0016011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30C6" w14:textId="236454F0" w:rsidR="0016011D" w:rsidRPr="00CD1D9C" w:rsidRDefault="0016011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D1D9C">
              <w:rPr>
                <w:iCs/>
                <w:szCs w:val="22"/>
              </w:rPr>
              <w:t>Chlorkresol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CCC9" w14:textId="3471B9BC" w:rsidR="0016011D" w:rsidRPr="00CD1D9C" w:rsidRDefault="0016011D">
            <w:pPr>
              <w:spacing w:before="60" w:after="60"/>
              <w:rPr>
                <w:iCs/>
                <w:szCs w:val="22"/>
              </w:rPr>
            </w:pPr>
            <w:r w:rsidRPr="00CD1D9C">
              <w:rPr>
                <w:iCs/>
                <w:szCs w:val="22"/>
              </w:rPr>
              <w:t>1,0 mg</w:t>
            </w:r>
          </w:p>
        </w:tc>
      </w:tr>
      <w:tr w:rsidR="0016011D" w:rsidRPr="00CD1D9C" w14:paraId="07AC08B1" w14:textId="77777777" w:rsidTr="0016011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B35C" w14:textId="205F5EDC" w:rsidR="0016011D" w:rsidRPr="00CD1D9C" w:rsidRDefault="0016011D">
            <w:pPr>
              <w:spacing w:before="60" w:after="60"/>
              <w:rPr>
                <w:i/>
                <w:iCs/>
                <w:szCs w:val="22"/>
              </w:rPr>
            </w:pPr>
            <w:r w:rsidRPr="00CD1D9C">
              <w:rPr>
                <w:iCs/>
                <w:szCs w:val="22"/>
              </w:rPr>
              <w:t xml:space="preserve">Hydroxid sodný </w:t>
            </w:r>
            <w:r w:rsidRPr="00CD1D9C">
              <w:rPr>
                <w:i/>
                <w:iCs/>
                <w:szCs w:val="22"/>
              </w:rPr>
              <w:t>(pro úpravu pH)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9189" w14:textId="77777777" w:rsidR="0016011D" w:rsidRPr="00CD1D9C" w:rsidRDefault="0016011D">
            <w:pPr>
              <w:spacing w:before="60" w:after="60"/>
              <w:rPr>
                <w:iCs/>
                <w:szCs w:val="22"/>
              </w:rPr>
            </w:pPr>
          </w:p>
        </w:tc>
      </w:tr>
      <w:tr w:rsidR="0016011D" w:rsidRPr="00CD1D9C" w14:paraId="3DFAA4C7" w14:textId="77777777" w:rsidTr="0016011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328F" w14:textId="691597FE" w:rsidR="0016011D" w:rsidRPr="00CD1D9C" w:rsidRDefault="0016011D">
            <w:pPr>
              <w:spacing w:before="60" w:after="60"/>
              <w:rPr>
                <w:iCs/>
                <w:szCs w:val="22"/>
              </w:rPr>
            </w:pPr>
            <w:r w:rsidRPr="00CD1D9C">
              <w:rPr>
                <w:iCs/>
                <w:szCs w:val="22"/>
              </w:rPr>
              <w:t xml:space="preserve">Kyselina octová </w:t>
            </w:r>
            <w:r w:rsidRPr="00CD1D9C">
              <w:rPr>
                <w:i/>
                <w:iCs/>
                <w:szCs w:val="22"/>
              </w:rPr>
              <w:t>(pro úpravu pH)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83FF" w14:textId="77777777" w:rsidR="0016011D" w:rsidRPr="00CD1D9C" w:rsidRDefault="0016011D">
            <w:pPr>
              <w:spacing w:before="60" w:after="60"/>
              <w:rPr>
                <w:iCs/>
                <w:szCs w:val="22"/>
              </w:rPr>
            </w:pPr>
          </w:p>
        </w:tc>
      </w:tr>
      <w:tr w:rsidR="0016011D" w:rsidRPr="00CD1D9C" w14:paraId="29BC89AF" w14:textId="77777777" w:rsidTr="0016011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49A6" w14:textId="73BE6BA2" w:rsidR="0016011D" w:rsidRPr="00CD1D9C" w:rsidRDefault="0016011D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CD1D9C">
              <w:rPr>
                <w:bCs/>
                <w:iCs/>
                <w:szCs w:val="22"/>
              </w:rPr>
              <w:t>Voda pro injekci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3999" w14:textId="77777777" w:rsidR="0016011D" w:rsidRPr="00CD1D9C" w:rsidRDefault="0016011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373876A" w14:textId="77777777" w:rsidR="0016011D" w:rsidRPr="00CD1D9C" w:rsidRDefault="0016011D">
      <w:pPr>
        <w:spacing w:line="240" w:lineRule="auto"/>
        <w:rPr>
          <w:szCs w:val="24"/>
          <w:lang w:eastAsia="cs-CZ"/>
        </w:rPr>
      </w:pPr>
    </w:p>
    <w:p w14:paraId="2ACDC774" w14:textId="4C90F21A" w:rsidR="008D03C7" w:rsidRPr="00CD1D9C" w:rsidRDefault="0016011D" w:rsidP="00BF03D1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>Čirý, bezbarvý roztok</w:t>
      </w:r>
      <w:r w:rsidR="008D03C7" w:rsidRPr="00CD1D9C">
        <w:rPr>
          <w:szCs w:val="24"/>
          <w:lang w:eastAsia="cs-CZ"/>
        </w:rPr>
        <w:t>.</w:t>
      </w:r>
    </w:p>
    <w:p w14:paraId="2E6CA329" w14:textId="721EB2BE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1EBC29D2" w14:textId="77777777" w:rsidR="00BA591D" w:rsidRPr="00CD1D9C" w:rsidRDefault="00BA591D" w:rsidP="00D060C9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CD1D9C" w:rsidRDefault="002D0F62" w:rsidP="00D060C9">
      <w:pPr>
        <w:pStyle w:val="Style1"/>
      </w:pPr>
      <w:r w:rsidRPr="00CD1D9C">
        <w:t>3.</w:t>
      </w:r>
      <w:r w:rsidRPr="00CD1D9C">
        <w:tab/>
        <w:t>KLINICKÉ INFORMACE</w:t>
      </w:r>
    </w:p>
    <w:p w14:paraId="03304F78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098E4FD" w:rsidR="00C114FF" w:rsidRPr="00CD1D9C" w:rsidRDefault="002D0F62" w:rsidP="00BA591D">
      <w:pPr>
        <w:pStyle w:val="Style1"/>
      </w:pPr>
      <w:r w:rsidRPr="00CD1D9C">
        <w:t>3.1</w:t>
      </w:r>
      <w:r w:rsidRPr="00CD1D9C">
        <w:tab/>
        <w:t>Cílové druhy zvířat</w:t>
      </w:r>
    </w:p>
    <w:p w14:paraId="3495B187" w14:textId="77777777" w:rsidR="00BA591D" w:rsidRPr="00CD1D9C" w:rsidRDefault="00BA591D" w:rsidP="00D060C9">
      <w:pPr>
        <w:pStyle w:val="Style1"/>
      </w:pPr>
    </w:p>
    <w:p w14:paraId="73E6ABBB" w14:textId="34FFA867" w:rsidR="00B735AF" w:rsidRPr="00CD1D9C" w:rsidRDefault="00B735AF" w:rsidP="00BF03D1">
      <w:pPr>
        <w:spacing w:line="240" w:lineRule="auto"/>
        <w:rPr>
          <w:szCs w:val="24"/>
          <w:lang w:eastAsia="cs-CZ"/>
        </w:rPr>
      </w:pPr>
      <w:bookmarkStart w:id="0" w:name="_Hlk81986908"/>
      <w:r w:rsidRPr="00CD1D9C">
        <w:rPr>
          <w:szCs w:val="24"/>
          <w:lang w:eastAsia="cs-CZ"/>
        </w:rPr>
        <w:t xml:space="preserve">Skot (krávy, jalovice), prasata (prasnice, prasničky), koně (klisny). </w:t>
      </w:r>
      <w:bookmarkEnd w:id="0"/>
    </w:p>
    <w:p w14:paraId="20FFAC3D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CD1D9C" w:rsidRDefault="002D0F62" w:rsidP="00D060C9">
      <w:pPr>
        <w:pStyle w:val="Style1"/>
      </w:pPr>
      <w:r w:rsidRPr="00CD1D9C">
        <w:t>3.2</w:t>
      </w:r>
      <w:r w:rsidRPr="00CD1D9C">
        <w:tab/>
        <w:t xml:space="preserve">Indikace pro použití pro každý cílový druh </w:t>
      </w:r>
      <w:r w:rsidR="0043586F" w:rsidRPr="00CD1D9C">
        <w:t>zvířat</w:t>
      </w:r>
    </w:p>
    <w:p w14:paraId="327E3A6F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181ACF63" w14:textId="10D13567" w:rsidR="00B735AF" w:rsidRPr="00CD1D9C" w:rsidRDefault="00B735AF" w:rsidP="00BF03D1">
      <w:pPr>
        <w:spacing w:line="240" w:lineRule="auto"/>
        <w:ind w:left="26"/>
      </w:pPr>
      <w:bookmarkStart w:id="1" w:name="_Hlk81986847"/>
      <w:r w:rsidRPr="00CD1D9C">
        <w:t>Řízení a stimulace reprodukce u skotu a prasat. Léčba ovariálních poruch souvisejících s</w:t>
      </w:r>
      <w:bookmarkStart w:id="2" w:name="_GoBack"/>
      <w:bookmarkEnd w:id="2"/>
      <w:r w:rsidRPr="00CD1D9C">
        <w:t xml:space="preserve"> fertilitou nebo dysfunkcí u skotu a koní.</w:t>
      </w:r>
    </w:p>
    <w:p w14:paraId="2748C297" w14:textId="77777777" w:rsidR="008D396A" w:rsidRPr="00CD1D9C" w:rsidRDefault="008D396A" w:rsidP="00BF03D1">
      <w:pPr>
        <w:spacing w:line="240" w:lineRule="auto"/>
        <w:ind w:left="26"/>
      </w:pPr>
    </w:p>
    <w:p w14:paraId="5792B552" w14:textId="77777777" w:rsidR="00B735AF" w:rsidRPr="00CD1D9C" w:rsidRDefault="00B735AF" w:rsidP="00D060C9">
      <w:pPr>
        <w:spacing w:line="240" w:lineRule="auto"/>
        <w:outlineLvl w:val="0"/>
      </w:pPr>
      <w:r w:rsidRPr="00CD1D9C">
        <w:rPr>
          <w:u w:val="single"/>
        </w:rPr>
        <w:t>Skot (krávy, jalovice):</w:t>
      </w:r>
    </w:p>
    <w:p w14:paraId="3242F902" w14:textId="6FA4BE7D" w:rsidR="00B735AF" w:rsidRPr="00CD1D9C" w:rsidRDefault="00B735AF" w:rsidP="00BF03D1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CD1D9C">
        <w:t xml:space="preserve">indukce ovulace v případě opožděné ovulace v důsledku </w:t>
      </w:r>
      <w:r w:rsidR="00A44D2B" w:rsidRPr="00CD1D9C">
        <w:t xml:space="preserve">nízké hladiny </w:t>
      </w:r>
      <w:r w:rsidRPr="00CD1D9C">
        <w:t>LH,</w:t>
      </w:r>
    </w:p>
    <w:p w14:paraId="4E57A2FC" w14:textId="1E2CA298" w:rsidR="00B735AF" w:rsidRPr="00CD1D9C" w:rsidRDefault="00B735AF" w:rsidP="00BF03D1">
      <w:pPr>
        <w:numPr>
          <w:ilvl w:val="0"/>
          <w:numId w:val="41"/>
        </w:numPr>
        <w:spacing w:line="240" w:lineRule="auto"/>
        <w:ind w:left="284" w:hanging="284"/>
      </w:pPr>
      <w:r w:rsidRPr="00CD1D9C">
        <w:t xml:space="preserve">indukce/synchronizace ovulace v rámci systémů pro časově plánované </w:t>
      </w:r>
      <w:r w:rsidRPr="00CD1D9C">
        <w:br/>
        <w:t xml:space="preserve">inseminace, </w:t>
      </w:r>
    </w:p>
    <w:p w14:paraId="13146E8C" w14:textId="31666B53" w:rsidR="00B735AF" w:rsidRPr="00CD1D9C" w:rsidRDefault="00B735AF" w:rsidP="00BF03D1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CD1D9C">
        <w:t xml:space="preserve">stimulace </w:t>
      </w:r>
      <w:r w:rsidR="00A44D2B" w:rsidRPr="00CD1D9C">
        <w:t>ovariálních funkcí v poporodním období, ne dříve než 12. den</w:t>
      </w:r>
      <w:r w:rsidR="00A44D2B" w:rsidRPr="00CD1D9C" w:rsidDel="00A44D2B">
        <w:t xml:space="preserve"> </w:t>
      </w:r>
      <w:r w:rsidRPr="00CD1D9C">
        <w:rPr>
          <w:i/>
          <w:iCs/>
        </w:rPr>
        <w:t>post partum,</w:t>
      </w:r>
    </w:p>
    <w:p w14:paraId="11E1B1E6" w14:textId="77777777" w:rsidR="00B735AF" w:rsidRPr="00CD1D9C" w:rsidRDefault="00B735AF" w:rsidP="00BF03D1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CD1D9C">
        <w:t>ovariální cysty (v důsledku nedostatku LH).</w:t>
      </w:r>
    </w:p>
    <w:p w14:paraId="1A729182" w14:textId="77777777" w:rsidR="00B735AF" w:rsidRPr="00CD1D9C" w:rsidRDefault="00B735AF" w:rsidP="00BF03D1">
      <w:pPr>
        <w:spacing w:line="240" w:lineRule="auto"/>
        <w:jc w:val="both"/>
      </w:pPr>
    </w:p>
    <w:p w14:paraId="3844F09C" w14:textId="77777777" w:rsidR="00B735AF" w:rsidRPr="00CD1D9C" w:rsidRDefault="00B735AF" w:rsidP="00D060C9">
      <w:pPr>
        <w:spacing w:line="240" w:lineRule="auto"/>
        <w:outlineLvl w:val="0"/>
      </w:pPr>
      <w:r w:rsidRPr="00CD1D9C">
        <w:rPr>
          <w:u w:val="single"/>
        </w:rPr>
        <w:t>Prasata (prasnice, prasničky):</w:t>
      </w:r>
    </w:p>
    <w:p w14:paraId="47CF55FB" w14:textId="6D93619C" w:rsidR="00B735AF" w:rsidRPr="00CD1D9C" w:rsidRDefault="00B735AF" w:rsidP="00BF03D1">
      <w:pPr>
        <w:numPr>
          <w:ilvl w:val="0"/>
          <w:numId w:val="41"/>
        </w:numPr>
        <w:spacing w:line="240" w:lineRule="auto"/>
        <w:ind w:left="284" w:hanging="284"/>
        <w:jc w:val="both"/>
      </w:pPr>
      <w:r w:rsidRPr="00CD1D9C">
        <w:t xml:space="preserve">indukce/synchronizace ovulace v rámci systémů pro časově plánované inseminace a </w:t>
      </w:r>
      <w:r w:rsidR="00A44D2B" w:rsidRPr="00CD1D9C">
        <w:t>následnou synchronizaci</w:t>
      </w:r>
      <w:r w:rsidR="00A44D2B" w:rsidRPr="00CD1D9C" w:rsidDel="00A44D2B">
        <w:t xml:space="preserve"> </w:t>
      </w:r>
      <w:r w:rsidRPr="00CD1D9C">
        <w:t>porodů.</w:t>
      </w:r>
    </w:p>
    <w:p w14:paraId="782258B2" w14:textId="77777777" w:rsidR="00B735AF" w:rsidRPr="00CD1D9C" w:rsidRDefault="00B735AF" w:rsidP="00D060C9">
      <w:pPr>
        <w:spacing w:line="240" w:lineRule="auto"/>
      </w:pPr>
    </w:p>
    <w:p w14:paraId="58B18EB0" w14:textId="77777777" w:rsidR="00B735AF" w:rsidRPr="00CD1D9C" w:rsidRDefault="00B735AF" w:rsidP="00D060C9">
      <w:pPr>
        <w:spacing w:line="240" w:lineRule="auto"/>
        <w:outlineLvl w:val="0"/>
      </w:pPr>
      <w:r w:rsidRPr="00CD1D9C">
        <w:rPr>
          <w:u w:val="single"/>
        </w:rPr>
        <w:t>Koně (klisny):</w:t>
      </w:r>
    </w:p>
    <w:p w14:paraId="2EBBD0AD" w14:textId="4A149050" w:rsidR="00B735AF" w:rsidRPr="00CD1D9C" w:rsidRDefault="00B735AF" w:rsidP="00BF03D1">
      <w:pPr>
        <w:numPr>
          <w:ilvl w:val="0"/>
          <w:numId w:val="42"/>
        </w:numPr>
        <w:spacing w:line="240" w:lineRule="auto"/>
        <w:ind w:left="284" w:hanging="284"/>
        <w:jc w:val="both"/>
      </w:pPr>
      <w:r w:rsidRPr="00CD1D9C">
        <w:t>acyklie a</w:t>
      </w:r>
      <w:r w:rsidR="00A44D2B" w:rsidRPr="00CD1D9C">
        <w:t xml:space="preserve"> anestr</w:t>
      </w:r>
      <w:r w:rsidR="00443F69" w:rsidRPr="00CD1D9C">
        <w:t>us</w:t>
      </w:r>
      <w:r w:rsidR="00A44D2B" w:rsidRPr="00CD1D9C">
        <w:t xml:space="preserve"> v důsledku nízké hladiny LH</w:t>
      </w:r>
      <w:r w:rsidRPr="00CD1D9C">
        <w:t xml:space="preserve">. </w:t>
      </w:r>
    </w:p>
    <w:bookmarkEnd w:id="1"/>
    <w:p w14:paraId="45A9E78C" w14:textId="77777777" w:rsidR="00E86CEE" w:rsidRPr="00CD1D9C" w:rsidRDefault="00E86CEE" w:rsidP="00D060C9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CD1D9C" w:rsidRDefault="002D0F62" w:rsidP="00B07C2B">
      <w:pPr>
        <w:pStyle w:val="Style1"/>
        <w:keepNext/>
        <w:jc w:val="both"/>
      </w:pPr>
      <w:r w:rsidRPr="00CD1D9C">
        <w:t>3.3</w:t>
      </w:r>
      <w:r w:rsidRPr="00CD1D9C">
        <w:tab/>
        <w:t>Kontraindikace</w:t>
      </w:r>
    </w:p>
    <w:p w14:paraId="758D96B3" w14:textId="77777777" w:rsidR="00C114FF" w:rsidRPr="00CD1D9C" w:rsidRDefault="00C114FF" w:rsidP="00B07C2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E4A4B7" w14:textId="5028C61B" w:rsidR="003F44FE" w:rsidRPr="00CD1D9C" w:rsidRDefault="00B735AF" w:rsidP="003F44FE">
      <w:pPr>
        <w:pStyle w:val="Bezmezer"/>
        <w:jc w:val="both"/>
        <w:rPr>
          <w:sz w:val="22"/>
        </w:rPr>
      </w:pPr>
      <w:bookmarkStart w:id="3" w:name="_Hlk81986877"/>
      <w:r w:rsidRPr="00CD1D9C">
        <w:rPr>
          <w:sz w:val="22"/>
        </w:rPr>
        <w:t xml:space="preserve">Nepoužívat v případě infekcí nebo jiných celkových onemocnění. </w:t>
      </w:r>
    </w:p>
    <w:p w14:paraId="062996FB" w14:textId="1F032D11" w:rsidR="00B735AF" w:rsidRPr="00CD1D9C" w:rsidRDefault="00B735AF" w:rsidP="00B07C2B">
      <w:pPr>
        <w:pStyle w:val="Bezmezer"/>
        <w:jc w:val="both"/>
        <w:rPr>
          <w:sz w:val="22"/>
        </w:rPr>
      </w:pPr>
      <w:r w:rsidRPr="00CD1D9C">
        <w:rPr>
          <w:sz w:val="22"/>
        </w:rPr>
        <w:lastRenderedPageBreak/>
        <w:t>Nepoužívat v případě známé přecitlivělosti na léčivou látku, nebo na některou z pomocných látek.</w:t>
      </w:r>
    </w:p>
    <w:bookmarkEnd w:id="3"/>
    <w:p w14:paraId="54C2FA76" w14:textId="77777777" w:rsidR="00C114FF" w:rsidRPr="00CD1D9C" w:rsidRDefault="00C114FF" w:rsidP="00B07C2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CD1D9C" w:rsidRDefault="002D0F62" w:rsidP="00B07C2B">
      <w:pPr>
        <w:pStyle w:val="Style1"/>
        <w:jc w:val="both"/>
      </w:pPr>
      <w:r w:rsidRPr="00CD1D9C">
        <w:t>3.4</w:t>
      </w:r>
      <w:r w:rsidRPr="00CD1D9C">
        <w:tab/>
        <w:t>Zvláštní upozornění</w:t>
      </w:r>
    </w:p>
    <w:p w14:paraId="0622A062" w14:textId="77777777" w:rsidR="00C114FF" w:rsidRPr="00CD1D9C" w:rsidRDefault="00C114FF" w:rsidP="00B07C2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EEAA22" w14:textId="2B1CF434" w:rsidR="00B735AF" w:rsidRPr="00CD1D9C" w:rsidRDefault="00B735AF" w:rsidP="00B07C2B">
      <w:pPr>
        <w:spacing w:line="240" w:lineRule="auto"/>
        <w:jc w:val="both"/>
        <w:rPr>
          <w:sz w:val="20"/>
        </w:rPr>
      </w:pPr>
      <w:bookmarkStart w:id="4" w:name="_Hlk81993261"/>
      <w:r w:rsidRPr="00CD1D9C">
        <w:t>Chcete-li maximalizovat úspěšnost inseminace krav ošetřených GnRH-PGF</w:t>
      </w:r>
      <w:r w:rsidRPr="00CD1D9C">
        <w:rPr>
          <w:vertAlign w:val="subscript"/>
        </w:rPr>
        <w:t>2α</w:t>
      </w:r>
      <w:r w:rsidRPr="00CD1D9C">
        <w:t xml:space="preserve"> na základě protokolů synchronizace,</w:t>
      </w:r>
      <w:r w:rsidR="00A44D2B" w:rsidRPr="00CD1D9C">
        <w:t xml:space="preserve"> je nezbytné vyšetřit </w:t>
      </w:r>
      <w:r w:rsidR="00145DEB" w:rsidRPr="00CD1D9C">
        <w:t>ovaria</w:t>
      </w:r>
      <w:r w:rsidR="00A44D2B" w:rsidRPr="00CD1D9C">
        <w:t xml:space="preserve"> s cílem ověřit folikulárn</w:t>
      </w:r>
      <w:r w:rsidR="00E50499" w:rsidRPr="00CD1D9C">
        <w:t>í aktivitu, případně potvrdit n</w:t>
      </w:r>
      <w:r w:rsidR="00A44D2B" w:rsidRPr="00CD1D9C">
        <w:t>ebo</w:t>
      </w:r>
      <w:r w:rsidR="00CD1D9C">
        <w:t> </w:t>
      </w:r>
      <w:r w:rsidR="00A44D2B" w:rsidRPr="00CD1D9C">
        <w:t>vyloučit nález CL (</w:t>
      </w:r>
      <w:r w:rsidR="00A44D2B" w:rsidRPr="00CD1D9C">
        <w:rPr>
          <w:i/>
          <w:iCs/>
        </w:rPr>
        <w:t>corpus luteum</w:t>
      </w:r>
      <w:r w:rsidR="00A44D2B" w:rsidRPr="00CD1D9C">
        <w:t>)</w:t>
      </w:r>
      <w:r w:rsidRPr="00CD1D9C">
        <w:t>. Optimálních výsledků se dosáhne u zdravých krav s</w:t>
      </w:r>
      <w:r w:rsidR="00CD1D9C">
        <w:t> </w:t>
      </w:r>
      <w:r w:rsidRPr="00CD1D9C">
        <w:t>normálním cyklem.</w:t>
      </w:r>
    </w:p>
    <w:bookmarkEnd w:id="4"/>
    <w:p w14:paraId="7D798E15" w14:textId="77777777" w:rsidR="00E86CEE" w:rsidRPr="00CD1D9C" w:rsidRDefault="00E86CEE" w:rsidP="00D060C9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CD1D9C" w:rsidRDefault="002D0F62" w:rsidP="00BF03D1">
      <w:pPr>
        <w:pStyle w:val="Style1"/>
        <w:keepNext/>
      </w:pPr>
      <w:r w:rsidRPr="00CD1D9C">
        <w:t>3.5</w:t>
      </w:r>
      <w:r w:rsidRPr="00CD1D9C">
        <w:tab/>
        <w:t>Zvláštní opatření pro použití</w:t>
      </w:r>
    </w:p>
    <w:p w14:paraId="0B94D7B2" w14:textId="77777777" w:rsidR="00C114FF" w:rsidRPr="00CD1D9C" w:rsidRDefault="00C114FF" w:rsidP="00BF03D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CD1D9C" w:rsidRDefault="002D0F62" w:rsidP="00BF03D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D1D9C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CD1D9C" w:rsidRDefault="00C114FF" w:rsidP="00BF03D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13D9718" w14:textId="0F2DA9C1" w:rsidR="00C114FF" w:rsidRPr="00CD1D9C" w:rsidRDefault="002D0F62" w:rsidP="00D060C9">
      <w:pPr>
        <w:tabs>
          <w:tab w:val="clear" w:pos="567"/>
        </w:tabs>
        <w:spacing w:line="240" w:lineRule="auto"/>
        <w:rPr>
          <w:szCs w:val="22"/>
        </w:rPr>
      </w:pPr>
      <w:r w:rsidRPr="00CD1D9C">
        <w:t>Neuplatňuje se.</w:t>
      </w:r>
    </w:p>
    <w:p w14:paraId="12DA67C9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CD1D9C" w:rsidRDefault="002D0F6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D1D9C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074F9B5" w14:textId="77777777" w:rsidR="008D396A" w:rsidRPr="00CD1D9C" w:rsidRDefault="008D396A" w:rsidP="00BF03D1">
      <w:pPr>
        <w:keepNext/>
        <w:spacing w:line="240" w:lineRule="auto"/>
        <w:jc w:val="both"/>
      </w:pPr>
      <w:bookmarkStart w:id="5" w:name="_Hlk95377517"/>
      <w:r w:rsidRPr="00CD1D9C">
        <w:t>Při manipulaci s přípravkem zabraňte náhodnému samopodání injekce. V případě náhodného sebepoškození injekčně aplikovaným přípravkem vyhledejte ihned lékařskou pomoc a ukažte příbalovou informaci nebo etiketu praktickému lékaři.</w:t>
      </w:r>
    </w:p>
    <w:p w14:paraId="329C6B86" w14:textId="77777777" w:rsidR="008D396A" w:rsidRPr="00CD1D9C" w:rsidRDefault="008D396A" w:rsidP="00BF03D1">
      <w:pPr>
        <w:keepNext/>
        <w:spacing w:line="240" w:lineRule="auto"/>
        <w:jc w:val="both"/>
      </w:pPr>
      <w:r w:rsidRPr="00CD1D9C">
        <w:t>Předcházejte kontaktu přípravku s kůží a očima. V případě kontaktu s kůží ihned a důkladně opláchněte vodou, jelikož analogy GnRH mohou být absorbovány kůží. V případě náhodného kontaktu s očima důkladně vypláchněte vodou.</w:t>
      </w:r>
    </w:p>
    <w:p w14:paraId="626EA4B3" w14:textId="0DA3859E" w:rsidR="008D396A" w:rsidRPr="00CD1D9C" w:rsidRDefault="008D396A" w:rsidP="00BF03D1">
      <w:pPr>
        <w:keepNext/>
        <w:spacing w:line="240" w:lineRule="auto"/>
        <w:jc w:val="both"/>
      </w:pPr>
      <w:r w:rsidRPr="00CD1D9C">
        <w:t>Gonadorelin je analog hormonu uvolňujícího gonadotropin (GnRH), který stimuluje uvolňování pohlavních hormonů. Účinky náhodného vystavení analogům GnRH u těhotných žen nebo u žen s normálním reprodukčním cyklem nejsou známy, proto se doporučuje, aby těhotné ženy přípravek nepodávaly a ženy v plodném věku podávaly přípravek obezřetně.</w:t>
      </w:r>
    </w:p>
    <w:p w14:paraId="78DC52D7" w14:textId="3A26E4B9" w:rsidR="008D396A" w:rsidRPr="00CD1D9C" w:rsidRDefault="008D396A" w:rsidP="00BF03D1">
      <w:pPr>
        <w:keepNext/>
        <w:spacing w:line="240" w:lineRule="auto"/>
        <w:jc w:val="both"/>
      </w:pPr>
      <w:r w:rsidRPr="00CD1D9C">
        <w:t>Lidé se známou přecitlivělostí na analogy GnRH by se měli vyhnout kontaktu s veterinárním léčivým přípravkem.</w:t>
      </w:r>
      <w:bookmarkEnd w:id="5"/>
    </w:p>
    <w:p w14:paraId="136C113F" w14:textId="77777777" w:rsidR="008D396A" w:rsidRPr="00CD1D9C" w:rsidRDefault="008D396A" w:rsidP="00D060C9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CD1D9C" w:rsidRDefault="002D0F62" w:rsidP="00D060C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D1D9C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CD1D9C" w:rsidRDefault="00295140" w:rsidP="00D060C9">
      <w:pPr>
        <w:tabs>
          <w:tab w:val="clear" w:pos="567"/>
        </w:tabs>
        <w:spacing w:line="240" w:lineRule="auto"/>
        <w:rPr>
          <w:szCs w:val="22"/>
        </w:rPr>
      </w:pPr>
    </w:p>
    <w:p w14:paraId="0CE51CD2" w14:textId="0B6DA5D1" w:rsidR="00295140" w:rsidRPr="00CD1D9C" w:rsidRDefault="002D0F62">
      <w:pPr>
        <w:tabs>
          <w:tab w:val="clear" w:pos="567"/>
        </w:tabs>
        <w:spacing w:line="240" w:lineRule="auto"/>
        <w:rPr>
          <w:szCs w:val="22"/>
        </w:rPr>
      </w:pPr>
      <w:r w:rsidRPr="00CD1D9C">
        <w:t>Neuplatňuje se.</w:t>
      </w:r>
    </w:p>
    <w:p w14:paraId="309A1DB9" w14:textId="77777777" w:rsidR="00295140" w:rsidRPr="00CD1D9C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0F3D673" w14:textId="381D7CBC" w:rsidR="00295140" w:rsidRPr="00CD1D9C" w:rsidRDefault="002D0F62">
      <w:pPr>
        <w:pStyle w:val="Style1"/>
      </w:pPr>
      <w:r w:rsidRPr="00CD1D9C">
        <w:t>3.6</w:t>
      </w:r>
      <w:r w:rsidRPr="00CD1D9C">
        <w:tab/>
        <w:t>Nežádoucí účinky</w:t>
      </w:r>
    </w:p>
    <w:p w14:paraId="669C145E" w14:textId="77777777" w:rsidR="00295140" w:rsidRPr="00CD1D9C" w:rsidRDefault="00295140" w:rsidP="00BF03D1">
      <w:pPr>
        <w:spacing w:line="240" w:lineRule="auto"/>
        <w:rPr>
          <w:szCs w:val="22"/>
        </w:rPr>
      </w:pPr>
    </w:p>
    <w:p w14:paraId="6871F765" w14:textId="546A22DE" w:rsidR="00247A48" w:rsidRPr="00CD1D9C" w:rsidRDefault="00E703CC" w:rsidP="00BF03D1">
      <w:pPr>
        <w:spacing w:line="240" w:lineRule="auto"/>
        <w:rPr>
          <w:szCs w:val="22"/>
        </w:rPr>
      </w:pPr>
      <w:r w:rsidRPr="00CD1D9C">
        <w:rPr>
          <w:szCs w:val="22"/>
        </w:rPr>
        <w:t>Nejsou známy.</w:t>
      </w:r>
    </w:p>
    <w:p w14:paraId="06C89257" w14:textId="57A2D877" w:rsidR="00475B54" w:rsidRPr="00CD1D9C" w:rsidRDefault="00475B54" w:rsidP="00BF03D1">
      <w:pPr>
        <w:spacing w:line="240" w:lineRule="auto"/>
        <w:rPr>
          <w:szCs w:val="22"/>
        </w:rPr>
      </w:pPr>
    </w:p>
    <w:p w14:paraId="1D57244D" w14:textId="0798D802" w:rsidR="00475B54" w:rsidRPr="00CD1D9C" w:rsidRDefault="00475B54" w:rsidP="00B07C2B">
      <w:pPr>
        <w:jc w:val="both"/>
        <w:rPr>
          <w:szCs w:val="22"/>
        </w:rPr>
      </w:pPr>
      <w:bookmarkStart w:id="6" w:name="_Hlk66891708"/>
      <w:r w:rsidRPr="00CD1D9C"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CD1D9C">
        <w:t> </w:t>
      </w:r>
      <w:r w:rsidRPr="00CD1D9C">
        <w:t xml:space="preserve">držiteli rozhodnutí o registraci, nebo jeho místnímu zástupci, nebo příslušnému vnitrostátnímu orgánu prostřednictvím národního systému hlášení. </w:t>
      </w:r>
      <w:bookmarkEnd w:id="6"/>
      <w:r w:rsidRPr="00CD1D9C">
        <w:t>Podrobné kontaktní údaje naleznete v bodě „Kontaktní údaje“ příbalové informace.</w:t>
      </w:r>
    </w:p>
    <w:p w14:paraId="6E63DDAE" w14:textId="77777777" w:rsidR="00E703CC" w:rsidRPr="00CD1D9C" w:rsidRDefault="00E703CC" w:rsidP="00D060C9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CD1D9C" w:rsidRDefault="002D0F62" w:rsidP="00D060C9">
      <w:pPr>
        <w:pStyle w:val="Style1"/>
      </w:pPr>
      <w:r w:rsidRPr="00CD1D9C">
        <w:t>3.7</w:t>
      </w:r>
      <w:r w:rsidRPr="00CD1D9C">
        <w:tab/>
        <w:t>Použití v průběhu březosti, laktace nebo snášky</w:t>
      </w:r>
    </w:p>
    <w:p w14:paraId="0DFBFADE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5898E14B" w14:textId="60483B49" w:rsidR="00C114FF" w:rsidRPr="00CD1D9C" w:rsidRDefault="00502F86">
      <w:pPr>
        <w:tabs>
          <w:tab w:val="clear" w:pos="567"/>
        </w:tabs>
        <w:spacing w:line="240" w:lineRule="auto"/>
        <w:rPr>
          <w:szCs w:val="22"/>
        </w:rPr>
      </w:pPr>
      <w:r w:rsidRPr="00CD1D9C">
        <w:t>Nebyla stanovena bezpečnost veterinárního léčivého přípravku pro použití během březosti</w:t>
      </w:r>
      <w:r w:rsidR="00443F69" w:rsidRPr="00CD1D9C">
        <w:t>.</w:t>
      </w:r>
      <w:r w:rsidRPr="00CD1D9C">
        <w:t xml:space="preserve"> </w:t>
      </w:r>
    </w:p>
    <w:p w14:paraId="7C07D6A1" w14:textId="6BDDD1A5" w:rsidR="00C114FF" w:rsidRPr="00CD1D9C" w:rsidRDefault="00C114FF" w:rsidP="00D060C9">
      <w:pPr>
        <w:tabs>
          <w:tab w:val="clear" w:pos="567"/>
        </w:tabs>
        <w:spacing w:line="240" w:lineRule="auto"/>
        <w:rPr>
          <w:u w:val="single"/>
        </w:rPr>
      </w:pPr>
    </w:p>
    <w:p w14:paraId="060EDBF1" w14:textId="7FE69F89" w:rsidR="00C114FF" w:rsidRPr="00CD1D9C" w:rsidRDefault="002D0F62" w:rsidP="00D060C9">
      <w:pPr>
        <w:tabs>
          <w:tab w:val="clear" w:pos="567"/>
        </w:tabs>
        <w:spacing w:line="240" w:lineRule="auto"/>
        <w:rPr>
          <w:szCs w:val="22"/>
        </w:rPr>
      </w:pPr>
      <w:r w:rsidRPr="00CD1D9C">
        <w:rPr>
          <w:szCs w:val="22"/>
          <w:u w:val="single"/>
        </w:rPr>
        <w:t>Laktace</w:t>
      </w:r>
      <w:r w:rsidRPr="00CD1D9C">
        <w:t>:</w:t>
      </w:r>
    </w:p>
    <w:p w14:paraId="535FF18E" w14:textId="26A43B3E" w:rsidR="00B45E81" w:rsidRPr="00CD1D9C" w:rsidRDefault="00B45E81" w:rsidP="00BF03D1">
      <w:pPr>
        <w:spacing w:line="240" w:lineRule="auto"/>
        <w:rPr>
          <w:bCs/>
          <w:iCs/>
        </w:rPr>
      </w:pPr>
      <w:r w:rsidRPr="00CD1D9C">
        <w:rPr>
          <w:bCs/>
          <w:iCs/>
        </w:rPr>
        <w:t>Lze použít během laktace.</w:t>
      </w:r>
    </w:p>
    <w:p w14:paraId="45A16993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CD1D9C" w:rsidRDefault="002D0F62" w:rsidP="00D060C9">
      <w:pPr>
        <w:pStyle w:val="Style1"/>
      </w:pPr>
      <w:r w:rsidRPr="00CD1D9C">
        <w:t>3.8</w:t>
      </w:r>
      <w:r w:rsidRPr="00CD1D9C">
        <w:tab/>
        <w:t>Interakce s jinými léčivými přípravky a další formy interakce</w:t>
      </w:r>
    </w:p>
    <w:p w14:paraId="54454937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3E98AAA5" w14:textId="721C8DEC" w:rsidR="00B45E81" w:rsidRPr="00CD1D9C" w:rsidRDefault="00B45E81" w:rsidP="00BF03D1">
      <w:pPr>
        <w:spacing w:line="240" w:lineRule="auto"/>
        <w:jc w:val="both"/>
        <w:rPr>
          <w:szCs w:val="24"/>
          <w:lang w:eastAsia="cs-CZ"/>
        </w:rPr>
      </w:pPr>
      <w:r w:rsidRPr="00CD1D9C">
        <w:rPr>
          <w:szCs w:val="24"/>
          <w:lang w:eastAsia="cs-CZ"/>
        </w:rPr>
        <w:t xml:space="preserve">Je znám synergický účinek při kombinované terapii s folikuly stimulujícím hormonem (FSH) </w:t>
      </w:r>
      <w:bookmarkStart w:id="7" w:name="_Hlk120270028"/>
      <w:r w:rsidR="008C4015" w:rsidRPr="00CD1D9C">
        <w:t>zvláště v</w:t>
      </w:r>
      <w:r w:rsidR="00CD1D9C">
        <w:t> </w:t>
      </w:r>
      <w:r w:rsidR="008C4015" w:rsidRPr="00CD1D9C">
        <w:t xml:space="preserve">případě narušeného průběhu puerperia. </w:t>
      </w:r>
      <w:bookmarkEnd w:id="7"/>
      <w:r w:rsidRPr="00CD1D9C">
        <w:rPr>
          <w:szCs w:val="24"/>
          <w:lang w:eastAsia="cs-CZ"/>
        </w:rPr>
        <w:t>Současná aplikace s humánním choriovým gonadotropinem (HCG) může vést k nadměrné stimulaci ovarií.</w:t>
      </w:r>
    </w:p>
    <w:p w14:paraId="0B86F3A7" w14:textId="77777777" w:rsidR="00C90EDA" w:rsidRPr="00CD1D9C" w:rsidRDefault="00C90EDA" w:rsidP="00D060C9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CD1D9C" w:rsidRDefault="002D0F62" w:rsidP="00B07C2B">
      <w:pPr>
        <w:pStyle w:val="Style1"/>
        <w:keepNext/>
      </w:pPr>
      <w:r w:rsidRPr="00CD1D9C">
        <w:lastRenderedPageBreak/>
        <w:t>3.9</w:t>
      </w:r>
      <w:r w:rsidRPr="00CD1D9C">
        <w:tab/>
        <w:t>Cesty podání a dávkování</w:t>
      </w:r>
    </w:p>
    <w:p w14:paraId="0C31E074" w14:textId="77777777" w:rsidR="00145D34" w:rsidRPr="00CD1D9C" w:rsidRDefault="00145D34" w:rsidP="00B07C2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3771E23" w14:textId="7A1E3926" w:rsidR="006B3334" w:rsidRPr="00CD1D9C" w:rsidRDefault="0089785A" w:rsidP="00BF03D1">
      <w:pPr>
        <w:spacing w:line="240" w:lineRule="auto"/>
        <w:rPr>
          <w:lang w:eastAsia="cs-CZ"/>
        </w:rPr>
      </w:pPr>
      <w:bookmarkStart w:id="8" w:name="_Hlk111144733"/>
      <w:r w:rsidRPr="00CD1D9C">
        <w:rPr>
          <w:lang w:eastAsia="cs-CZ"/>
        </w:rPr>
        <w:t>Jednorázové i</w:t>
      </w:r>
      <w:r w:rsidR="006B3334" w:rsidRPr="00CD1D9C">
        <w:rPr>
          <w:lang w:eastAsia="cs-CZ"/>
        </w:rPr>
        <w:t>ntramuskulární podání.</w:t>
      </w:r>
      <w:r w:rsidR="006B3334" w:rsidRPr="00CD1D9C">
        <w:rPr>
          <w:lang w:eastAsia="cs-CZ"/>
        </w:rPr>
        <w:br/>
      </w:r>
    </w:p>
    <w:p w14:paraId="5BCBD664" w14:textId="748372B1" w:rsidR="006B3334" w:rsidRPr="00CD1D9C" w:rsidRDefault="006B3334" w:rsidP="00BF03D1">
      <w:pPr>
        <w:spacing w:line="240" w:lineRule="auto"/>
        <w:rPr>
          <w:lang w:eastAsia="cs-CZ"/>
        </w:rPr>
      </w:pPr>
      <w:r w:rsidRPr="00CD1D9C">
        <w:rPr>
          <w:lang w:eastAsia="cs-CZ"/>
        </w:rPr>
        <w:t xml:space="preserve">Podávané množství přípravku pro jednotlivé </w:t>
      </w:r>
      <w:r w:rsidR="00C17C0B" w:rsidRPr="00CD1D9C">
        <w:rPr>
          <w:lang w:eastAsia="cs-CZ"/>
        </w:rPr>
        <w:t>druhy</w:t>
      </w:r>
      <w:r w:rsidRPr="00CD1D9C">
        <w:rPr>
          <w:lang w:eastAsia="cs-CZ"/>
        </w:rPr>
        <w:t xml:space="preserve"> zvířat:</w:t>
      </w:r>
    </w:p>
    <w:p w14:paraId="12E78DDB" w14:textId="77777777" w:rsidR="00C17C0B" w:rsidRPr="00CD1D9C" w:rsidRDefault="006B3334">
      <w:pPr>
        <w:spacing w:line="240" w:lineRule="auto"/>
        <w:rPr>
          <w:lang w:eastAsia="cs-CZ"/>
        </w:rPr>
      </w:pPr>
      <w:r w:rsidRPr="00CD1D9C">
        <w:rPr>
          <w:lang w:eastAsia="cs-CZ"/>
        </w:rPr>
        <w:t xml:space="preserve">Skot (krávy, jalovice) intramuskulární podání 1,0 – 2,0 ml </w:t>
      </w:r>
      <w:bookmarkStart w:id="9" w:name="_Hlk120270204"/>
      <w:r w:rsidR="00C17C0B" w:rsidRPr="00CD1D9C">
        <w:rPr>
          <w:lang w:eastAsia="cs-CZ"/>
        </w:rPr>
        <w:t xml:space="preserve">veterinárního léčivého přípravku </w:t>
      </w:r>
      <w:bookmarkEnd w:id="9"/>
    </w:p>
    <w:p w14:paraId="52728AF8" w14:textId="71D3F54C" w:rsidR="006B3334" w:rsidRPr="00CD1D9C" w:rsidRDefault="006B3334" w:rsidP="00BF03D1">
      <w:pPr>
        <w:spacing w:line="240" w:lineRule="auto"/>
        <w:rPr>
          <w:lang w:eastAsia="cs-CZ"/>
        </w:rPr>
      </w:pPr>
      <w:r w:rsidRPr="00CD1D9C">
        <w:rPr>
          <w:lang w:eastAsia="cs-CZ"/>
        </w:rPr>
        <w:t xml:space="preserve">(odpovídá </w:t>
      </w:r>
      <w:r w:rsidR="003C3B0A" w:rsidRPr="00CD1D9C">
        <w:rPr>
          <w:lang w:eastAsia="cs-CZ"/>
        </w:rPr>
        <w:t>50–100</w:t>
      </w:r>
      <w:r w:rsidRPr="00CD1D9C">
        <w:rPr>
          <w:lang w:eastAsia="cs-CZ"/>
        </w:rPr>
        <w:t xml:space="preserve"> µg gonadorelinu </w:t>
      </w:r>
      <w:r w:rsidRPr="00CD1D9C">
        <w:t>[6-D-Phe])</w:t>
      </w:r>
    </w:p>
    <w:p w14:paraId="0F4A37B2" w14:textId="77777777" w:rsidR="006B3334" w:rsidRPr="00CD1D9C" w:rsidRDefault="006B3334" w:rsidP="00BF03D1">
      <w:pPr>
        <w:spacing w:line="240" w:lineRule="auto"/>
        <w:rPr>
          <w:lang w:eastAsia="cs-CZ"/>
        </w:rPr>
      </w:pPr>
      <w:r w:rsidRPr="00CD1D9C">
        <w:rPr>
          <w:lang w:eastAsia="cs-CZ"/>
        </w:rPr>
        <w:t>- indukce ovulace při umělé inseminaci</w:t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  <w:t>2,0 ml</w:t>
      </w:r>
      <w:r w:rsidRPr="00CD1D9C">
        <w:rPr>
          <w:lang w:eastAsia="cs-CZ"/>
        </w:rPr>
        <w:br/>
        <w:t>- synchronizace ovulace po synchronizaci říje</w:t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  <w:t>1,0 ml</w:t>
      </w:r>
      <w:r w:rsidRPr="00CD1D9C">
        <w:rPr>
          <w:lang w:eastAsia="cs-CZ"/>
        </w:rPr>
        <w:br/>
        <w:t xml:space="preserve">- stimulace ovarií v puerperiu od 12. dne </w:t>
      </w:r>
      <w:r w:rsidRPr="00CD1D9C">
        <w:rPr>
          <w:i/>
          <w:iCs/>
          <w:lang w:eastAsia="cs-CZ"/>
        </w:rPr>
        <w:t>post partum</w:t>
      </w:r>
      <w:r w:rsidRPr="00CD1D9C">
        <w:rPr>
          <w:lang w:eastAsia="cs-CZ"/>
        </w:rPr>
        <w:tab/>
      </w:r>
      <w:r w:rsidRPr="00CD1D9C">
        <w:rPr>
          <w:lang w:eastAsia="cs-CZ"/>
        </w:rPr>
        <w:tab/>
        <w:t>1,0 ml</w:t>
      </w:r>
    </w:p>
    <w:p w14:paraId="2D4754D9" w14:textId="77777777" w:rsidR="006B3334" w:rsidRPr="00CD1D9C" w:rsidRDefault="006B3334" w:rsidP="00BF03D1">
      <w:pPr>
        <w:spacing w:line="240" w:lineRule="auto"/>
        <w:rPr>
          <w:lang w:eastAsia="cs-CZ"/>
        </w:rPr>
      </w:pPr>
      <w:r w:rsidRPr="00CD1D9C">
        <w:rPr>
          <w:lang w:eastAsia="cs-CZ"/>
        </w:rPr>
        <w:t>- stimulace ovarií ke zlepšení koncepce po umělé inseminaci</w:t>
      </w:r>
      <w:r w:rsidRPr="00CD1D9C">
        <w:rPr>
          <w:lang w:eastAsia="cs-CZ"/>
        </w:rPr>
        <w:tab/>
        <w:t>1,0 ml</w:t>
      </w:r>
      <w:r w:rsidRPr="00CD1D9C">
        <w:rPr>
          <w:lang w:eastAsia="cs-CZ"/>
        </w:rPr>
        <w:br/>
        <w:t>- léčba ovariálních cyst</w:t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  <w:t>2,0 ml</w:t>
      </w:r>
    </w:p>
    <w:p w14:paraId="248ED09E" w14:textId="77777777" w:rsidR="006B3334" w:rsidRPr="00CD1D9C" w:rsidRDefault="006B3334" w:rsidP="00BF03D1">
      <w:pPr>
        <w:spacing w:line="240" w:lineRule="auto"/>
        <w:rPr>
          <w:lang w:eastAsia="cs-CZ"/>
        </w:rPr>
      </w:pPr>
    </w:p>
    <w:p w14:paraId="3167D246" w14:textId="34A7F81C" w:rsidR="006B3334" w:rsidRPr="00CD1D9C" w:rsidRDefault="006B3334" w:rsidP="00BF03D1">
      <w:pPr>
        <w:spacing w:line="240" w:lineRule="auto"/>
        <w:rPr>
          <w:lang w:eastAsia="cs-CZ"/>
        </w:rPr>
      </w:pPr>
      <w:r w:rsidRPr="00CD1D9C">
        <w:rPr>
          <w:lang w:eastAsia="cs-CZ"/>
        </w:rPr>
        <w:t xml:space="preserve">Prasata (prasnice, prasničky) intramuskulární podání 0,5 - 1,5 ml </w:t>
      </w:r>
      <w:r w:rsidR="0089785A" w:rsidRPr="00CD1D9C">
        <w:rPr>
          <w:lang w:eastAsia="cs-CZ"/>
        </w:rPr>
        <w:t xml:space="preserve">veterinárního léčivého přípravku </w:t>
      </w:r>
      <w:r w:rsidRPr="00CD1D9C">
        <w:rPr>
          <w:lang w:eastAsia="cs-CZ"/>
        </w:rPr>
        <w:t xml:space="preserve">(odpovídá </w:t>
      </w:r>
      <w:r w:rsidR="00D23956" w:rsidRPr="00CD1D9C">
        <w:rPr>
          <w:lang w:eastAsia="cs-CZ"/>
        </w:rPr>
        <w:t>25–75</w:t>
      </w:r>
      <w:r w:rsidRPr="00CD1D9C">
        <w:rPr>
          <w:lang w:eastAsia="cs-CZ"/>
        </w:rPr>
        <w:t xml:space="preserve"> µg gonadorelinu </w:t>
      </w:r>
      <w:r w:rsidRPr="00CD1D9C">
        <w:t>[6-D-Phe])</w:t>
      </w:r>
      <w:r w:rsidRPr="00CD1D9C">
        <w:rPr>
          <w:lang w:eastAsia="cs-CZ"/>
        </w:rPr>
        <w:br/>
        <w:t>- synchronizace ovulace při termínované inseminaci</w:t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  <w:r w:rsidRPr="00CD1D9C">
        <w:rPr>
          <w:lang w:eastAsia="cs-CZ"/>
        </w:rPr>
        <w:tab/>
      </w:r>
    </w:p>
    <w:p w14:paraId="0443D132" w14:textId="2AE60CEF" w:rsidR="006B3334" w:rsidRPr="00CD1D9C" w:rsidRDefault="006B3334" w:rsidP="00BF03D1">
      <w:pPr>
        <w:spacing w:line="240" w:lineRule="auto"/>
        <w:ind w:left="142"/>
        <w:rPr>
          <w:lang w:eastAsia="cs-CZ"/>
        </w:rPr>
      </w:pPr>
      <w:r w:rsidRPr="00CD1D9C">
        <w:rPr>
          <w:lang w:eastAsia="cs-CZ"/>
        </w:rPr>
        <w:t>Prasnice</w:t>
      </w:r>
      <w:r w:rsidRPr="00CD1D9C">
        <w:rPr>
          <w:lang w:eastAsia="cs-CZ"/>
        </w:rPr>
        <w:tab/>
      </w:r>
      <w:r w:rsidRPr="00CD1D9C">
        <w:rPr>
          <w:lang w:eastAsia="cs-CZ"/>
        </w:rPr>
        <w:tab/>
        <w:t>0,5 - 1,0 ml</w:t>
      </w:r>
      <w:r w:rsidRPr="00CD1D9C">
        <w:rPr>
          <w:lang w:eastAsia="cs-CZ"/>
        </w:rPr>
        <w:br/>
        <w:t>Prasničky</w:t>
      </w:r>
      <w:r w:rsidRPr="00CD1D9C">
        <w:rPr>
          <w:lang w:eastAsia="cs-CZ"/>
        </w:rPr>
        <w:tab/>
      </w:r>
      <w:r w:rsidRPr="00CD1D9C">
        <w:rPr>
          <w:lang w:eastAsia="cs-CZ"/>
        </w:rPr>
        <w:tab/>
        <w:t>1,0 - 1,5 ml</w:t>
      </w:r>
    </w:p>
    <w:p w14:paraId="38BD21CA" w14:textId="77777777" w:rsidR="006B3334" w:rsidRPr="00CD1D9C" w:rsidRDefault="006B3334" w:rsidP="00BF03D1">
      <w:pPr>
        <w:spacing w:line="240" w:lineRule="auto"/>
        <w:rPr>
          <w:lang w:eastAsia="cs-CZ"/>
        </w:rPr>
      </w:pPr>
      <w:r w:rsidRPr="00CD1D9C">
        <w:rPr>
          <w:lang w:eastAsia="cs-CZ"/>
        </w:rPr>
        <w:t>- podpora funkce žlutého tělíska ve 12.-14. dni gravidity:</w:t>
      </w:r>
    </w:p>
    <w:p w14:paraId="4AC605D1" w14:textId="77777777" w:rsidR="006B3334" w:rsidRPr="00CD1D9C" w:rsidRDefault="006B3334" w:rsidP="00BF03D1">
      <w:pPr>
        <w:spacing w:line="240" w:lineRule="auto"/>
        <w:ind w:left="142"/>
        <w:rPr>
          <w:lang w:eastAsia="cs-CZ"/>
        </w:rPr>
      </w:pPr>
      <w:r w:rsidRPr="00CD1D9C">
        <w:rPr>
          <w:lang w:eastAsia="cs-CZ"/>
        </w:rPr>
        <w:t>Prasnice, prasničky</w:t>
      </w:r>
      <w:r w:rsidRPr="00CD1D9C">
        <w:rPr>
          <w:lang w:eastAsia="cs-CZ"/>
        </w:rPr>
        <w:tab/>
        <w:t>1,0 ml</w:t>
      </w:r>
    </w:p>
    <w:p w14:paraId="29DA0F0D" w14:textId="77777777" w:rsidR="006B3334" w:rsidRPr="00CD1D9C" w:rsidRDefault="006B3334" w:rsidP="00BF03D1">
      <w:pPr>
        <w:spacing w:line="240" w:lineRule="auto"/>
        <w:rPr>
          <w:lang w:eastAsia="cs-CZ"/>
        </w:rPr>
      </w:pPr>
    </w:p>
    <w:p w14:paraId="04E9946D" w14:textId="77777777" w:rsidR="0089785A" w:rsidRPr="00CD1D9C" w:rsidRDefault="006B3334">
      <w:pPr>
        <w:spacing w:line="240" w:lineRule="auto"/>
        <w:rPr>
          <w:lang w:eastAsia="cs-CZ"/>
        </w:rPr>
      </w:pPr>
      <w:r w:rsidRPr="00CD1D9C">
        <w:rPr>
          <w:lang w:eastAsia="cs-CZ"/>
        </w:rPr>
        <w:t xml:space="preserve">Koně (klisny) intramuskulární podání 2,0 ml </w:t>
      </w:r>
      <w:r w:rsidR="0089785A" w:rsidRPr="00CD1D9C">
        <w:rPr>
          <w:lang w:eastAsia="cs-CZ"/>
        </w:rPr>
        <w:t>veterinárního léčivého přípravku</w:t>
      </w:r>
    </w:p>
    <w:p w14:paraId="26F1A417" w14:textId="2FDE9C71" w:rsidR="006B3334" w:rsidRPr="00CD1D9C" w:rsidRDefault="006B3334" w:rsidP="00BF03D1">
      <w:pPr>
        <w:spacing w:line="240" w:lineRule="auto"/>
        <w:rPr>
          <w:lang w:eastAsia="cs-CZ"/>
        </w:rPr>
      </w:pPr>
      <w:r w:rsidRPr="00CD1D9C">
        <w:rPr>
          <w:lang w:eastAsia="cs-CZ"/>
        </w:rPr>
        <w:t xml:space="preserve">(odpovídá 100 µg gonadorelinu </w:t>
      </w:r>
      <w:r w:rsidRPr="00CD1D9C">
        <w:t>[6-D-Phe])</w:t>
      </w:r>
      <w:r w:rsidRPr="00CD1D9C">
        <w:rPr>
          <w:lang w:eastAsia="cs-CZ"/>
        </w:rPr>
        <w:br/>
        <w:t>- insuficience reprodukčního cyklu v důsledku nedostatku LH (anestr</w:t>
      </w:r>
      <w:r w:rsidR="0089785A" w:rsidRPr="00CD1D9C">
        <w:rPr>
          <w:lang w:eastAsia="cs-CZ"/>
        </w:rPr>
        <w:t>us</w:t>
      </w:r>
      <w:r w:rsidRPr="00CD1D9C">
        <w:rPr>
          <w:lang w:eastAsia="cs-CZ"/>
        </w:rPr>
        <w:t>, acyklie)</w:t>
      </w:r>
      <w:r w:rsidRPr="00CD1D9C">
        <w:rPr>
          <w:lang w:eastAsia="cs-CZ"/>
        </w:rPr>
        <w:tab/>
        <w:t>2,0 ml</w:t>
      </w:r>
    </w:p>
    <w:bookmarkEnd w:id="8"/>
    <w:p w14:paraId="2035939C" w14:textId="77777777" w:rsidR="00502F86" w:rsidRPr="00CD1D9C" w:rsidRDefault="00502F86" w:rsidP="00D060C9">
      <w:pPr>
        <w:tabs>
          <w:tab w:val="clear" w:pos="567"/>
        </w:tabs>
        <w:spacing w:line="240" w:lineRule="auto"/>
        <w:rPr>
          <w:szCs w:val="22"/>
        </w:rPr>
      </w:pPr>
    </w:p>
    <w:p w14:paraId="04AE2788" w14:textId="3D601A90" w:rsidR="00B45E81" w:rsidRPr="00CD1D9C" w:rsidRDefault="00B45E81" w:rsidP="00B07C2B">
      <w:pPr>
        <w:spacing w:line="240" w:lineRule="auto"/>
        <w:jc w:val="both"/>
      </w:pPr>
      <w:bookmarkStart w:id="10" w:name="_Hlk81987168"/>
      <w:r w:rsidRPr="00CD1D9C">
        <w:t xml:space="preserve">Pryžovou zátku injekční lahvičky je možné bezpečně propíchnout až 30krát. </w:t>
      </w:r>
      <w:r w:rsidR="0089785A" w:rsidRPr="00CD1D9C">
        <w:t xml:space="preserve">U </w:t>
      </w:r>
      <w:r w:rsidRPr="00CD1D9C">
        <w:t>50 ml injekční lahvičk</w:t>
      </w:r>
      <w:r w:rsidR="0089785A" w:rsidRPr="00CD1D9C">
        <w:t>y</w:t>
      </w:r>
      <w:r w:rsidRPr="00CD1D9C">
        <w:t xml:space="preserve"> je potřeba použít </w:t>
      </w:r>
      <w:r w:rsidR="00E034C1" w:rsidRPr="00CD1D9C">
        <w:t xml:space="preserve">injekční dávkovací </w:t>
      </w:r>
      <w:r w:rsidRPr="00CD1D9C">
        <w:t>automat nebo vhodnou odběrovou jehlu, aby se zabránilo nadměrnému propichování uzávěru.</w:t>
      </w:r>
    </w:p>
    <w:p w14:paraId="5814AD47" w14:textId="77777777" w:rsidR="00B45E81" w:rsidRPr="00CD1D9C" w:rsidRDefault="00B45E81" w:rsidP="00BF03D1">
      <w:pPr>
        <w:spacing w:line="240" w:lineRule="auto"/>
      </w:pPr>
    </w:p>
    <w:bookmarkEnd w:id="10"/>
    <w:p w14:paraId="0A85AF50" w14:textId="198BF553" w:rsidR="00C114FF" w:rsidRPr="00CD1D9C" w:rsidRDefault="002D0F62" w:rsidP="00D060C9">
      <w:pPr>
        <w:pStyle w:val="Style1"/>
      </w:pPr>
      <w:r w:rsidRPr="00CD1D9C">
        <w:t>3.10</w:t>
      </w:r>
      <w:r w:rsidRPr="00CD1D9C">
        <w:tab/>
        <w:t xml:space="preserve">Příznaky předávkování </w:t>
      </w:r>
      <w:r w:rsidR="00EC5045" w:rsidRPr="00CD1D9C">
        <w:t>(</w:t>
      </w:r>
      <w:r w:rsidRPr="00CD1D9C">
        <w:t xml:space="preserve">a </w:t>
      </w:r>
      <w:r w:rsidR="00202A85" w:rsidRPr="00CD1D9C">
        <w:t>kde</w:t>
      </w:r>
      <w:r w:rsidR="005E66FC" w:rsidRPr="00CD1D9C">
        <w:t xml:space="preserve"> </w:t>
      </w:r>
      <w:r w:rsidR="00202A85" w:rsidRPr="00CD1D9C">
        <w:t>je</w:t>
      </w:r>
      <w:r w:rsidR="005E66FC" w:rsidRPr="00CD1D9C">
        <w:t xml:space="preserve"> </w:t>
      </w:r>
      <w:r w:rsidR="00FB6F2F" w:rsidRPr="00CD1D9C">
        <w:t>relevantní</w:t>
      </w:r>
      <w:r w:rsidR="00202A85" w:rsidRPr="00CD1D9C">
        <w:t>, první pomoc</w:t>
      </w:r>
      <w:r w:rsidRPr="00CD1D9C">
        <w:t xml:space="preserve"> a antidota</w:t>
      </w:r>
      <w:r w:rsidR="00202A85" w:rsidRPr="00CD1D9C">
        <w:t>)</w:t>
      </w:r>
      <w:r w:rsidRPr="00CD1D9C">
        <w:t xml:space="preserve"> </w:t>
      </w:r>
    </w:p>
    <w:p w14:paraId="109B00D7" w14:textId="77777777" w:rsidR="00BA591D" w:rsidRPr="00CD1D9C" w:rsidRDefault="00BA591D" w:rsidP="00BF03D1">
      <w:pPr>
        <w:spacing w:line="240" w:lineRule="auto"/>
        <w:rPr>
          <w:szCs w:val="24"/>
          <w:lang w:eastAsia="cs-CZ"/>
        </w:rPr>
      </w:pPr>
    </w:p>
    <w:p w14:paraId="48E68480" w14:textId="28EFBFBA" w:rsidR="00760AAD" w:rsidRPr="00CD1D9C" w:rsidRDefault="00760AAD" w:rsidP="00BF03D1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>Nejsou známy.</w:t>
      </w:r>
    </w:p>
    <w:p w14:paraId="45A34650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CD1D9C" w:rsidRDefault="002D0F62" w:rsidP="00D060C9">
      <w:pPr>
        <w:pStyle w:val="Style1"/>
      </w:pPr>
      <w:r w:rsidRPr="00CD1D9C">
        <w:t>3.11</w:t>
      </w:r>
      <w:r w:rsidRPr="00CD1D9C">
        <w:tab/>
        <w:t>Zvláštní omezení pro použití a zvláštní podmínky pro použití, včetně omezení používání antimikrob</w:t>
      </w:r>
      <w:r w:rsidR="00202A85" w:rsidRPr="00CD1D9C">
        <w:t>ních</w:t>
      </w:r>
      <w:r w:rsidRPr="00CD1D9C">
        <w:t xml:space="preserve"> a antiparazitárních veterinárních léčivých přípravků, za účelem snížení rizika rozvoje rezistence</w:t>
      </w:r>
    </w:p>
    <w:p w14:paraId="3E58438E" w14:textId="77777777" w:rsidR="009A6509" w:rsidRPr="00CD1D9C" w:rsidRDefault="009A6509" w:rsidP="00BF03D1">
      <w:pPr>
        <w:spacing w:line="240" w:lineRule="auto"/>
        <w:rPr>
          <w:szCs w:val="22"/>
        </w:rPr>
      </w:pPr>
    </w:p>
    <w:p w14:paraId="5B24853D" w14:textId="763CA9D1" w:rsidR="009A6509" w:rsidRPr="00CD1D9C" w:rsidRDefault="002D0F62" w:rsidP="00D060C9">
      <w:pPr>
        <w:tabs>
          <w:tab w:val="clear" w:pos="567"/>
        </w:tabs>
        <w:spacing w:line="240" w:lineRule="auto"/>
        <w:rPr>
          <w:szCs w:val="22"/>
        </w:rPr>
      </w:pPr>
      <w:r w:rsidRPr="00CD1D9C">
        <w:t>Neuplatňuje se.</w:t>
      </w:r>
    </w:p>
    <w:p w14:paraId="23184928" w14:textId="77777777" w:rsidR="009A6509" w:rsidRPr="00CD1D9C" w:rsidRDefault="009A6509" w:rsidP="00D060C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CD1D9C" w:rsidRDefault="002D0F62" w:rsidP="00D060C9">
      <w:pPr>
        <w:pStyle w:val="Style1"/>
      </w:pPr>
      <w:r w:rsidRPr="00CD1D9C">
        <w:t>3.12</w:t>
      </w:r>
      <w:r w:rsidRPr="00CD1D9C">
        <w:tab/>
        <w:t>Ochranné lhůty</w:t>
      </w:r>
    </w:p>
    <w:p w14:paraId="2DC95067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C88A9AE" w14:textId="20D594C9" w:rsidR="00760AAD" w:rsidRPr="00CD1D9C" w:rsidRDefault="00760AAD" w:rsidP="00BF03D1">
      <w:pPr>
        <w:spacing w:line="240" w:lineRule="auto"/>
        <w:outlineLvl w:val="3"/>
        <w:rPr>
          <w:bCs/>
          <w:szCs w:val="24"/>
          <w:lang w:eastAsia="cs-CZ"/>
        </w:rPr>
      </w:pPr>
      <w:r w:rsidRPr="00CD1D9C">
        <w:rPr>
          <w:bCs/>
          <w:szCs w:val="24"/>
          <w:lang w:eastAsia="cs-CZ"/>
        </w:rPr>
        <w:t>Skot, prasata, koně:</w:t>
      </w:r>
      <w:r w:rsidR="00502F86" w:rsidRPr="00CD1D9C">
        <w:rPr>
          <w:bCs/>
          <w:szCs w:val="24"/>
          <w:lang w:eastAsia="cs-CZ"/>
        </w:rPr>
        <w:t xml:space="preserve"> </w:t>
      </w:r>
      <w:r w:rsidR="00502F86" w:rsidRPr="00CD1D9C">
        <w:rPr>
          <w:bCs/>
          <w:szCs w:val="24"/>
          <w:lang w:eastAsia="cs-CZ"/>
        </w:rPr>
        <w:tab/>
      </w:r>
      <w:r w:rsidRPr="00CD1D9C">
        <w:rPr>
          <w:szCs w:val="24"/>
          <w:lang w:eastAsia="cs-CZ"/>
        </w:rPr>
        <w:t>Maso:</w:t>
      </w:r>
      <w:r w:rsidR="00502F86" w:rsidRPr="00CD1D9C">
        <w:rPr>
          <w:szCs w:val="24"/>
          <w:lang w:eastAsia="cs-CZ"/>
        </w:rPr>
        <w:t xml:space="preserve"> </w:t>
      </w:r>
      <w:r w:rsidRPr="00CD1D9C">
        <w:rPr>
          <w:szCs w:val="24"/>
          <w:lang w:eastAsia="cs-CZ"/>
        </w:rPr>
        <w:t>Bez ochranných lhůt.</w:t>
      </w:r>
    </w:p>
    <w:p w14:paraId="39205F92" w14:textId="52FE077F" w:rsidR="00760AAD" w:rsidRPr="00CD1D9C" w:rsidRDefault="00760AAD" w:rsidP="00BF03D1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>Skot, koně:</w:t>
      </w:r>
      <w:r w:rsidR="00502F86" w:rsidRPr="00CD1D9C">
        <w:rPr>
          <w:szCs w:val="24"/>
          <w:lang w:eastAsia="cs-CZ"/>
        </w:rPr>
        <w:t xml:space="preserve"> </w:t>
      </w:r>
      <w:r w:rsidR="00502F86" w:rsidRPr="00CD1D9C">
        <w:rPr>
          <w:szCs w:val="24"/>
          <w:lang w:eastAsia="cs-CZ"/>
        </w:rPr>
        <w:tab/>
      </w:r>
      <w:r w:rsidR="00502F86" w:rsidRPr="00CD1D9C">
        <w:rPr>
          <w:szCs w:val="24"/>
          <w:lang w:eastAsia="cs-CZ"/>
        </w:rPr>
        <w:tab/>
      </w:r>
      <w:r w:rsidR="00502F86" w:rsidRPr="00CD1D9C">
        <w:rPr>
          <w:szCs w:val="24"/>
          <w:lang w:eastAsia="cs-CZ"/>
        </w:rPr>
        <w:tab/>
      </w:r>
      <w:r w:rsidRPr="00CD1D9C">
        <w:rPr>
          <w:szCs w:val="24"/>
          <w:lang w:eastAsia="cs-CZ"/>
        </w:rPr>
        <w:t>Mléko: Bez ochranných lhůt</w:t>
      </w:r>
      <w:r w:rsidR="005114A6" w:rsidRPr="00CD1D9C">
        <w:rPr>
          <w:szCs w:val="24"/>
          <w:lang w:eastAsia="cs-CZ"/>
        </w:rPr>
        <w:t>.</w:t>
      </w:r>
    </w:p>
    <w:p w14:paraId="35946CB6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CD1D9C" w:rsidRDefault="00FC02F3" w:rsidP="00D060C9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D3F708E" w:rsidR="00C114FF" w:rsidRPr="00CD1D9C" w:rsidRDefault="002D0F62" w:rsidP="00D060C9">
      <w:pPr>
        <w:pStyle w:val="Style1"/>
      </w:pPr>
      <w:r w:rsidRPr="00CD1D9C">
        <w:t>4.</w:t>
      </w:r>
      <w:r w:rsidRPr="00CD1D9C">
        <w:tab/>
        <w:t>FARMAKOLOGICKÉ</w:t>
      </w:r>
      <w:r w:rsidR="00760AAD" w:rsidRPr="00CD1D9C">
        <w:t xml:space="preserve"> </w:t>
      </w:r>
      <w:r w:rsidRPr="00CD1D9C">
        <w:t>INFORMACE</w:t>
      </w:r>
    </w:p>
    <w:p w14:paraId="2C2A4C50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6DEAA02D" w:rsidR="005B04A8" w:rsidRPr="00CD1D9C" w:rsidRDefault="002D0F62" w:rsidP="00BF03D1">
      <w:pPr>
        <w:pStyle w:val="Style1"/>
        <w:rPr>
          <w:szCs w:val="24"/>
          <w:lang w:eastAsia="cs-CZ"/>
        </w:rPr>
      </w:pPr>
      <w:r w:rsidRPr="00CD1D9C">
        <w:t>4.1</w:t>
      </w:r>
      <w:r w:rsidRPr="00CD1D9C">
        <w:tab/>
        <w:t>ATCvet kód:</w:t>
      </w:r>
      <w:r w:rsidR="00760AAD" w:rsidRPr="00CD1D9C">
        <w:t xml:space="preserve"> </w:t>
      </w:r>
      <w:r w:rsidR="00760AAD" w:rsidRPr="00CD1D9C">
        <w:rPr>
          <w:b w:val="0"/>
          <w:bCs/>
          <w:szCs w:val="24"/>
          <w:lang w:eastAsia="cs-CZ"/>
        </w:rPr>
        <w:t>QH01CA01</w:t>
      </w:r>
    </w:p>
    <w:p w14:paraId="5C965196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0DE855F" w:rsidR="00C114FF" w:rsidRPr="00CD1D9C" w:rsidRDefault="002D0F62" w:rsidP="00B07C2B">
      <w:pPr>
        <w:pStyle w:val="Style1"/>
        <w:keepNext/>
      </w:pPr>
      <w:r w:rsidRPr="00CD1D9C">
        <w:t>4.2</w:t>
      </w:r>
      <w:r w:rsidRPr="00CD1D9C">
        <w:tab/>
        <w:t>Farmakodynamika</w:t>
      </w:r>
    </w:p>
    <w:p w14:paraId="23AF8660" w14:textId="77777777" w:rsidR="003F44FE" w:rsidRPr="00CD1D9C" w:rsidRDefault="003F44FE" w:rsidP="00B07C2B">
      <w:pPr>
        <w:pStyle w:val="Style1"/>
        <w:keepNext/>
      </w:pPr>
    </w:p>
    <w:p w14:paraId="38A52DB4" w14:textId="5D0FBF61" w:rsidR="00502F86" w:rsidRPr="00CD1D9C" w:rsidRDefault="00502F86" w:rsidP="00B07C2B">
      <w:pPr>
        <w:spacing w:line="240" w:lineRule="auto"/>
        <w:jc w:val="both"/>
        <w:rPr>
          <w:szCs w:val="22"/>
          <w:lang w:eastAsia="cs-CZ"/>
        </w:rPr>
      </w:pPr>
      <w:r w:rsidRPr="00CD1D9C">
        <w:rPr>
          <w:lang w:eastAsia="cs-CZ"/>
        </w:rPr>
        <w:t>Gonadorelin</w:t>
      </w:r>
      <w:r w:rsidRPr="00CD1D9C">
        <w:t>[6-D-Phe] se p</w:t>
      </w:r>
      <w:r w:rsidRPr="00CD1D9C">
        <w:rPr>
          <w:szCs w:val="22"/>
          <w:lang w:eastAsia="cs-CZ"/>
        </w:rPr>
        <w:t>o parenterální</w:t>
      </w:r>
      <w:r w:rsidR="0089785A" w:rsidRPr="00CD1D9C">
        <w:rPr>
          <w:szCs w:val="22"/>
          <w:lang w:eastAsia="cs-CZ"/>
        </w:rPr>
        <w:t>m podání</w:t>
      </w:r>
      <w:r w:rsidRPr="00CD1D9C">
        <w:rPr>
          <w:szCs w:val="22"/>
          <w:lang w:eastAsia="cs-CZ"/>
        </w:rPr>
        <w:t xml:space="preserve"> váže na Gn-RH receptory s vyšší afinitou než přírodní RH a je odolnější k degradaci.</w:t>
      </w:r>
    </w:p>
    <w:p w14:paraId="50FA42E3" w14:textId="77777777" w:rsidR="00C114FF" w:rsidRPr="00CD1D9C" w:rsidRDefault="00C114FF" w:rsidP="00B07C2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6BD1C5F5" w:rsidR="00C114FF" w:rsidRPr="00CD1D9C" w:rsidRDefault="002D0F62" w:rsidP="00B07C2B">
      <w:pPr>
        <w:pStyle w:val="Style1"/>
        <w:keepNext/>
      </w:pPr>
      <w:r w:rsidRPr="00CD1D9C">
        <w:lastRenderedPageBreak/>
        <w:t>4.3</w:t>
      </w:r>
      <w:r w:rsidRPr="00CD1D9C">
        <w:tab/>
        <w:t>Farmakokinetika</w:t>
      </w:r>
    </w:p>
    <w:p w14:paraId="69A442E2" w14:textId="77777777" w:rsidR="003F44FE" w:rsidRPr="00CD1D9C" w:rsidRDefault="003F44FE" w:rsidP="00B07C2B">
      <w:pPr>
        <w:pStyle w:val="Style1"/>
        <w:keepNext/>
      </w:pPr>
    </w:p>
    <w:p w14:paraId="473DF70D" w14:textId="0DE0A34F" w:rsidR="00502F86" w:rsidRPr="00CD1D9C" w:rsidRDefault="00502F86" w:rsidP="00B07C2B">
      <w:pPr>
        <w:spacing w:line="240" w:lineRule="auto"/>
        <w:jc w:val="both"/>
        <w:rPr>
          <w:szCs w:val="22"/>
          <w:lang w:eastAsia="cs-CZ"/>
        </w:rPr>
      </w:pPr>
      <w:r w:rsidRPr="00CD1D9C">
        <w:rPr>
          <w:lang w:eastAsia="cs-CZ"/>
        </w:rPr>
        <w:t>Gonadorelin</w:t>
      </w:r>
      <w:r w:rsidRPr="00CD1D9C">
        <w:t>[6-D-Phe] je</w:t>
      </w:r>
      <w:r w:rsidRPr="00CD1D9C">
        <w:rPr>
          <w:szCs w:val="22"/>
          <w:lang w:eastAsia="cs-CZ"/>
        </w:rPr>
        <w:t xml:space="preserve"> metabolizován enzymatickým rozštěpením peptidických vazeb a </w:t>
      </w:r>
      <w:r w:rsidRPr="00CD1D9C">
        <w:rPr>
          <w:lang w:eastAsia="cs-CZ"/>
        </w:rPr>
        <w:t xml:space="preserve">tyto metabolity </w:t>
      </w:r>
      <w:r w:rsidRPr="00CD1D9C">
        <w:rPr>
          <w:szCs w:val="22"/>
          <w:lang w:eastAsia="cs-CZ"/>
        </w:rPr>
        <w:t>jsou vylučovány moč</w:t>
      </w:r>
      <w:r w:rsidRPr="00CD1D9C">
        <w:rPr>
          <w:lang w:eastAsia="cs-CZ"/>
        </w:rPr>
        <w:t>í</w:t>
      </w:r>
      <w:r w:rsidRPr="00CD1D9C">
        <w:rPr>
          <w:szCs w:val="22"/>
          <w:lang w:eastAsia="cs-CZ"/>
        </w:rPr>
        <w:t xml:space="preserve"> nebo </w:t>
      </w:r>
      <w:r w:rsidRPr="00CD1D9C">
        <w:rPr>
          <w:lang w:eastAsia="cs-CZ"/>
        </w:rPr>
        <w:t xml:space="preserve">jsou </w:t>
      </w:r>
      <w:r w:rsidRPr="00CD1D9C">
        <w:rPr>
          <w:szCs w:val="22"/>
          <w:lang w:eastAsia="cs-CZ"/>
        </w:rPr>
        <w:t>přeneseny do jiných metabolických pochodů (např.</w:t>
      </w:r>
      <w:r w:rsidR="00CD1D9C">
        <w:rPr>
          <w:szCs w:val="22"/>
          <w:lang w:eastAsia="cs-CZ"/>
        </w:rPr>
        <w:t> </w:t>
      </w:r>
      <w:r w:rsidRPr="00CD1D9C">
        <w:rPr>
          <w:szCs w:val="22"/>
          <w:lang w:eastAsia="cs-CZ"/>
        </w:rPr>
        <w:t>do</w:t>
      </w:r>
      <w:r w:rsidR="00CD1D9C">
        <w:rPr>
          <w:szCs w:val="22"/>
          <w:lang w:eastAsia="cs-CZ"/>
        </w:rPr>
        <w:t> </w:t>
      </w:r>
      <w:r w:rsidRPr="00CD1D9C">
        <w:rPr>
          <w:szCs w:val="22"/>
          <w:lang w:eastAsia="cs-CZ"/>
        </w:rPr>
        <w:t>citrátového cyklu), aminokyseliny jako produkty štěpení jsou využívány k syntéze bílkovin.</w:t>
      </w:r>
    </w:p>
    <w:p w14:paraId="49C8D96D" w14:textId="2B8353E2" w:rsidR="00BA591D" w:rsidRPr="00CD1D9C" w:rsidRDefault="00BA591D" w:rsidP="00D060C9">
      <w:pPr>
        <w:spacing w:line="240" w:lineRule="auto"/>
        <w:rPr>
          <w:szCs w:val="22"/>
          <w:lang w:eastAsia="cs-CZ"/>
        </w:rPr>
      </w:pPr>
    </w:p>
    <w:p w14:paraId="6835C1DE" w14:textId="77777777" w:rsidR="00BA591D" w:rsidRPr="00CD1D9C" w:rsidRDefault="00BA591D" w:rsidP="00BF03D1">
      <w:pPr>
        <w:spacing w:line="240" w:lineRule="auto"/>
        <w:rPr>
          <w:szCs w:val="22"/>
          <w:lang w:eastAsia="cs-CZ"/>
        </w:rPr>
      </w:pPr>
    </w:p>
    <w:p w14:paraId="1F57863B" w14:textId="77777777" w:rsidR="00C114FF" w:rsidRPr="00CD1D9C" w:rsidRDefault="002D0F62" w:rsidP="00BF03D1">
      <w:pPr>
        <w:pStyle w:val="Style1"/>
        <w:keepNext/>
      </w:pPr>
      <w:r w:rsidRPr="00CD1D9C">
        <w:t>5.</w:t>
      </w:r>
      <w:r w:rsidRPr="00CD1D9C">
        <w:tab/>
        <w:t>FARMACEUTICKÉ ÚDAJE</w:t>
      </w:r>
    </w:p>
    <w:p w14:paraId="7BC53755" w14:textId="77777777" w:rsidR="00C114FF" w:rsidRPr="00CD1D9C" w:rsidRDefault="00C114FF" w:rsidP="00BF03D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CD1D9C" w:rsidRDefault="002D0F62" w:rsidP="00BF03D1">
      <w:pPr>
        <w:pStyle w:val="Style1"/>
        <w:keepNext/>
      </w:pPr>
      <w:r w:rsidRPr="00CD1D9C">
        <w:t>5.1</w:t>
      </w:r>
      <w:r w:rsidRPr="00CD1D9C">
        <w:tab/>
        <w:t>Hlavní inkompatibility</w:t>
      </w:r>
    </w:p>
    <w:p w14:paraId="15C29130" w14:textId="77777777" w:rsidR="00C114FF" w:rsidRPr="00CD1D9C" w:rsidRDefault="00C114FF" w:rsidP="00BF03D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2F24310" w14:textId="2B526CA9" w:rsidR="00C114FF" w:rsidRPr="00CD1D9C" w:rsidRDefault="002D0F62" w:rsidP="00D060C9">
      <w:pPr>
        <w:tabs>
          <w:tab w:val="clear" w:pos="567"/>
        </w:tabs>
        <w:spacing w:line="240" w:lineRule="auto"/>
        <w:rPr>
          <w:szCs w:val="22"/>
        </w:rPr>
      </w:pPr>
      <w:r w:rsidRPr="00CD1D9C">
        <w:t>Studie kompatibility nejsou k dispozici, a proto tento veterinární léčivý přípravek nesmí být mísen s žádnými dalšími veterinárními léčivými přípravky.</w:t>
      </w:r>
    </w:p>
    <w:p w14:paraId="1957C29F" w14:textId="77777777" w:rsidR="00C5114D" w:rsidRPr="00CD1D9C" w:rsidRDefault="00C5114D" w:rsidP="00D060C9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CD1D9C" w:rsidRDefault="002D0F62">
      <w:pPr>
        <w:pStyle w:val="Style1"/>
      </w:pPr>
      <w:r w:rsidRPr="00CD1D9C">
        <w:t>5.2</w:t>
      </w:r>
      <w:r w:rsidRPr="00CD1D9C">
        <w:tab/>
        <w:t>Doba použitelnosti</w:t>
      </w:r>
    </w:p>
    <w:p w14:paraId="100B6613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0E6CD70" w:rsidR="00C114FF" w:rsidRPr="00CD1D9C" w:rsidRDefault="002D0F62">
      <w:pPr>
        <w:tabs>
          <w:tab w:val="clear" w:pos="567"/>
        </w:tabs>
        <w:spacing w:line="240" w:lineRule="auto"/>
        <w:rPr>
          <w:szCs w:val="22"/>
        </w:rPr>
      </w:pPr>
      <w:r w:rsidRPr="00CD1D9C">
        <w:t>Doba použitelnosti veterinárního léčivého přípravku v neporušeném obalu:</w:t>
      </w:r>
      <w:r w:rsidR="00C5114D" w:rsidRPr="00CD1D9C">
        <w:t xml:space="preserve"> 2 roky.</w:t>
      </w:r>
    </w:p>
    <w:p w14:paraId="5DF513F3" w14:textId="19E1C0F9" w:rsidR="00C114FF" w:rsidRPr="00CD1D9C" w:rsidRDefault="002D0F62">
      <w:pPr>
        <w:tabs>
          <w:tab w:val="clear" w:pos="567"/>
        </w:tabs>
        <w:spacing w:line="240" w:lineRule="auto"/>
        <w:rPr>
          <w:szCs w:val="22"/>
        </w:rPr>
      </w:pPr>
      <w:r w:rsidRPr="00CD1D9C">
        <w:t>Doba použitelnosti po prvním otevření vnitřního obalu:</w:t>
      </w:r>
      <w:r w:rsidR="00C5114D" w:rsidRPr="00CD1D9C">
        <w:t xml:space="preserve"> 28 dní.</w:t>
      </w:r>
    </w:p>
    <w:p w14:paraId="3FD4D961" w14:textId="77777777" w:rsidR="00C5114D" w:rsidRPr="00CD1D9C" w:rsidRDefault="00C5114D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CD1D9C" w:rsidRDefault="002D0F62">
      <w:pPr>
        <w:pStyle w:val="Style1"/>
      </w:pPr>
      <w:r w:rsidRPr="00CD1D9C">
        <w:t>5.3</w:t>
      </w:r>
      <w:r w:rsidRPr="00CD1D9C">
        <w:tab/>
        <w:t>Zvláštní opatření pro uchovávání</w:t>
      </w:r>
    </w:p>
    <w:p w14:paraId="7826F268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6683960A" w:rsidR="00C114FF" w:rsidRPr="00CD1D9C" w:rsidRDefault="002D0F62">
      <w:pPr>
        <w:spacing w:line="240" w:lineRule="auto"/>
      </w:pPr>
      <w:bookmarkStart w:id="11" w:name="_Hlk118994643"/>
      <w:r w:rsidRPr="00CD1D9C">
        <w:t>Uchovávejte v chladničce (2 °C – 8 °C).</w:t>
      </w:r>
    </w:p>
    <w:bookmarkEnd w:id="11"/>
    <w:p w14:paraId="54469BFB" w14:textId="77777777" w:rsidR="00C5114D" w:rsidRPr="00CD1D9C" w:rsidRDefault="00C5114D" w:rsidP="00BF03D1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 xml:space="preserve">Uchovávejte injekční lahvičku v krabičce, aby byla chráněna před světlem. </w:t>
      </w:r>
    </w:p>
    <w:p w14:paraId="205A4A8C" w14:textId="779C3D70" w:rsidR="00C114FF" w:rsidRPr="00CD1D9C" w:rsidRDefault="00C5114D" w:rsidP="00BF03D1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>Po otevření uchovávejte při teplotě do 25 °C.</w:t>
      </w:r>
    </w:p>
    <w:p w14:paraId="6537F878" w14:textId="77777777" w:rsidR="00C5114D" w:rsidRPr="00CD1D9C" w:rsidRDefault="00C5114D" w:rsidP="00D060C9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CD1D9C" w:rsidRDefault="002D0F62" w:rsidP="00D060C9">
      <w:pPr>
        <w:pStyle w:val="Style1"/>
      </w:pPr>
      <w:r w:rsidRPr="00CD1D9C">
        <w:t>5.4</w:t>
      </w:r>
      <w:r w:rsidRPr="00CD1D9C">
        <w:tab/>
        <w:t>Druh a složení vnitřního obalu</w:t>
      </w:r>
    </w:p>
    <w:p w14:paraId="3EB26241" w14:textId="77777777" w:rsidR="00C114FF" w:rsidRPr="00CD1D9C" w:rsidRDefault="00C114FF">
      <w:pPr>
        <w:pStyle w:val="Style1"/>
      </w:pPr>
    </w:p>
    <w:p w14:paraId="148A6F29" w14:textId="7DA929BB" w:rsidR="00C5114D" w:rsidRPr="00CD1D9C" w:rsidRDefault="00C5114D" w:rsidP="00BF03D1">
      <w:pPr>
        <w:spacing w:line="240" w:lineRule="auto"/>
        <w:rPr>
          <w:szCs w:val="24"/>
          <w:lang w:eastAsia="cs-CZ"/>
        </w:rPr>
      </w:pPr>
      <w:bookmarkStart w:id="12" w:name="_Hlk81993691"/>
      <w:bookmarkStart w:id="13" w:name="_Hlk118994725"/>
      <w:r w:rsidRPr="00CD1D9C">
        <w:rPr>
          <w:szCs w:val="24"/>
          <w:lang w:eastAsia="cs-CZ"/>
        </w:rPr>
        <w:t xml:space="preserve">Injekční lahvička z čirého skla typu I, s propichovací </w:t>
      </w:r>
      <w:r w:rsidR="00701DE1" w:rsidRPr="00CD1D9C">
        <w:rPr>
          <w:szCs w:val="24"/>
          <w:lang w:eastAsia="cs-CZ"/>
        </w:rPr>
        <w:t xml:space="preserve">bromobutylovou </w:t>
      </w:r>
      <w:r w:rsidRPr="00CD1D9C">
        <w:rPr>
          <w:szCs w:val="24"/>
          <w:lang w:eastAsia="cs-CZ"/>
        </w:rPr>
        <w:t>pryžovou zátkou a hliníkov</w:t>
      </w:r>
      <w:r w:rsidR="0016011D" w:rsidRPr="00CD1D9C">
        <w:rPr>
          <w:szCs w:val="24"/>
          <w:lang w:eastAsia="cs-CZ"/>
        </w:rPr>
        <w:t>ým</w:t>
      </w:r>
      <w:r w:rsidRPr="00CD1D9C">
        <w:rPr>
          <w:szCs w:val="24"/>
          <w:lang w:eastAsia="cs-CZ"/>
        </w:rPr>
        <w:t xml:space="preserve"> pertl</w:t>
      </w:r>
      <w:r w:rsidR="0016011D" w:rsidRPr="00CD1D9C">
        <w:rPr>
          <w:szCs w:val="24"/>
          <w:lang w:eastAsia="cs-CZ"/>
        </w:rPr>
        <w:t>em. Lahvička je vložena do papírové krabičky</w:t>
      </w:r>
      <w:r w:rsidRPr="00CD1D9C">
        <w:rPr>
          <w:szCs w:val="24"/>
          <w:lang w:eastAsia="cs-CZ"/>
        </w:rPr>
        <w:t>.</w:t>
      </w:r>
    </w:p>
    <w:p w14:paraId="6C1054FD" w14:textId="77777777" w:rsidR="0016011D" w:rsidRPr="00CD1D9C" w:rsidRDefault="0016011D">
      <w:pPr>
        <w:spacing w:line="240" w:lineRule="auto"/>
        <w:rPr>
          <w:szCs w:val="24"/>
          <w:lang w:eastAsia="cs-CZ"/>
        </w:rPr>
      </w:pPr>
    </w:p>
    <w:p w14:paraId="1B2B426D" w14:textId="77777777" w:rsidR="0016011D" w:rsidRPr="00CD1D9C" w:rsidRDefault="00C5114D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 xml:space="preserve">Velikost balení: </w:t>
      </w:r>
    </w:p>
    <w:p w14:paraId="3F2609EC" w14:textId="3310599B" w:rsidR="0016011D" w:rsidRPr="00CD1D9C" w:rsidRDefault="00C5114D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 xml:space="preserve">1 </w:t>
      </w:r>
      <w:r w:rsidR="0016011D" w:rsidRPr="00CD1D9C">
        <w:rPr>
          <w:szCs w:val="24"/>
          <w:lang w:eastAsia="cs-CZ"/>
        </w:rPr>
        <w:t xml:space="preserve">lahvička obsahující </w:t>
      </w:r>
      <w:r w:rsidRPr="00CD1D9C">
        <w:rPr>
          <w:szCs w:val="24"/>
          <w:lang w:eastAsia="cs-CZ"/>
        </w:rPr>
        <w:t>10 ml</w:t>
      </w:r>
      <w:r w:rsidR="0016011D" w:rsidRPr="00CD1D9C">
        <w:rPr>
          <w:szCs w:val="24"/>
          <w:lang w:eastAsia="cs-CZ"/>
        </w:rPr>
        <w:t xml:space="preserve"> roztoku</w:t>
      </w:r>
    </w:p>
    <w:p w14:paraId="1B1B5921" w14:textId="5FAB6B43" w:rsidR="0016011D" w:rsidRPr="00CD1D9C" w:rsidRDefault="00C5114D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 xml:space="preserve">10 </w:t>
      </w:r>
      <w:r w:rsidR="0016011D" w:rsidRPr="00CD1D9C">
        <w:rPr>
          <w:szCs w:val="24"/>
          <w:lang w:eastAsia="cs-CZ"/>
        </w:rPr>
        <w:t>lahviček</w:t>
      </w:r>
      <w:r w:rsidRPr="00CD1D9C">
        <w:rPr>
          <w:szCs w:val="24"/>
          <w:lang w:eastAsia="cs-CZ"/>
        </w:rPr>
        <w:t xml:space="preserve"> </w:t>
      </w:r>
      <w:r w:rsidR="0016011D" w:rsidRPr="00CD1D9C">
        <w:rPr>
          <w:szCs w:val="24"/>
          <w:lang w:eastAsia="cs-CZ"/>
        </w:rPr>
        <w:t xml:space="preserve">obsahujících </w:t>
      </w:r>
      <w:r w:rsidRPr="00CD1D9C">
        <w:rPr>
          <w:szCs w:val="24"/>
          <w:lang w:eastAsia="cs-CZ"/>
        </w:rPr>
        <w:t>10 ml</w:t>
      </w:r>
      <w:r w:rsidR="0016011D" w:rsidRPr="00CD1D9C">
        <w:rPr>
          <w:szCs w:val="24"/>
          <w:lang w:eastAsia="cs-CZ"/>
        </w:rPr>
        <w:t xml:space="preserve"> roztoku</w:t>
      </w:r>
    </w:p>
    <w:p w14:paraId="3E7CBFE5" w14:textId="5DE8B2CC" w:rsidR="0016011D" w:rsidRPr="00CD1D9C" w:rsidRDefault="00C5114D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t xml:space="preserve">1 </w:t>
      </w:r>
      <w:r w:rsidR="0016011D" w:rsidRPr="00CD1D9C">
        <w:rPr>
          <w:szCs w:val="24"/>
          <w:lang w:eastAsia="cs-CZ"/>
        </w:rPr>
        <w:t>lahvička obsahující</w:t>
      </w:r>
      <w:r w:rsidRPr="00CD1D9C">
        <w:rPr>
          <w:szCs w:val="24"/>
          <w:lang w:eastAsia="cs-CZ"/>
        </w:rPr>
        <w:t xml:space="preserve"> 50 ml</w:t>
      </w:r>
      <w:r w:rsidR="0016011D" w:rsidRPr="00CD1D9C">
        <w:rPr>
          <w:szCs w:val="24"/>
          <w:lang w:eastAsia="cs-CZ"/>
        </w:rPr>
        <w:t xml:space="preserve"> roztoku</w:t>
      </w:r>
    </w:p>
    <w:p w14:paraId="1DD742C0" w14:textId="1CECAB85" w:rsidR="00C5114D" w:rsidRPr="00CD1D9C" w:rsidRDefault="00C5114D" w:rsidP="00BF03D1">
      <w:pPr>
        <w:spacing w:line="240" w:lineRule="auto"/>
        <w:rPr>
          <w:szCs w:val="24"/>
          <w:lang w:eastAsia="cs-CZ"/>
        </w:rPr>
      </w:pPr>
      <w:r w:rsidRPr="00CD1D9C">
        <w:rPr>
          <w:szCs w:val="24"/>
          <w:lang w:eastAsia="cs-CZ"/>
        </w:rPr>
        <w:br/>
      </w:r>
      <w:bookmarkEnd w:id="12"/>
      <w:r w:rsidRPr="00CD1D9C">
        <w:rPr>
          <w:szCs w:val="24"/>
          <w:lang w:eastAsia="cs-CZ"/>
        </w:rPr>
        <w:t>Na trhu nemusí být všechny velikosti balení.</w:t>
      </w:r>
    </w:p>
    <w:bookmarkEnd w:id="13"/>
    <w:p w14:paraId="584B339F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29690488" w:rsidR="00C114FF" w:rsidRPr="00CD1D9C" w:rsidRDefault="002D0F62" w:rsidP="00BF03D1">
      <w:pPr>
        <w:pStyle w:val="Style1"/>
        <w:keepNext/>
      </w:pPr>
      <w:r w:rsidRPr="00CD1D9C">
        <w:t>5.5</w:t>
      </w:r>
      <w:r w:rsidRPr="00CD1D9C">
        <w:tab/>
        <w:t xml:space="preserve">Zvláštní opatření pro </w:t>
      </w:r>
      <w:r w:rsidR="00CF069C" w:rsidRPr="00CD1D9C">
        <w:t xml:space="preserve">likvidaci </w:t>
      </w:r>
      <w:r w:rsidRPr="00CD1D9C">
        <w:t>nepoužit</w:t>
      </w:r>
      <w:r w:rsidR="00F27A5B" w:rsidRPr="00CD1D9C">
        <w:t>ých</w:t>
      </w:r>
      <w:r w:rsidR="00905CAB" w:rsidRPr="00CD1D9C">
        <w:t xml:space="preserve"> </w:t>
      </w:r>
      <w:r w:rsidRPr="00CD1D9C">
        <w:t>veterinární</w:t>
      </w:r>
      <w:r w:rsidR="00F27A5B" w:rsidRPr="00CD1D9C">
        <w:t>c</w:t>
      </w:r>
      <w:r w:rsidR="00905CAB" w:rsidRPr="00CD1D9C">
        <w:t>h</w:t>
      </w:r>
      <w:r w:rsidRPr="00CD1D9C">
        <w:t xml:space="preserve"> léčiv</w:t>
      </w:r>
      <w:r w:rsidR="00F27A5B" w:rsidRPr="00CD1D9C">
        <w:t>ých</w:t>
      </w:r>
      <w:r w:rsidRPr="00CD1D9C">
        <w:t xml:space="preserve"> přípravk</w:t>
      </w:r>
      <w:r w:rsidR="00F27A5B" w:rsidRPr="00CD1D9C">
        <w:t>ů</w:t>
      </w:r>
      <w:r w:rsidRPr="00CD1D9C">
        <w:t xml:space="preserve"> nebo odpad</w:t>
      </w:r>
      <w:r w:rsidR="00F27A5B" w:rsidRPr="00CD1D9C">
        <w:t>ů</w:t>
      </w:r>
      <w:r w:rsidR="00B36E65" w:rsidRPr="00CD1D9C">
        <w:t>, kter</w:t>
      </w:r>
      <w:r w:rsidR="00F27A5B" w:rsidRPr="00CD1D9C">
        <w:t>é</w:t>
      </w:r>
      <w:r w:rsidRPr="00CD1D9C">
        <w:t xml:space="preserve"> pocház</w:t>
      </w:r>
      <w:r w:rsidR="00B36E65" w:rsidRPr="00CD1D9C">
        <w:t>í</w:t>
      </w:r>
      <w:r w:rsidRPr="00CD1D9C">
        <w:t xml:space="preserve"> z t</w:t>
      </w:r>
      <w:r w:rsidR="00F27A5B" w:rsidRPr="00CD1D9C">
        <w:t>ěch</w:t>
      </w:r>
      <w:r w:rsidR="00905CAB" w:rsidRPr="00CD1D9C">
        <w:t>to</w:t>
      </w:r>
      <w:r w:rsidRPr="00CD1D9C">
        <w:t xml:space="preserve"> přípravk</w:t>
      </w:r>
      <w:r w:rsidR="00F27A5B" w:rsidRPr="00CD1D9C">
        <w:t>ů</w:t>
      </w:r>
    </w:p>
    <w:p w14:paraId="44A5EE14" w14:textId="77777777" w:rsidR="00FD1E45" w:rsidRPr="00CD1D9C" w:rsidRDefault="00FD1E45" w:rsidP="00BF03D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9934952" w14:textId="4601CB92" w:rsidR="00BA591D" w:rsidRPr="00CD1D9C" w:rsidRDefault="00BA591D" w:rsidP="00BF03D1">
      <w:pPr>
        <w:tabs>
          <w:tab w:val="clear" w:pos="567"/>
        </w:tabs>
        <w:spacing w:line="240" w:lineRule="auto"/>
        <w:jc w:val="both"/>
      </w:pPr>
      <w:r w:rsidRPr="00CD1D9C">
        <w:t>Léčivé přípravky se nesmí likvidovat prostřednictvím odpadní vody či domovního odpadu.</w:t>
      </w:r>
    </w:p>
    <w:p w14:paraId="4DEB686B" w14:textId="77777777" w:rsidR="00ED1F23" w:rsidRPr="00CD1D9C" w:rsidRDefault="00ED1F23" w:rsidP="00BF03D1">
      <w:pPr>
        <w:tabs>
          <w:tab w:val="clear" w:pos="567"/>
        </w:tabs>
        <w:spacing w:line="240" w:lineRule="auto"/>
        <w:jc w:val="both"/>
      </w:pPr>
    </w:p>
    <w:p w14:paraId="2CAB4DC2" w14:textId="69DC7577" w:rsidR="0078538F" w:rsidRPr="00CD1D9C" w:rsidRDefault="00202EA3" w:rsidP="00BF03D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D1D9C">
        <w:t>Všechen n</w:t>
      </w:r>
      <w:r w:rsidR="002D0F62" w:rsidRPr="00CD1D9C">
        <w:t xml:space="preserve">epoužitý veterinární léčivý přípravek nebo </w:t>
      </w:r>
      <w:r w:rsidR="00905CAB" w:rsidRPr="00CD1D9C">
        <w:t>odpad, který pochází z tohoto přípravku,</w:t>
      </w:r>
      <w:r w:rsidR="002D0F62" w:rsidRPr="00CD1D9C">
        <w:t xml:space="preserve"> </w:t>
      </w:r>
      <w:r w:rsidR="004C0568" w:rsidRPr="00CD1D9C">
        <w:t xml:space="preserve">likvidujte </w:t>
      </w:r>
      <w:r w:rsidR="007464DA" w:rsidRPr="00CD1D9C">
        <w:t>odevzdáním</w:t>
      </w:r>
      <w:r w:rsidR="00730908" w:rsidRPr="00CD1D9C">
        <w:t xml:space="preserve"> </w:t>
      </w:r>
      <w:r w:rsidR="002D0F62" w:rsidRPr="00CD1D9C">
        <w:t>v souladu s místními požadavky a národními systémy sběru, které jsou platné pro příslušný veterinární léčivý přípravek.</w:t>
      </w:r>
    </w:p>
    <w:p w14:paraId="47363B7A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CD1D9C" w:rsidRDefault="002D0F62">
      <w:pPr>
        <w:pStyle w:val="Style1"/>
      </w:pPr>
      <w:r w:rsidRPr="00CD1D9C">
        <w:t>6.</w:t>
      </w:r>
      <w:r w:rsidRPr="00CD1D9C">
        <w:tab/>
        <w:t>JMÉNO DRŽITELE ROZHODNUTÍ O REGISTRACI</w:t>
      </w:r>
    </w:p>
    <w:p w14:paraId="2E652F1A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ACAF998" w14:textId="77777777" w:rsidR="00C5114D" w:rsidRPr="00CD1D9C" w:rsidRDefault="00C5114D" w:rsidP="00BF03D1">
      <w:pPr>
        <w:pStyle w:val="Bezmezer"/>
        <w:jc w:val="both"/>
        <w:rPr>
          <w:sz w:val="22"/>
          <w:lang w:eastAsia="cs-CZ"/>
        </w:rPr>
      </w:pPr>
      <w:r w:rsidRPr="00CD1D9C">
        <w:rPr>
          <w:sz w:val="22"/>
          <w:lang w:eastAsia="cs-CZ"/>
        </w:rPr>
        <w:t>Bioveta, a.s.</w:t>
      </w:r>
    </w:p>
    <w:p w14:paraId="07D63216" w14:textId="77777777" w:rsidR="00C5114D" w:rsidRPr="00CD1D9C" w:rsidRDefault="00C5114D" w:rsidP="00BF03D1">
      <w:pPr>
        <w:pStyle w:val="Bezmezer"/>
        <w:jc w:val="both"/>
        <w:rPr>
          <w:sz w:val="22"/>
          <w:lang w:eastAsia="cs-CZ"/>
        </w:rPr>
      </w:pPr>
      <w:r w:rsidRPr="00CD1D9C">
        <w:rPr>
          <w:sz w:val="22"/>
          <w:lang w:eastAsia="cs-CZ"/>
        </w:rPr>
        <w:t>Komenského 212/12</w:t>
      </w:r>
    </w:p>
    <w:p w14:paraId="3F4C1ED4" w14:textId="77777777" w:rsidR="00C5114D" w:rsidRPr="00CD1D9C" w:rsidRDefault="00C5114D" w:rsidP="00BF03D1">
      <w:pPr>
        <w:pStyle w:val="Bezmezer"/>
        <w:jc w:val="both"/>
        <w:rPr>
          <w:sz w:val="22"/>
          <w:lang w:eastAsia="cs-CZ"/>
        </w:rPr>
      </w:pPr>
      <w:r w:rsidRPr="00CD1D9C">
        <w:rPr>
          <w:sz w:val="22"/>
          <w:lang w:eastAsia="cs-CZ"/>
        </w:rPr>
        <w:t>683 23 Ivanovice na Hané</w:t>
      </w:r>
    </w:p>
    <w:p w14:paraId="664784A1" w14:textId="77777777" w:rsidR="00C5114D" w:rsidRPr="00CD1D9C" w:rsidRDefault="00C5114D" w:rsidP="00BF03D1">
      <w:pPr>
        <w:pStyle w:val="Bezmezer"/>
        <w:jc w:val="both"/>
        <w:rPr>
          <w:sz w:val="22"/>
          <w:lang w:eastAsia="cs-CZ"/>
        </w:rPr>
      </w:pPr>
      <w:r w:rsidRPr="00CD1D9C">
        <w:rPr>
          <w:sz w:val="22"/>
          <w:lang w:eastAsia="cs-CZ"/>
        </w:rPr>
        <w:t>Česká republika</w:t>
      </w:r>
    </w:p>
    <w:p w14:paraId="60B7F79E" w14:textId="77777777" w:rsidR="00C5114D" w:rsidRPr="00CD1D9C" w:rsidRDefault="00C5114D" w:rsidP="00BF03D1">
      <w:pPr>
        <w:pStyle w:val="Bezmezer"/>
        <w:jc w:val="both"/>
        <w:rPr>
          <w:sz w:val="22"/>
          <w:lang w:eastAsia="cs-CZ"/>
        </w:rPr>
      </w:pPr>
      <w:r w:rsidRPr="00CD1D9C">
        <w:rPr>
          <w:sz w:val="22"/>
          <w:lang w:eastAsia="cs-CZ"/>
        </w:rPr>
        <w:t>tel.: +420 517 318 500</w:t>
      </w:r>
    </w:p>
    <w:p w14:paraId="6FF9FB44" w14:textId="77777777" w:rsidR="00C5114D" w:rsidRPr="00CD1D9C" w:rsidRDefault="00C5114D" w:rsidP="00BF03D1">
      <w:pPr>
        <w:pStyle w:val="Bezmezer"/>
        <w:jc w:val="both"/>
        <w:rPr>
          <w:sz w:val="22"/>
          <w:lang w:eastAsia="cs-CZ"/>
        </w:rPr>
      </w:pPr>
      <w:r w:rsidRPr="00CD1D9C">
        <w:rPr>
          <w:sz w:val="22"/>
          <w:lang w:eastAsia="cs-CZ"/>
        </w:rPr>
        <w:t xml:space="preserve">e-mail: </w:t>
      </w:r>
      <w:hyperlink r:id="rId8" w:history="1">
        <w:r w:rsidRPr="00CD1D9C">
          <w:rPr>
            <w:rStyle w:val="Hypertextovodkaz"/>
            <w:sz w:val="22"/>
            <w:lang w:eastAsia="cs-CZ"/>
          </w:rPr>
          <w:t>comm@bioveta.cz</w:t>
        </w:r>
      </w:hyperlink>
    </w:p>
    <w:p w14:paraId="1F61240C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CD1D9C" w:rsidRDefault="00C114FF" w:rsidP="00D060C9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CD1D9C" w:rsidRDefault="002D0F62">
      <w:pPr>
        <w:pStyle w:val="Style1"/>
      </w:pPr>
      <w:r w:rsidRPr="00CD1D9C">
        <w:lastRenderedPageBreak/>
        <w:t>7.</w:t>
      </w:r>
      <w:r w:rsidRPr="00CD1D9C">
        <w:tab/>
        <w:t>REGISTRAČNÍ ČÍSLO(A)</w:t>
      </w:r>
    </w:p>
    <w:p w14:paraId="4786AE55" w14:textId="77777777" w:rsidR="007E32A9" w:rsidRPr="00CD1D9C" w:rsidRDefault="007E32A9">
      <w:pPr>
        <w:tabs>
          <w:tab w:val="clear" w:pos="567"/>
        </w:tabs>
        <w:spacing w:line="240" w:lineRule="auto"/>
        <w:rPr>
          <w:szCs w:val="22"/>
        </w:rPr>
      </w:pPr>
    </w:p>
    <w:p w14:paraId="1FA2C56F" w14:textId="380F8C50" w:rsidR="00C114FF" w:rsidRPr="00CD1D9C" w:rsidRDefault="007E32A9">
      <w:pPr>
        <w:tabs>
          <w:tab w:val="clear" w:pos="567"/>
        </w:tabs>
        <w:spacing w:line="240" w:lineRule="auto"/>
        <w:rPr>
          <w:szCs w:val="22"/>
        </w:rPr>
      </w:pPr>
      <w:r w:rsidRPr="00CD1D9C">
        <w:rPr>
          <w:szCs w:val="22"/>
        </w:rPr>
        <w:t>96/024/23-C</w:t>
      </w:r>
    </w:p>
    <w:p w14:paraId="427D05E5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CD1D9C" w:rsidRDefault="002D0F62">
      <w:pPr>
        <w:pStyle w:val="Style1"/>
      </w:pPr>
      <w:r w:rsidRPr="00CD1D9C">
        <w:t>8.</w:t>
      </w:r>
      <w:r w:rsidRPr="00CD1D9C">
        <w:tab/>
        <w:t>DATUM PRVNÍ REGISTRACE</w:t>
      </w:r>
    </w:p>
    <w:p w14:paraId="3863C575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087B8933" w:rsidR="00D65777" w:rsidRPr="00CD1D9C" w:rsidRDefault="007E32A9">
      <w:pPr>
        <w:tabs>
          <w:tab w:val="clear" w:pos="567"/>
        </w:tabs>
        <w:spacing w:line="240" w:lineRule="auto"/>
        <w:rPr>
          <w:szCs w:val="22"/>
        </w:rPr>
      </w:pPr>
      <w:r w:rsidRPr="00CD1D9C">
        <w:rPr>
          <w:szCs w:val="22"/>
        </w:rPr>
        <w:t>8. 6. 2023</w:t>
      </w:r>
    </w:p>
    <w:p w14:paraId="70B0A25D" w14:textId="77777777" w:rsidR="00D65777" w:rsidRPr="00CD1D9C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CD1D9C" w:rsidRDefault="002D0F62">
      <w:pPr>
        <w:pStyle w:val="Style1"/>
      </w:pPr>
      <w:r w:rsidRPr="00CD1D9C">
        <w:t>9.</w:t>
      </w:r>
      <w:r w:rsidRPr="00CD1D9C">
        <w:tab/>
        <w:t>DATUM POSLEDNÍ AKTUALIZACE SOUHRNU ÚDAJŮ O PŘÍPRAVKU</w:t>
      </w:r>
    </w:p>
    <w:p w14:paraId="30326986" w14:textId="77777777" w:rsidR="00C114FF" w:rsidRPr="00CD1D9C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94178D9" w14:textId="5F6FD3CD" w:rsidR="00423968" w:rsidRPr="00CD1D9C" w:rsidRDefault="00016925">
      <w:pPr>
        <w:tabs>
          <w:tab w:val="clear" w:pos="567"/>
        </w:tabs>
        <w:spacing w:line="240" w:lineRule="auto"/>
      </w:pPr>
      <w:r w:rsidRPr="00CD1D9C">
        <w:t>Červen 2023</w:t>
      </w:r>
    </w:p>
    <w:p w14:paraId="2DB0E157" w14:textId="77777777" w:rsidR="00B113B9" w:rsidRPr="00CD1D9C" w:rsidRDefault="00B113B9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CD1D9C" w:rsidRDefault="002D0F62">
      <w:pPr>
        <w:pStyle w:val="Style1"/>
      </w:pPr>
      <w:bookmarkStart w:id="14" w:name="_Hlk120271308"/>
      <w:r w:rsidRPr="00CD1D9C">
        <w:t>10.</w:t>
      </w:r>
      <w:r w:rsidRPr="00CD1D9C">
        <w:tab/>
        <w:t>KLASIFIKACE VETERINÁRNÍCH LÉČIVÝCH PŘÍPRAVKŮ</w:t>
      </w:r>
    </w:p>
    <w:bookmarkEnd w:id="14"/>
    <w:p w14:paraId="1F12B426" w14:textId="77777777" w:rsidR="0078538F" w:rsidRPr="00CD1D9C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34A2D04" w:rsidR="0078538F" w:rsidRPr="00CD1D9C" w:rsidRDefault="002D0F62" w:rsidP="00BF03D1">
      <w:pPr>
        <w:numPr>
          <w:ilvl w:val="12"/>
          <w:numId w:val="0"/>
        </w:numPr>
        <w:spacing w:line="240" w:lineRule="auto"/>
        <w:rPr>
          <w:szCs w:val="22"/>
        </w:rPr>
      </w:pPr>
      <w:bookmarkStart w:id="15" w:name="_Hlk120270380"/>
      <w:r w:rsidRPr="00CD1D9C">
        <w:t>Veterinární léčivý přípravek je vydáván pouze na předpis.</w:t>
      </w:r>
    </w:p>
    <w:bookmarkEnd w:id="15"/>
    <w:p w14:paraId="05E12133" w14:textId="77777777" w:rsidR="0078538F" w:rsidRPr="00CD1D9C" w:rsidRDefault="0078538F" w:rsidP="00BF03D1">
      <w:pPr>
        <w:spacing w:line="240" w:lineRule="auto"/>
        <w:ind w:right="-318"/>
        <w:rPr>
          <w:szCs w:val="22"/>
        </w:rPr>
      </w:pPr>
    </w:p>
    <w:p w14:paraId="01646A28" w14:textId="135CC009" w:rsidR="00F27A5B" w:rsidRPr="00CD1D9C" w:rsidRDefault="002D0F62" w:rsidP="00CD1D9C">
      <w:pPr>
        <w:spacing w:line="240" w:lineRule="auto"/>
        <w:ind w:right="-1"/>
        <w:rPr>
          <w:rStyle w:val="markedcontent"/>
          <w:szCs w:val="22"/>
        </w:rPr>
      </w:pPr>
      <w:bookmarkStart w:id="16" w:name="_Hlk73467306"/>
      <w:r w:rsidRPr="00CD1D9C">
        <w:t>Podrobné informace o tomto veterinárním léčivém přípravku jsou k dispozici v databázi přípravků Unie</w:t>
      </w:r>
      <w:r w:rsidR="00CD1D9C">
        <w:t xml:space="preserve"> </w:t>
      </w:r>
      <w:bookmarkStart w:id="17" w:name="_Hlk120271495"/>
      <w:bookmarkEnd w:id="16"/>
      <w:r w:rsidR="00F27A5B" w:rsidRPr="00CD1D9C">
        <w:rPr>
          <w:rStyle w:val="markedcontent"/>
          <w:szCs w:val="22"/>
        </w:rPr>
        <w:t>(</w:t>
      </w:r>
      <w:hyperlink r:id="rId9" w:history="1">
        <w:r w:rsidR="00F27A5B" w:rsidRPr="00CD1D9C">
          <w:rPr>
            <w:rStyle w:val="Hypertextovodkaz"/>
            <w:szCs w:val="22"/>
          </w:rPr>
          <w:t>https://medicines.health.europa.eu/veterinary</w:t>
        </w:r>
      </w:hyperlink>
      <w:r w:rsidR="00F27A5B" w:rsidRPr="00CD1D9C">
        <w:rPr>
          <w:rStyle w:val="markedcontent"/>
          <w:szCs w:val="22"/>
        </w:rPr>
        <w:t>)</w:t>
      </w:r>
      <w:r w:rsidR="00EC403A" w:rsidRPr="00CD1D9C">
        <w:rPr>
          <w:rStyle w:val="markedcontent"/>
          <w:szCs w:val="22"/>
        </w:rPr>
        <w:t>.</w:t>
      </w:r>
    </w:p>
    <w:p w14:paraId="361A1930" w14:textId="42A1F2E7" w:rsidR="00A738C2" w:rsidRPr="00CD1D9C" w:rsidRDefault="00A738C2" w:rsidP="00D060C9">
      <w:pPr>
        <w:tabs>
          <w:tab w:val="clear" w:pos="567"/>
        </w:tabs>
        <w:spacing w:line="240" w:lineRule="auto"/>
        <w:rPr>
          <w:rStyle w:val="markedcontent"/>
          <w:szCs w:val="22"/>
        </w:rPr>
      </w:pPr>
    </w:p>
    <w:p w14:paraId="59F06D85" w14:textId="27D6ACD9" w:rsidR="00A738C2" w:rsidRPr="00CD1D9C" w:rsidRDefault="00A738C2" w:rsidP="00D060C9">
      <w:pPr>
        <w:tabs>
          <w:tab w:val="clear" w:pos="567"/>
        </w:tabs>
        <w:spacing w:line="240" w:lineRule="auto"/>
        <w:rPr>
          <w:rStyle w:val="markedcontent"/>
          <w:szCs w:val="22"/>
        </w:rPr>
      </w:pPr>
      <w:r w:rsidRPr="00CD1D9C">
        <w:t>Podrobné informace o tomto veterinárním léčivém přípravku naleznete také v národní databázi (</w:t>
      </w:r>
      <w:hyperlink r:id="rId10" w:history="1">
        <w:r w:rsidRPr="00CD1D9C">
          <w:rPr>
            <w:rStyle w:val="Hypertextovodkaz"/>
          </w:rPr>
          <w:t>https://www.uskvbl.cz</w:t>
        </w:r>
      </w:hyperlink>
      <w:r w:rsidRPr="00CD1D9C">
        <w:t>).</w:t>
      </w:r>
      <w:bookmarkEnd w:id="17"/>
    </w:p>
    <w:sectPr w:rsidR="00A738C2" w:rsidRPr="00CD1D9C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D815" w16cex:dateUtc="2022-06-20T09:27:00Z"/>
  <w16cex:commentExtensible w16cex:durableId="265AE150" w16cex:dateUtc="2022-06-20T10:06:00Z"/>
  <w16cex:commentExtensible w16cex:durableId="265AE1E9" w16cex:dateUtc="2022-06-20T10:09:00Z"/>
  <w16cex:commentExtensible w16cex:durableId="265AE347" w16cex:dateUtc="2022-06-20T10:15:00Z"/>
  <w16cex:commentExtensible w16cex:durableId="265AE364" w16cex:dateUtc="2022-06-20T10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75D49" w14:textId="77777777" w:rsidR="00901D98" w:rsidRDefault="00901D98">
      <w:pPr>
        <w:spacing w:line="240" w:lineRule="auto"/>
      </w:pPr>
      <w:r>
        <w:separator/>
      </w:r>
    </w:p>
  </w:endnote>
  <w:endnote w:type="continuationSeparator" w:id="0">
    <w:p w14:paraId="3EB513AF" w14:textId="77777777" w:rsidR="00901D98" w:rsidRDefault="00901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2F6EE3" w:rsidRPr="00E0068C" w:rsidRDefault="002D0F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CD1D9C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2F6EE3" w:rsidRPr="00E0068C" w:rsidRDefault="002D0F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09395" w14:textId="77777777" w:rsidR="00901D98" w:rsidRDefault="00901D98">
      <w:pPr>
        <w:spacing w:line="240" w:lineRule="auto"/>
      </w:pPr>
      <w:r>
        <w:separator/>
      </w:r>
    </w:p>
  </w:footnote>
  <w:footnote w:type="continuationSeparator" w:id="0">
    <w:p w14:paraId="5342CD67" w14:textId="77777777" w:rsidR="00901D98" w:rsidRDefault="00901D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A88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46A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EF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69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4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0A8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C66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0F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C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9E8B68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6EA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4C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C2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27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40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45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EA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477060E"/>
    <w:multiLevelType w:val="hybridMultilevel"/>
    <w:tmpl w:val="EB5CD5CC"/>
    <w:lvl w:ilvl="0" w:tplc="A0F6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B96614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EE264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B8C17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6080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E00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60C57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20EB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63AFD9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DC837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7D2209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B4DC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9100E1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EDE7F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B810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D4FEB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92A80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8CE04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E80F3D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8B1EE0"/>
    <w:multiLevelType w:val="hybridMultilevel"/>
    <w:tmpl w:val="8C480876"/>
    <w:lvl w:ilvl="0" w:tplc="A0F6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F5E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C0A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CA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4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C2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4E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46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C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85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38C08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34A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30B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8D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02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9E5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2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66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862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B1C6B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EEF6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8066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E244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1254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A2ED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C698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2A28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F406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AC40B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9E8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E2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21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00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E5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0F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2E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E7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3EA0E06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5584B4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84E4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8B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A7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47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44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0E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6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BF89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41E9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502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CB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0A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963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E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4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DC6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4F2180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21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04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C6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22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2E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8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0E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29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76E489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02EF1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F1AFA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B8A67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68C80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9283F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012308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F22AA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4E6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2D7067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D6E0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2EE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45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D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420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6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AA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E2E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682C18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D18202A" w:tentative="1">
      <w:start w:val="1"/>
      <w:numFmt w:val="lowerLetter"/>
      <w:lvlText w:val="%2."/>
      <w:lvlJc w:val="left"/>
      <w:pPr>
        <w:ind w:left="1440" w:hanging="360"/>
      </w:pPr>
    </w:lvl>
    <w:lvl w:ilvl="2" w:tplc="64C8A974" w:tentative="1">
      <w:start w:val="1"/>
      <w:numFmt w:val="lowerRoman"/>
      <w:lvlText w:val="%3."/>
      <w:lvlJc w:val="right"/>
      <w:pPr>
        <w:ind w:left="2160" w:hanging="180"/>
      </w:pPr>
    </w:lvl>
    <w:lvl w:ilvl="3" w:tplc="7C08B0E8" w:tentative="1">
      <w:start w:val="1"/>
      <w:numFmt w:val="decimal"/>
      <w:lvlText w:val="%4."/>
      <w:lvlJc w:val="left"/>
      <w:pPr>
        <w:ind w:left="2880" w:hanging="360"/>
      </w:pPr>
    </w:lvl>
    <w:lvl w:ilvl="4" w:tplc="3DCC49D6" w:tentative="1">
      <w:start w:val="1"/>
      <w:numFmt w:val="lowerLetter"/>
      <w:lvlText w:val="%5."/>
      <w:lvlJc w:val="left"/>
      <w:pPr>
        <w:ind w:left="3600" w:hanging="360"/>
      </w:pPr>
    </w:lvl>
    <w:lvl w:ilvl="5" w:tplc="13341EC8" w:tentative="1">
      <w:start w:val="1"/>
      <w:numFmt w:val="lowerRoman"/>
      <w:lvlText w:val="%6."/>
      <w:lvlJc w:val="right"/>
      <w:pPr>
        <w:ind w:left="4320" w:hanging="180"/>
      </w:pPr>
    </w:lvl>
    <w:lvl w:ilvl="6" w:tplc="4038F5AC" w:tentative="1">
      <w:start w:val="1"/>
      <w:numFmt w:val="decimal"/>
      <w:lvlText w:val="%7."/>
      <w:lvlJc w:val="left"/>
      <w:pPr>
        <w:ind w:left="5040" w:hanging="360"/>
      </w:pPr>
    </w:lvl>
    <w:lvl w:ilvl="7" w:tplc="739A49C4" w:tentative="1">
      <w:start w:val="1"/>
      <w:numFmt w:val="lowerLetter"/>
      <w:lvlText w:val="%8."/>
      <w:lvlJc w:val="left"/>
      <w:pPr>
        <w:ind w:left="5760" w:hanging="360"/>
      </w:pPr>
    </w:lvl>
    <w:lvl w:ilvl="8" w:tplc="3CFAA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1C8A26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C3C5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2E2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E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56F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0D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CE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1574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A0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64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C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87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01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C3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9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6A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50E2547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E82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62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E0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C2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0F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70B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1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4E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3634E178">
      <w:start w:val="1"/>
      <w:numFmt w:val="decimal"/>
      <w:lvlText w:val="%1."/>
      <w:lvlJc w:val="left"/>
      <w:pPr>
        <w:ind w:left="720" w:hanging="360"/>
      </w:pPr>
    </w:lvl>
    <w:lvl w:ilvl="1" w:tplc="7ABC11DE" w:tentative="1">
      <w:start w:val="1"/>
      <w:numFmt w:val="lowerLetter"/>
      <w:lvlText w:val="%2."/>
      <w:lvlJc w:val="left"/>
      <w:pPr>
        <w:ind w:left="1440" w:hanging="360"/>
      </w:pPr>
    </w:lvl>
    <w:lvl w:ilvl="2" w:tplc="EE42ED92" w:tentative="1">
      <w:start w:val="1"/>
      <w:numFmt w:val="lowerRoman"/>
      <w:lvlText w:val="%3."/>
      <w:lvlJc w:val="right"/>
      <w:pPr>
        <w:ind w:left="2160" w:hanging="180"/>
      </w:pPr>
    </w:lvl>
    <w:lvl w:ilvl="3" w:tplc="7EEC883E" w:tentative="1">
      <w:start w:val="1"/>
      <w:numFmt w:val="decimal"/>
      <w:lvlText w:val="%4."/>
      <w:lvlJc w:val="left"/>
      <w:pPr>
        <w:ind w:left="2880" w:hanging="360"/>
      </w:pPr>
    </w:lvl>
    <w:lvl w:ilvl="4" w:tplc="2C529CB4" w:tentative="1">
      <w:start w:val="1"/>
      <w:numFmt w:val="lowerLetter"/>
      <w:lvlText w:val="%5."/>
      <w:lvlJc w:val="left"/>
      <w:pPr>
        <w:ind w:left="3600" w:hanging="360"/>
      </w:pPr>
    </w:lvl>
    <w:lvl w:ilvl="5" w:tplc="4E9620F0" w:tentative="1">
      <w:start w:val="1"/>
      <w:numFmt w:val="lowerRoman"/>
      <w:lvlText w:val="%6."/>
      <w:lvlJc w:val="right"/>
      <w:pPr>
        <w:ind w:left="4320" w:hanging="180"/>
      </w:pPr>
    </w:lvl>
    <w:lvl w:ilvl="6" w:tplc="094C01C0" w:tentative="1">
      <w:start w:val="1"/>
      <w:numFmt w:val="decimal"/>
      <w:lvlText w:val="%7."/>
      <w:lvlJc w:val="left"/>
      <w:pPr>
        <w:ind w:left="5040" w:hanging="360"/>
      </w:pPr>
    </w:lvl>
    <w:lvl w:ilvl="7" w:tplc="722201BA" w:tentative="1">
      <w:start w:val="1"/>
      <w:numFmt w:val="lowerLetter"/>
      <w:lvlText w:val="%8."/>
      <w:lvlJc w:val="left"/>
      <w:pPr>
        <w:ind w:left="5760" w:hanging="360"/>
      </w:pPr>
    </w:lvl>
    <w:lvl w:ilvl="8" w:tplc="87484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B6A24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60AA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3C3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A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C2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18A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4D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CC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1C5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6"/>
  </w:num>
  <w:num w:numId="7">
    <w:abstractNumId w:val="21"/>
  </w:num>
  <w:num w:numId="8">
    <w:abstractNumId w:val="11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2"/>
  </w:num>
  <w:num w:numId="18">
    <w:abstractNumId w:val="1"/>
  </w:num>
  <w:num w:numId="19">
    <w:abstractNumId w:val="18"/>
  </w:num>
  <w:num w:numId="20">
    <w:abstractNumId w:val="5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6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06CB"/>
    <w:rsid w:val="00016925"/>
    <w:rsid w:val="00021B82"/>
    <w:rsid w:val="00024777"/>
    <w:rsid w:val="00024E21"/>
    <w:rsid w:val="00027100"/>
    <w:rsid w:val="000325B9"/>
    <w:rsid w:val="000349AA"/>
    <w:rsid w:val="00036C50"/>
    <w:rsid w:val="0004446A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7FDA"/>
    <w:rsid w:val="000B7873"/>
    <w:rsid w:val="000C02A1"/>
    <w:rsid w:val="000C1D4F"/>
    <w:rsid w:val="000C3ED7"/>
    <w:rsid w:val="000C55E6"/>
    <w:rsid w:val="000C687A"/>
    <w:rsid w:val="000D6691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3FE1"/>
    <w:rsid w:val="00124F36"/>
    <w:rsid w:val="00125666"/>
    <w:rsid w:val="001259E3"/>
    <w:rsid w:val="00125C80"/>
    <w:rsid w:val="00127129"/>
    <w:rsid w:val="00136DCF"/>
    <w:rsid w:val="0013799F"/>
    <w:rsid w:val="00140DF6"/>
    <w:rsid w:val="00145C3F"/>
    <w:rsid w:val="00145D34"/>
    <w:rsid w:val="00145DEB"/>
    <w:rsid w:val="00146284"/>
    <w:rsid w:val="0014690F"/>
    <w:rsid w:val="0015098E"/>
    <w:rsid w:val="00153B3A"/>
    <w:rsid w:val="0016011D"/>
    <w:rsid w:val="00164543"/>
    <w:rsid w:val="00164C48"/>
    <w:rsid w:val="00165BE3"/>
    <w:rsid w:val="001674D3"/>
    <w:rsid w:val="00174721"/>
    <w:rsid w:val="00174D89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61F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3051"/>
    <w:rsid w:val="001C5288"/>
    <w:rsid w:val="001C5B03"/>
    <w:rsid w:val="001D4CE4"/>
    <w:rsid w:val="001D6D96"/>
    <w:rsid w:val="001E5621"/>
    <w:rsid w:val="001F3239"/>
    <w:rsid w:val="001F3EF9"/>
    <w:rsid w:val="001F625D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1A4F"/>
    <w:rsid w:val="0023676E"/>
    <w:rsid w:val="00236F26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2EB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B46"/>
    <w:rsid w:val="002A3F88"/>
    <w:rsid w:val="002A522A"/>
    <w:rsid w:val="002A710D"/>
    <w:rsid w:val="002B0F11"/>
    <w:rsid w:val="002B2E17"/>
    <w:rsid w:val="002B6560"/>
    <w:rsid w:val="002C1F27"/>
    <w:rsid w:val="002C55FF"/>
    <w:rsid w:val="002C592B"/>
    <w:rsid w:val="002D0F62"/>
    <w:rsid w:val="002D300D"/>
    <w:rsid w:val="002E0CD4"/>
    <w:rsid w:val="002E3773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464"/>
    <w:rsid w:val="00316E87"/>
    <w:rsid w:val="00322505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3B3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30C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B0A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2807"/>
    <w:rsid w:val="003F0BC8"/>
    <w:rsid w:val="003F0D6C"/>
    <w:rsid w:val="003F0F26"/>
    <w:rsid w:val="003F12D9"/>
    <w:rsid w:val="003F1B4C"/>
    <w:rsid w:val="003F3CE6"/>
    <w:rsid w:val="003F44FE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F69"/>
    <w:rsid w:val="00446960"/>
    <w:rsid w:val="00446F37"/>
    <w:rsid w:val="004518A6"/>
    <w:rsid w:val="00453E1D"/>
    <w:rsid w:val="00454589"/>
    <w:rsid w:val="00456ED0"/>
    <w:rsid w:val="004573C2"/>
    <w:rsid w:val="00457550"/>
    <w:rsid w:val="00457B74"/>
    <w:rsid w:val="00461B2A"/>
    <w:rsid w:val="004620A4"/>
    <w:rsid w:val="00474C50"/>
    <w:rsid w:val="00475B54"/>
    <w:rsid w:val="004768DB"/>
    <w:rsid w:val="004771F9"/>
    <w:rsid w:val="004843FE"/>
    <w:rsid w:val="00486006"/>
    <w:rsid w:val="00486BAD"/>
    <w:rsid w:val="00486BBE"/>
    <w:rsid w:val="00487123"/>
    <w:rsid w:val="00495A75"/>
    <w:rsid w:val="00495CAE"/>
    <w:rsid w:val="004A005B"/>
    <w:rsid w:val="004A1BD5"/>
    <w:rsid w:val="004A4C2E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E26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F86"/>
    <w:rsid w:val="00506AAE"/>
    <w:rsid w:val="005114A6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A0042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BE9"/>
    <w:rsid w:val="00667489"/>
    <w:rsid w:val="00670D44"/>
    <w:rsid w:val="00673F4C"/>
    <w:rsid w:val="00674D09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3334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1DE1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10F"/>
    <w:rsid w:val="0073373D"/>
    <w:rsid w:val="007439DB"/>
    <w:rsid w:val="0074450A"/>
    <w:rsid w:val="007464DA"/>
    <w:rsid w:val="00752261"/>
    <w:rsid w:val="007568D8"/>
    <w:rsid w:val="00760AAD"/>
    <w:rsid w:val="007616B4"/>
    <w:rsid w:val="00765316"/>
    <w:rsid w:val="007708C8"/>
    <w:rsid w:val="0077719D"/>
    <w:rsid w:val="00780DF0"/>
    <w:rsid w:val="007810B7"/>
    <w:rsid w:val="00782F0F"/>
    <w:rsid w:val="0078526E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2A9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6C55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85A"/>
    <w:rsid w:val="008A026F"/>
    <w:rsid w:val="008A5665"/>
    <w:rsid w:val="008B24A8"/>
    <w:rsid w:val="008B25E4"/>
    <w:rsid w:val="008B3D78"/>
    <w:rsid w:val="008C261B"/>
    <w:rsid w:val="008C4015"/>
    <w:rsid w:val="008C4FCA"/>
    <w:rsid w:val="008C7882"/>
    <w:rsid w:val="008D03C7"/>
    <w:rsid w:val="008D2261"/>
    <w:rsid w:val="008D396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1D98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3C0"/>
    <w:rsid w:val="009751E6"/>
    <w:rsid w:val="00975676"/>
    <w:rsid w:val="00976467"/>
    <w:rsid w:val="00976D32"/>
    <w:rsid w:val="009844F7"/>
    <w:rsid w:val="00987F98"/>
    <w:rsid w:val="009938F7"/>
    <w:rsid w:val="009945D4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3BE"/>
    <w:rsid w:val="009E00C3"/>
    <w:rsid w:val="009E24B7"/>
    <w:rsid w:val="009E2C00"/>
    <w:rsid w:val="009E49AD"/>
    <w:rsid w:val="009E4CC5"/>
    <w:rsid w:val="009E66FE"/>
    <w:rsid w:val="009E70F4"/>
    <w:rsid w:val="009E72A3"/>
    <w:rsid w:val="009F1AD2"/>
    <w:rsid w:val="009F3351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637D"/>
    <w:rsid w:val="00A42C43"/>
    <w:rsid w:val="00A4313D"/>
    <w:rsid w:val="00A44D2B"/>
    <w:rsid w:val="00A50120"/>
    <w:rsid w:val="00A511EB"/>
    <w:rsid w:val="00A60351"/>
    <w:rsid w:val="00A61C6D"/>
    <w:rsid w:val="00A63015"/>
    <w:rsid w:val="00A6387B"/>
    <w:rsid w:val="00A66254"/>
    <w:rsid w:val="00A678B4"/>
    <w:rsid w:val="00A704A3"/>
    <w:rsid w:val="00A738C2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C1364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07C2B"/>
    <w:rsid w:val="00B113B9"/>
    <w:rsid w:val="00B119A2"/>
    <w:rsid w:val="00B13B6D"/>
    <w:rsid w:val="00B177F2"/>
    <w:rsid w:val="00B201F1"/>
    <w:rsid w:val="00B2603F"/>
    <w:rsid w:val="00B304E7"/>
    <w:rsid w:val="00B318B6"/>
    <w:rsid w:val="00B32170"/>
    <w:rsid w:val="00B3499B"/>
    <w:rsid w:val="00B36E65"/>
    <w:rsid w:val="00B40393"/>
    <w:rsid w:val="00B41D57"/>
    <w:rsid w:val="00B41F47"/>
    <w:rsid w:val="00B44468"/>
    <w:rsid w:val="00B45E81"/>
    <w:rsid w:val="00B60AC9"/>
    <w:rsid w:val="00B660D6"/>
    <w:rsid w:val="00B67323"/>
    <w:rsid w:val="00B715F2"/>
    <w:rsid w:val="00B735AF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91D"/>
    <w:rsid w:val="00BA5C89"/>
    <w:rsid w:val="00BB04EB"/>
    <w:rsid w:val="00BB2539"/>
    <w:rsid w:val="00BB4CE2"/>
    <w:rsid w:val="00BB5EF0"/>
    <w:rsid w:val="00BB6724"/>
    <w:rsid w:val="00BC0EFB"/>
    <w:rsid w:val="00BC2E39"/>
    <w:rsid w:val="00BC452F"/>
    <w:rsid w:val="00BD2364"/>
    <w:rsid w:val="00BD28E3"/>
    <w:rsid w:val="00BE117E"/>
    <w:rsid w:val="00BE3261"/>
    <w:rsid w:val="00BF00EF"/>
    <w:rsid w:val="00BF03D1"/>
    <w:rsid w:val="00BF0B25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C0B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114D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1D9C"/>
    <w:rsid w:val="00CD4059"/>
    <w:rsid w:val="00CD4E5A"/>
    <w:rsid w:val="00CD6AFD"/>
    <w:rsid w:val="00CE03CE"/>
    <w:rsid w:val="00CE0938"/>
    <w:rsid w:val="00CE0F5D"/>
    <w:rsid w:val="00CE1A6A"/>
    <w:rsid w:val="00CF069C"/>
    <w:rsid w:val="00CF0DFF"/>
    <w:rsid w:val="00D028A9"/>
    <w:rsid w:val="00D0359D"/>
    <w:rsid w:val="00D04DED"/>
    <w:rsid w:val="00D060C9"/>
    <w:rsid w:val="00D1089A"/>
    <w:rsid w:val="00D116BD"/>
    <w:rsid w:val="00D16FE0"/>
    <w:rsid w:val="00D2001A"/>
    <w:rsid w:val="00D20684"/>
    <w:rsid w:val="00D23956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4D93"/>
    <w:rsid w:val="00D905BD"/>
    <w:rsid w:val="00D9216A"/>
    <w:rsid w:val="00D95BBB"/>
    <w:rsid w:val="00D97E7D"/>
    <w:rsid w:val="00DB17F8"/>
    <w:rsid w:val="00DB3439"/>
    <w:rsid w:val="00DB3618"/>
    <w:rsid w:val="00DB468A"/>
    <w:rsid w:val="00DC131C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DF7FE7"/>
    <w:rsid w:val="00E0068C"/>
    <w:rsid w:val="00E026E8"/>
    <w:rsid w:val="00E034C1"/>
    <w:rsid w:val="00E060F7"/>
    <w:rsid w:val="00E1267F"/>
    <w:rsid w:val="00E14C47"/>
    <w:rsid w:val="00E20A26"/>
    <w:rsid w:val="00E22698"/>
    <w:rsid w:val="00E25B7C"/>
    <w:rsid w:val="00E3076B"/>
    <w:rsid w:val="00E3725B"/>
    <w:rsid w:val="00E434D1"/>
    <w:rsid w:val="00E50499"/>
    <w:rsid w:val="00E50EC9"/>
    <w:rsid w:val="00E56CBB"/>
    <w:rsid w:val="00E61950"/>
    <w:rsid w:val="00E61E51"/>
    <w:rsid w:val="00E647C1"/>
    <w:rsid w:val="00E6552A"/>
    <w:rsid w:val="00E65731"/>
    <w:rsid w:val="00E6707D"/>
    <w:rsid w:val="00E70337"/>
    <w:rsid w:val="00E703CC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6684"/>
    <w:rsid w:val="00EB0E20"/>
    <w:rsid w:val="00EB1682"/>
    <w:rsid w:val="00EB1A80"/>
    <w:rsid w:val="00EB3150"/>
    <w:rsid w:val="00EB457B"/>
    <w:rsid w:val="00EC403A"/>
    <w:rsid w:val="00EC47C4"/>
    <w:rsid w:val="00EC4F3A"/>
    <w:rsid w:val="00EC5045"/>
    <w:rsid w:val="00EC5E74"/>
    <w:rsid w:val="00ED1F23"/>
    <w:rsid w:val="00ED594D"/>
    <w:rsid w:val="00ED5965"/>
    <w:rsid w:val="00EE36E1"/>
    <w:rsid w:val="00EE6228"/>
    <w:rsid w:val="00EE7AC7"/>
    <w:rsid w:val="00EE7B3F"/>
    <w:rsid w:val="00EF3A8A"/>
    <w:rsid w:val="00F0054D"/>
    <w:rsid w:val="00F02467"/>
    <w:rsid w:val="00F04D0E"/>
    <w:rsid w:val="00F10E3A"/>
    <w:rsid w:val="00F12214"/>
    <w:rsid w:val="00F12565"/>
    <w:rsid w:val="00F144BE"/>
    <w:rsid w:val="00F14ACA"/>
    <w:rsid w:val="00F17A0C"/>
    <w:rsid w:val="00F23927"/>
    <w:rsid w:val="00F26644"/>
    <w:rsid w:val="00F26A05"/>
    <w:rsid w:val="00F27A5B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0879"/>
    <w:rsid w:val="00F95A8C"/>
    <w:rsid w:val="00FA06FD"/>
    <w:rsid w:val="00FA515B"/>
    <w:rsid w:val="00FA6B90"/>
    <w:rsid w:val="00FA70F9"/>
    <w:rsid w:val="00FA74CB"/>
    <w:rsid w:val="00FA77D4"/>
    <w:rsid w:val="00FB207A"/>
    <w:rsid w:val="00FB2886"/>
    <w:rsid w:val="00FB466E"/>
    <w:rsid w:val="00FB4B13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97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91FA"/>
  <w15:docId w15:val="{FFE2F531-C5F7-4662-AA77-A9A10FE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B735AF"/>
    <w:rPr>
      <w:rFonts w:eastAsia="Calibri"/>
      <w:sz w:val="24"/>
      <w:szCs w:val="22"/>
      <w:lang w:eastAsia="en-US"/>
    </w:rPr>
  </w:style>
  <w:style w:type="character" w:customStyle="1" w:styleId="markedcontent">
    <w:name w:val="markedcontent"/>
    <w:basedOn w:val="Standardnpsmoodstavce"/>
    <w:rsid w:val="00F27A5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@biovet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B39D-DEF1-4DE0-8394-BC8D1DA8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1236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57</cp:revision>
  <cp:lastPrinted>2023-06-08T09:08:00Z</cp:lastPrinted>
  <dcterms:created xsi:type="dcterms:W3CDTF">2021-10-05T09:31:00Z</dcterms:created>
  <dcterms:modified xsi:type="dcterms:W3CDTF">2023-06-09T10:43:00Z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