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1AE7" w14:textId="77777777" w:rsidR="00F849A6" w:rsidRPr="00C5151C" w:rsidRDefault="00F849A6" w:rsidP="00F849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bookmarkStart w:id="0" w:name="_Toc382897865"/>
      <w:bookmarkStart w:id="1" w:name="_Toc382899286"/>
      <w:bookmarkStart w:id="2" w:name="_Toc488408218"/>
      <w:bookmarkStart w:id="3" w:name="_Toc490657303"/>
      <w:r w:rsidRPr="00C5151C">
        <w:rPr>
          <w:rFonts w:ascii="Times New Roman" w:eastAsia="Times New Roman" w:hAnsi="Times New Roman"/>
          <w:b/>
          <w:lang w:eastAsia="cs-CZ"/>
        </w:rPr>
        <w:t>PŘÍBALOVÁ INFORMACE PRO</w:t>
      </w:r>
      <w:bookmarkEnd w:id="0"/>
      <w:bookmarkEnd w:id="1"/>
      <w:bookmarkEnd w:id="2"/>
      <w:bookmarkEnd w:id="3"/>
    </w:p>
    <w:p w14:paraId="2766E94F" w14:textId="77777777" w:rsidR="00F849A6" w:rsidRPr="00C5151C" w:rsidRDefault="002E4637" w:rsidP="00F93DEB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proofErr w:type="spellStart"/>
      <w:r w:rsidRPr="002E4637">
        <w:rPr>
          <w:rFonts w:ascii="Times New Roman" w:eastAsia="Times New Roman" w:hAnsi="Times New Roman"/>
          <w:lang w:eastAsia="cs-CZ"/>
        </w:rPr>
        <w:t>Tiamvet</w:t>
      </w:r>
      <w:proofErr w:type="spellEnd"/>
      <w:r w:rsidRPr="002E4637">
        <w:rPr>
          <w:rFonts w:ascii="Times New Roman" w:eastAsia="Times New Roman" w:hAnsi="Times New Roman"/>
          <w:lang w:eastAsia="cs-CZ"/>
        </w:rPr>
        <w:t xml:space="preserve"> 450 mg/g granule pro perorální roztok</w:t>
      </w:r>
    </w:p>
    <w:p w14:paraId="321149ED" w14:textId="77777777" w:rsidR="00F849A6" w:rsidRPr="00C5151C" w:rsidRDefault="00F849A6" w:rsidP="002E4637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5C4DD4D9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1.</w:t>
      </w:r>
      <w:r w:rsidRPr="00C5151C">
        <w:rPr>
          <w:rFonts w:ascii="Times New Roman" w:eastAsia="Times New Roman" w:hAnsi="Times New Roman"/>
          <w:b/>
          <w:lang w:eastAsia="cs-CZ"/>
        </w:rPr>
        <w:tab/>
        <w:t xml:space="preserve">JMÉNO A ADRESA DRŽITELE ROZHODNUTÍ O REGISTRACI A DRŽITELE POVOLENÍ K VÝROBĚ ODPOVĚDNÉHO ZA UVOLNĚNÍ ŠARŽE, POKUD SE </w:t>
      </w:r>
      <w:bookmarkStart w:id="4" w:name="_GoBack"/>
      <w:r w:rsidRPr="00C5151C">
        <w:rPr>
          <w:rFonts w:ascii="Times New Roman" w:eastAsia="Times New Roman" w:hAnsi="Times New Roman"/>
          <w:b/>
          <w:lang w:eastAsia="cs-CZ"/>
        </w:rPr>
        <w:t>NESHODUJE</w:t>
      </w:r>
      <w:bookmarkEnd w:id="4"/>
    </w:p>
    <w:p w14:paraId="30EB7B2D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54E127DE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  <w:r w:rsidRPr="00C5151C">
        <w:rPr>
          <w:rFonts w:ascii="Times New Roman" w:eastAsia="Times New Roman" w:hAnsi="Times New Roman"/>
          <w:iCs/>
          <w:u w:val="single"/>
          <w:lang w:eastAsia="cs-CZ"/>
        </w:rPr>
        <w:t>Držitel rozhodnutí o registraci</w:t>
      </w:r>
      <w:r w:rsidRPr="00C5151C">
        <w:rPr>
          <w:rFonts w:ascii="Times New Roman" w:eastAsia="Times New Roman" w:hAnsi="Times New Roman"/>
          <w:iCs/>
          <w:lang w:eastAsia="cs-CZ"/>
        </w:rPr>
        <w:t>:</w:t>
      </w:r>
    </w:p>
    <w:p w14:paraId="5CC3442B" w14:textId="77777777" w:rsidR="00C5151C" w:rsidRPr="00C5151C" w:rsidRDefault="00C5151C" w:rsidP="00C5151C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C5151C">
        <w:rPr>
          <w:rFonts w:ascii="Times New Roman" w:eastAsia="Times New Roman" w:hAnsi="Times New Roman"/>
          <w:lang w:eastAsia="sk-SK"/>
        </w:rPr>
        <w:t xml:space="preserve">CEVA ANIMAL HEALTH SLOVAKIA, s.r.o.,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Prievozská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5434/6A, </w:t>
      </w:r>
    </w:p>
    <w:p w14:paraId="4A1AFB44" w14:textId="77777777" w:rsidR="00C5151C" w:rsidRPr="00C5151C" w:rsidRDefault="00C5151C" w:rsidP="00C5151C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C5151C">
        <w:rPr>
          <w:rFonts w:ascii="Times New Roman" w:eastAsia="Times New Roman" w:hAnsi="Times New Roman"/>
          <w:lang w:eastAsia="sk-SK"/>
        </w:rPr>
        <w:t xml:space="preserve">821 09 Bratislava -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mestská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časť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Ružinov</w:t>
      </w:r>
      <w:proofErr w:type="spellEnd"/>
      <w:r w:rsidRPr="00C5151C">
        <w:rPr>
          <w:rFonts w:ascii="Times New Roman" w:eastAsia="Times New Roman" w:hAnsi="Times New Roman"/>
          <w:lang w:eastAsia="sk-SK"/>
        </w:rPr>
        <w:t>, SR</w:t>
      </w:r>
    </w:p>
    <w:p w14:paraId="08262AC9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B4414A5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Cs/>
          <w:u w:val="single"/>
          <w:lang w:eastAsia="cs-CZ"/>
        </w:rPr>
        <w:t>Výrobce odpovědný za uvolnění šarže</w:t>
      </w:r>
      <w:r w:rsidRPr="00C5151C">
        <w:rPr>
          <w:rFonts w:ascii="Times New Roman" w:eastAsia="Times New Roman" w:hAnsi="Times New Roman"/>
          <w:lang w:eastAsia="cs-CZ"/>
        </w:rPr>
        <w:t>:</w:t>
      </w:r>
    </w:p>
    <w:p w14:paraId="3DD8DD8D" w14:textId="77777777" w:rsidR="00C5151C" w:rsidRPr="00C5151C" w:rsidRDefault="00C5151C" w:rsidP="00C5151C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proofErr w:type="spellStart"/>
      <w:r w:rsidRPr="00C5151C">
        <w:rPr>
          <w:rFonts w:ascii="Times New Roman" w:eastAsia="Times New Roman" w:hAnsi="Times New Roman"/>
          <w:lang w:eastAsia="sk-SK"/>
        </w:rPr>
        <w:t>Ceva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Santé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Animale, ZI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Trés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le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proofErr w:type="gramStart"/>
      <w:r w:rsidRPr="00C5151C">
        <w:rPr>
          <w:rFonts w:ascii="Times New Roman" w:eastAsia="Times New Roman" w:hAnsi="Times New Roman"/>
          <w:lang w:eastAsia="sk-SK"/>
        </w:rPr>
        <w:t>bois</w:t>
      </w:r>
      <w:proofErr w:type="spellEnd"/>
      <w:r w:rsidRPr="00C5151C">
        <w:rPr>
          <w:rFonts w:ascii="Times New Roman" w:eastAsia="Times New Roman" w:hAnsi="Times New Roman"/>
          <w:lang w:eastAsia="sk-SK"/>
        </w:rPr>
        <w:t xml:space="preserve"> - </w:t>
      </w:r>
      <w:proofErr w:type="spellStart"/>
      <w:r w:rsidRPr="00C5151C">
        <w:rPr>
          <w:rFonts w:ascii="Times New Roman" w:eastAsia="Times New Roman" w:hAnsi="Times New Roman"/>
          <w:lang w:eastAsia="sk-SK"/>
        </w:rPr>
        <w:t>Loudeac</w:t>
      </w:r>
      <w:proofErr w:type="spellEnd"/>
      <w:proofErr w:type="gramEnd"/>
      <w:r w:rsidRPr="00C5151C">
        <w:rPr>
          <w:rFonts w:ascii="Times New Roman" w:eastAsia="Times New Roman" w:hAnsi="Times New Roman"/>
          <w:lang w:eastAsia="sk-SK"/>
        </w:rPr>
        <w:t>, Francie</w:t>
      </w:r>
      <w:r w:rsidRPr="00C5151C">
        <w:rPr>
          <w:rFonts w:ascii="Times New Roman" w:eastAsia="Times New Roman" w:hAnsi="Times New Roman"/>
          <w:b/>
          <w:lang w:eastAsia="sk-SK"/>
        </w:rPr>
        <w:t xml:space="preserve"> </w:t>
      </w:r>
    </w:p>
    <w:p w14:paraId="43B83B5F" w14:textId="77777777" w:rsidR="00C5151C" w:rsidRPr="00C5151C" w:rsidRDefault="00C5151C" w:rsidP="00C5151C">
      <w:pPr>
        <w:spacing w:after="0" w:line="240" w:lineRule="auto"/>
        <w:rPr>
          <w:rFonts w:ascii="Times New Roman" w:eastAsia="Times New Roman" w:hAnsi="Times New Roman"/>
          <w:lang w:val="en-US" w:eastAsia="sk-SK"/>
        </w:rPr>
      </w:pPr>
      <w:proofErr w:type="spellStart"/>
      <w:r w:rsidRPr="00C5151C">
        <w:rPr>
          <w:rFonts w:ascii="Times New Roman" w:eastAsia="Times New Roman" w:hAnsi="Times New Roman"/>
          <w:lang w:val="en-US" w:eastAsia="sk-SK"/>
        </w:rPr>
        <w:t>Biovet</w:t>
      </w:r>
      <w:proofErr w:type="spellEnd"/>
      <w:r w:rsidRPr="00C5151C">
        <w:rPr>
          <w:rFonts w:ascii="Times New Roman" w:eastAsia="Times New Roman" w:hAnsi="Times New Roman"/>
          <w:lang w:val="en-US" w:eastAsia="sk-SK"/>
        </w:rPr>
        <w:t xml:space="preserve"> Joint Stock Company,39, </w:t>
      </w:r>
      <w:proofErr w:type="spellStart"/>
      <w:r w:rsidRPr="00C5151C">
        <w:rPr>
          <w:rFonts w:ascii="Times New Roman" w:eastAsia="Times New Roman" w:hAnsi="Times New Roman"/>
          <w:lang w:val="en-US" w:eastAsia="sk-SK"/>
        </w:rPr>
        <w:t>Petar</w:t>
      </w:r>
      <w:proofErr w:type="spellEnd"/>
      <w:r w:rsidRPr="00C5151C">
        <w:rPr>
          <w:rFonts w:ascii="Times New Roman" w:eastAsia="Times New Roman" w:hAnsi="Times New Roman"/>
          <w:lang w:val="en-US" w:eastAsia="sk-SK"/>
        </w:rPr>
        <w:t xml:space="preserve"> </w:t>
      </w:r>
      <w:proofErr w:type="spellStart"/>
      <w:r w:rsidRPr="00C5151C">
        <w:rPr>
          <w:rFonts w:ascii="Times New Roman" w:eastAsia="Times New Roman" w:hAnsi="Times New Roman"/>
          <w:lang w:val="en-US" w:eastAsia="sk-SK"/>
        </w:rPr>
        <w:t>Rakov</w:t>
      </w:r>
      <w:proofErr w:type="spellEnd"/>
      <w:r w:rsidRPr="00C5151C">
        <w:rPr>
          <w:rFonts w:ascii="Times New Roman" w:eastAsia="Times New Roman" w:hAnsi="Times New Roman"/>
          <w:lang w:val="en-US" w:eastAsia="sk-SK"/>
        </w:rPr>
        <w:t xml:space="preserve"> Street </w:t>
      </w:r>
      <w:proofErr w:type="spellStart"/>
      <w:r w:rsidRPr="00C5151C">
        <w:rPr>
          <w:rFonts w:ascii="Times New Roman" w:eastAsia="Times New Roman" w:hAnsi="Times New Roman"/>
          <w:lang w:val="en-US" w:eastAsia="sk-SK"/>
        </w:rPr>
        <w:t>Peshtera</w:t>
      </w:r>
      <w:proofErr w:type="spellEnd"/>
      <w:r w:rsidRPr="00C5151C">
        <w:rPr>
          <w:rFonts w:ascii="Times New Roman" w:eastAsia="Times New Roman" w:hAnsi="Times New Roman"/>
          <w:lang w:val="en-US" w:eastAsia="sk-SK"/>
        </w:rPr>
        <w:t xml:space="preserve"> 4550, </w:t>
      </w:r>
      <w:proofErr w:type="spellStart"/>
      <w:r w:rsidRPr="00C5151C">
        <w:rPr>
          <w:rFonts w:ascii="Times New Roman" w:eastAsia="Times New Roman" w:hAnsi="Times New Roman"/>
          <w:lang w:val="en-US" w:eastAsia="sk-SK"/>
        </w:rPr>
        <w:t>Bulharsko</w:t>
      </w:r>
      <w:proofErr w:type="spellEnd"/>
    </w:p>
    <w:p w14:paraId="0DCA7A7D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BC9D21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2</w:t>
      </w:r>
      <w:r w:rsidRPr="00C5151C">
        <w:rPr>
          <w:rFonts w:ascii="Times New Roman" w:eastAsia="Times New Roman" w:hAnsi="Times New Roman"/>
          <w:b/>
          <w:lang w:eastAsia="cs-CZ"/>
        </w:rPr>
        <w:t>.</w:t>
      </w:r>
      <w:r w:rsidRPr="00C5151C">
        <w:rPr>
          <w:rFonts w:ascii="Times New Roman" w:eastAsia="Times New Roman" w:hAnsi="Times New Roman"/>
          <w:b/>
          <w:lang w:eastAsia="cs-CZ"/>
        </w:rPr>
        <w:tab/>
        <w:t>NÁZEV VETERINÁRNÍHO LÉČIVÉHO PŘÍPRAVKU</w:t>
      </w:r>
    </w:p>
    <w:p w14:paraId="788EB863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</w:p>
    <w:p w14:paraId="1644B8F6" w14:textId="16581302" w:rsidR="00F849A6" w:rsidRDefault="002E4637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2E4637">
        <w:rPr>
          <w:rFonts w:ascii="Times New Roman" w:eastAsia="Times New Roman" w:hAnsi="Times New Roman"/>
          <w:lang w:eastAsia="cs-CZ"/>
        </w:rPr>
        <w:t>Tiamvet</w:t>
      </w:r>
      <w:proofErr w:type="spellEnd"/>
      <w:r w:rsidRPr="002E4637">
        <w:rPr>
          <w:rFonts w:ascii="Times New Roman" w:eastAsia="Times New Roman" w:hAnsi="Times New Roman"/>
          <w:lang w:eastAsia="cs-CZ"/>
        </w:rPr>
        <w:t xml:space="preserve"> 450 mg/g granule pro perorální roztok</w:t>
      </w:r>
    </w:p>
    <w:p w14:paraId="4BDDEA20" w14:textId="3B84CB8B" w:rsidR="00290C35" w:rsidRPr="002E4637" w:rsidRDefault="00290C35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71B73">
        <w:rPr>
          <w:rFonts w:ascii="Times New Roman" w:hAnsi="Times New Roman"/>
        </w:rPr>
        <w:t>Tiamulini</w:t>
      </w:r>
      <w:proofErr w:type="spellEnd"/>
      <w:r w:rsidRPr="00171B73">
        <w:rPr>
          <w:rFonts w:ascii="Times New Roman" w:hAnsi="Times New Roman"/>
        </w:rPr>
        <w:t xml:space="preserve"> </w:t>
      </w:r>
      <w:proofErr w:type="spellStart"/>
      <w:r w:rsidRPr="00171B73">
        <w:rPr>
          <w:rFonts w:ascii="Times New Roman" w:hAnsi="Times New Roman"/>
        </w:rPr>
        <w:t>hydrogenofumaras</w:t>
      </w:r>
      <w:proofErr w:type="spellEnd"/>
    </w:p>
    <w:p w14:paraId="657866BE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570A7BC3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3.</w:t>
      </w:r>
      <w:r w:rsidRPr="00C5151C">
        <w:rPr>
          <w:rFonts w:ascii="Times New Roman" w:eastAsia="Times New Roman" w:hAnsi="Times New Roman"/>
          <w:b/>
          <w:lang w:eastAsia="cs-CZ"/>
        </w:rPr>
        <w:tab/>
        <w:t>OBSAH LÉČIVÝCH A OSTATNÍCH LÁTEK</w:t>
      </w:r>
    </w:p>
    <w:p w14:paraId="483AC187" w14:textId="7081617E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6944E6A" w14:textId="77777777" w:rsidR="00290C35" w:rsidRPr="00B1585C" w:rsidRDefault="00290C35" w:rsidP="00B1585C">
      <w:pPr>
        <w:spacing w:after="0" w:line="240" w:lineRule="auto"/>
        <w:rPr>
          <w:rFonts w:ascii="Times New Roman" w:hAnsi="Times New Roman"/>
        </w:rPr>
      </w:pPr>
      <w:bookmarkStart w:id="5" w:name="_Hlk87454457"/>
      <w:r w:rsidRPr="00B1585C">
        <w:rPr>
          <w:rFonts w:ascii="Times New Roman" w:hAnsi="Times New Roman"/>
        </w:rPr>
        <w:t>Přípravek obsahuje v 1 g:</w:t>
      </w:r>
    </w:p>
    <w:p w14:paraId="5290E9E2" w14:textId="77777777" w:rsidR="00290C35" w:rsidRPr="00062AC5" w:rsidRDefault="00290C35" w:rsidP="00290C35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1C6977D8" w14:textId="77777777" w:rsidR="00290C35" w:rsidRPr="00171B73" w:rsidRDefault="00290C35" w:rsidP="00B1585C">
      <w:pPr>
        <w:spacing w:after="0" w:line="240" w:lineRule="auto"/>
        <w:rPr>
          <w:rFonts w:ascii="Times New Roman" w:hAnsi="Times New Roman"/>
          <w:b/>
        </w:rPr>
      </w:pPr>
      <w:r w:rsidRPr="00171B73">
        <w:rPr>
          <w:rFonts w:ascii="Times New Roman" w:hAnsi="Times New Roman"/>
          <w:b/>
        </w:rPr>
        <w:t>Léčivá látka:</w:t>
      </w:r>
    </w:p>
    <w:p w14:paraId="15274CCC" w14:textId="77777777" w:rsidR="00290C35" w:rsidRPr="00171B73" w:rsidRDefault="00290C35" w:rsidP="00B1585C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proofErr w:type="spellStart"/>
      <w:r w:rsidRPr="00171B73">
        <w:rPr>
          <w:rFonts w:ascii="Times New Roman" w:hAnsi="Times New Roman"/>
        </w:rPr>
        <w:t>Tiamulini</w:t>
      </w:r>
      <w:proofErr w:type="spellEnd"/>
      <w:r w:rsidRPr="00171B73">
        <w:rPr>
          <w:rFonts w:ascii="Times New Roman" w:hAnsi="Times New Roman"/>
        </w:rPr>
        <w:t xml:space="preserve"> </w:t>
      </w:r>
      <w:proofErr w:type="spellStart"/>
      <w:r w:rsidRPr="00171B73">
        <w:rPr>
          <w:rFonts w:ascii="Times New Roman" w:hAnsi="Times New Roman"/>
        </w:rPr>
        <w:t>hydrogenofumaras</w:t>
      </w:r>
      <w:proofErr w:type="spellEnd"/>
      <w:r w:rsidRPr="00171B73">
        <w:rPr>
          <w:rFonts w:ascii="Times New Roman" w:hAnsi="Times New Roman"/>
        </w:rPr>
        <w:tab/>
        <w:t>450 mg</w:t>
      </w:r>
    </w:p>
    <w:bookmarkEnd w:id="5"/>
    <w:p w14:paraId="7CEF633A" w14:textId="77777777" w:rsidR="00290C35" w:rsidRPr="00171B73" w:rsidRDefault="00290C35" w:rsidP="00290C35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647367C7" w14:textId="60A7A96B" w:rsidR="00290C35" w:rsidRPr="00171B73" w:rsidRDefault="00290C35" w:rsidP="00B1585C">
      <w:pPr>
        <w:spacing w:after="0" w:line="240" w:lineRule="auto"/>
        <w:rPr>
          <w:rFonts w:ascii="Times New Roman" w:hAnsi="Times New Roman"/>
        </w:rPr>
      </w:pPr>
      <w:r w:rsidRPr="00171B73">
        <w:rPr>
          <w:rFonts w:ascii="Times New Roman" w:hAnsi="Times New Roman"/>
        </w:rPr>
        <w:t>Bílé až světle žluté granule</w:t>
      </w:r>
      <w:r>
        <w:rPr>
          <w:rFonts w:ascii="Times New Roman" w:hAnsi="Times New Roman"/>
        </w:rPr>
        <w:t xml:space="preserve"> pro perorální roztok</w:t>
      </w:r>
    </w:p>
    <w:p w14:paraId="111F4225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73940B5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4.</w:t>
      </w:r>
      <w:r w:rsidRPr="00C5151C">
        <w:rPr>
          <w:rFonts w:ascii="Times New Roman" w:eastAsia="Times New Roman" w:hAnsi="Times New Roman"/>
          <w:b/>
          <w:lang w:eastAsia="cs-CZ"/>
        </w:rPr>
        <w:tab/>
        <w:t>INDIKACE</w:t>
      </w:r>
    </w:p>
    <w:p w14:paraId="6A745397" w14:textId="77777777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0BB7C12B" w14:textId="77777777" w:rsidR="00415119" w:rsidRPr="00415119" w:rsidRDefault="00415119" w:rsidP="00B1585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15119">
        <w:rPr>
          <w:rFonts w:ascii="Times New Roman" w:eastAsia="Times New Roman" w:hAnsi="Times New Roman"/>
          <w:u w:val="single"/>
        </w:rPr>
        <w:t>Prasata</w:t>
      </w:r>
    </w:p>
    <w:p w14:paraId="237A4505" w14:textId="77777777" w:rsidR="00415119" w:rsidRPr="00415119" w:rsidRDefault="00415119" w:rsidP="00B15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5119">
        <w:rPr>
          <w:rFonts w:ascii="Times New Roman" w:eastAsia="Times New Roman" w:hAnsi="Times New Roman"/>
        </w:rPr>
        <w:t xml:space="preserve">Léčba dyzentérie prasat způsobené </w:t>
      </w:r>
      <w:r w:rsidRPr="00415119">
        <w:rPr>
          <w:rFonts w:ascii="Times New Roman" w:eastAsia="Times New Roman" w:hAnsi="Times New Roman"/>
          <w:i/>
          <w:iCs/>
        </w:rPr>
        <w:t xml:space="preserve">Brachyspira hyodysenteriae </w:t>
      </w:r>
      <w:r w:rsidRPr="00415119">
        <w:rPr>
          <w:rFonts w:ascii="Times New Roman" w:eastAsia="Times New Roman" w:hAnsi="Times New Roman"/>
        </w:rPr>
        <w:t>citlivou k </w:t>
      </w:r>
      <w:proofErr w:type="spellStart"/>
      <w:r w:rsidRPr="00415119">
        <w:rPr>
          <w:rFonts w:ascii="Times New Roman" w:eastAsia="Times New Roman" w:hAnsi="Times New Roman"/>
        </w:rPr>
        <w:t>tiamulinu</w:t>
      </w:r>
      <w:proofErr w:type="spellEnd"/>
      <w:r w:rsidRPr="00415119">
        <w:rPr>
          <w:rFonts w:ascii="Times New Roman" w:eastAsia="Times New Roman" w:hAnsi="Times New Roman"/>
        </w:rPr>
        <w:t>. Před použitím přípravku musí být stanovena přítomnost onemocnění ve stádě.</w:t>
      </w:r>
    </w:p>
    <w:p w14:paraId="24B6A5B6" w14:textId="77777777" w:rsidR="00415119" w:rsidRPr="00415119" w:rsidRDefault="00415119" w:rsidP="00B15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5119">
        <w:rPr>
          <w:rFonts w:ascii="Times New Roman" w:eastAsia="Times New Roman" w:hAnsi="Times New Roman"/>
        </w:rPr>
        <w:t xml:space="preserve">Léčba spirochetózy tlustého střeva prasat (kolitidy) způsobené </w:t>
      </w:r>
      <w:r w:rsidRPr="00415119">
        <w:rPr>
          <w:rFonts w:ascii="Times New Roman" w:eastAsia="Times New Roman" w:hAnsi="Times New Roman"/>
          <w:i/>
          <w:iCs/>
        </w:rPr>
        <w:t xml:space="preserve">Brachyspira </w:t>
      </w:r>
      <w:proofErr w:type="spellStart"/>
      <w:r w:rsidRPr="00415119">
        <w:rPr>
          <w:rFonts w:ascii="Times New Roman" w:eastAsia="Times New Roman" w:hAnsi="Times New Roman"/>
          <w:i/>
          <w:iCs/>
        </w:rPr>
        <w:t>pilosicoli</w:t>
      </w:r>
      <w:proofErr w:type="spellEnd"/>
      <w:r w:rsidRPr="00415119">
        <w:rPr>
          <w:rFonts w:ascii="Times New Roman" w:eastAsia="Times New Roman" w:hAnsi="Times New Roman"/>
          <w:i/>
          <w:iCs/>
        </w:rPr>
        <w:t xml:space="preserve"> </w:t>
      </w:r>
      <w:r w:rsidRPr="00415119">
        <w:rPr>
          <w:rFonts w:ascii="Times New Roman" w:eastAsia="Times New Roman" w:hAnsi="Times New Roman"/>
        </w:rPr>
        <w:t xml:space="preserve">citlivou k </w:t>
      </w:r>
      <w:proofErr w:type="spellStart"/>
      <w:r w:rsidRPr="00415119">
        <w:rPr>
          <w:rFonts w:ascii="Times New Roman" w:eastAsia="Times New Roman" w:hAnsi="Times New Roman"/>
        </w:rPr>
        <w:t>tiamulinu</w:t>
      </w:r>
      <w:proofErr w:type="spellEnd"/>
      <w:r w:rsidRPr="00415119">
        <w:rPr>
          <w:rFonts w:ascii="Times New Roman" w:eastAsia="Times New Roman" w:hAnsi="Times New Roman"/>
          <w:i/>
          <w:iCs/>
        </w:rPr>
        <w:t xml:space="preserve">. </w:t>
      </w:r>
      <w:r w:rsidRPr="00415119">
        <w:rPr>
          <w:rFonts w:ascii="Times New Roman" w:eastAsia="Times New Roman" w:hAnsi="Times New Roman"/>
        </w:rPr>
        <w:t>Před použitím přípravku musí být stanovena přítomnost onemocnění ve stádě.</w:t>
      </w:r>
    </w:p>
    <w:p w14:paraId="0E00093E" w14:textId="77777777" w:rsidR="00415119" w:rsidRPr="00415119" w:rsidRDefault="00415119" w:rsidP="00B15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5119">
        <w:rPr>
          <w:rFonts w:ascii="Times New Roman" w:eastAsia="Times New Roman" w:hAnsi="Times New Roman"/>
        </w:rPr>
        <w:t xml:space="preserve">Léčba </w:t>
      </w:r>
      <w:proofErr w:type="spellStart"/>
      <w:r w:rsidRPr="00415119">
        <w:rPr>
          <w:rFonts w:ascii="Times New Roman" w:eastAsia="Times New Roman" w:hAnsi="Times New Roman"/>
        </w:rPr>
        <w:t>proliferativní</w:t>
      </w:r>
      <w:proofErr w:type="spellEnd"/>
      <w:r w:rsidRPr="00415119">
        <w:rPr>
          <w:rFonts w:ascii="Times New Roman" w:eastAsia="Times New Roman" w:hAnsi="Times New Roman"/>
        </w:rPr>
        <w:t xml:space="preserve"> </w:t>
      </w:r>
      <w:proofErr w:type="spellStart"/>
      <w:r w:rsidRPr="00415119">
        <w:rPr>
          <w:rFonts w:ascii="Times New Roman" w:eastAsia="Times New Roman" w:hAnsi="Times New Roman"/>
        </w:rPr>
        <w:t>enteropatie</w:t>
      </w:r>
      <w:proofErr w:type="spellEnd"/>
      <w:r w:rsidRPr="00415119">
        <w:rPr>
          <w:rFonts w:ascii="Times New Roman" w:eastAsia="Times New Roman" w:hAnsi="Times New Roman"/>
        </w:rPr>
        <w:t xml:space="preserve"> prasat (ileitidy) způsobené </w:t>
      </w:r>
      <w:r w:rsidRPr="00415119">
        <w:rPr>
          <w:rFonts w:ascii="Times New Roman" w:eastAsia="Times New Roman" w:hAnsi="Times New Roman"/>
          <w:i/>
        </w:rPr>
        <w:t>Lawsonia intracellularis</w:t>
      </w:r>
      <w:r w:rsidRPr="00415119">
        <w:rPr>
          <w:rFonts w:ascii="Times New Roman" w:eastAsia="Times New Roman" w:hAnsi="Times New Roman"/>
        </w:rPr>
        <w:t xml:space="preserve"> citlivou </w:t>
      </w:r>
      <w:r w:rsidRPr="00415119">
        <w:rPr>
          <w:rFonts w:ascii="Times New Roman" w:eastAsia="Times New Roman" w:hAnsi="Times New Roman"/>
        </w:rPr>
        <w:br/>
        <w:t>k tiamulinu. Před použitím přípravku musí být stanovena přítomnost onemocnění ve stádě.</w:t>
      </w:r>
    </w:p>
    <w:p w14:paraId="326F45FF" w14:textId="77777777" w:rsidR="00415119" w:rsidRPr="00415119" w:rsidRDefault="00415119" w:rsidP="00B158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15119">
        <w:rPr>
          <w:rFonts w:ascii="Times New Roman" w:eastAsia="Times New Roman" w:hAnsi="Times New Roman"/>
        </w:rPr>
        <w:t xml:space="preserve">Léčba a metafylaxe enzootické pneumonie způsobené </w:t>
      </w:r>
      <w:r w:rsidRPr="00415119">
        <w:rPr>
          <w:rFonts w:ascii="Times New Roman" w:eastAsia="Times New Roman" w:hAnsi="Times New Roman"/>
          <w:i/>
          <w:iCs/>
        </w:rPr>
        <w:t xml:space="preserve">Mycoplasma hyopneumoniae </w:t>
      </w:r>
      <w:r w:rsidRPr="00415119">
        <w:rPr>
          <w:rFonts w:ascii="Times New Roman" w:eastAsia="Times New Roman" w:hAnsi="Times New Roman"/>
        </w:rPr>
        <w:t xml:space="preserve">včetně infekcí komplikovaných </w:t>
      </w:r>
      <w:r w:rsidRPr="00415119">
        <w:rPr>
          <w:rFonts w:ascii="Times New Roman" w:eastAsia="Times New Roman" w:hAnsi="Times New Roman"/>
          <w:i/>
          <w:iCs/>
        </w:rPr>
        <w:t xml:space="preserve">Pasteurella multocida </w:t>
      </w:r>
      <w:r w:rsidRPr="00415119">
        <w:rPr>
          <w:rFonts w:ascii="Times New Roman" w:eastAsia="Times New Roman" w:hAnsi="Times New Roman"/>
        </w:rPr>
        <w:t>citlivými k tiamulinu</w:t>
      </w:r>
      <w:r w:rsidRPr="00415119">
        <w:rPr>
          <w:rFonts w:ascii="Times New Roman" w:eastAsia="Times New Roman" w:hAnsi="Times New Roman"/>
          <w:i/>
          <w:iCs/>
        </w:rPr>
        <w:t xml:space="preserve">. </w:t>
      </w:r>
      <w:r w:rsidRPr="00415119">
        <w:rPr>
          <w:rFonts w:ascii="Times New Roman" w:eastAsia="Times New Roman" w:hAnsi="Times New Roman"/>
        </w:rPr>
        <w:t>Před použitím přípravku musí být stanovena přítomnost onemocnění ve stádě.</w:t>
      </w:r>
    </w:p>
    <w:p w14:paraId="71DD237F" w14:textId="77777777" w:rsidR="00415119" w:rsidRPr="00B1585C" w:rsidRDefault="00415119" w:rsidP="004151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1585C">
        <w:rPr>
          <w:rFonts w:ascii="Times New Roman" w:eastAsia="Times New Roman" w:hAnsi="Times New Roman"/>
        </w:rPr>
        <w:t xml:space="preserve">Léčba pleuropneumonie způsobené </w:t>
      </w:r>
      <w:r w:rsidRPr="00B1585C">
        <w:rPr>
          <w:rFonts w:ascii="Times New Roman" w:eastAsia="Times New Roman" w:hAnsi="Times New Roman"/>
          <w:i/>
          <w:iCs/>
        </w:rPr>
        <w:t xml:space="preserve">Actinobacillus pleuropneumoniae </w:t>
      </w:r>
      <w:r w:rsidRPr="00B1585C">
        <w:rPr>
          <w:rFonts w:ascii="Times New Roman" w:eastAsia="Times New Roman" w:hAnsi="Times New Roman"/>
        </w:rPr>
        <w:t>citlivým k tiamulinu. Před použitím přípravku musí být stanovena přítomnost onemocnění ve stádě.</w:t>
      </w:r>
    </w:p>
    <w:p w14:paraId="4BA7B380" w14:textId="77777777" w:rsidR="00415119" w:rsidRPr="00415119" w:rsidRDefault="00415119" w:rsidP="00B1585C">
      <w:pPr>
        <w:spacing w:after="0" w:line="240" w:lineRule="auto"/>
        <w:jc w:val="both"/>
        <w:rPr>
          <w:rFonts w:ascii="Times New Roman" w:hAnsi="Times New Roman"/>
        </w:rPr>
      </w:pPr>
    </w:p>
    <w:p w14:paraId="7B9E12C8" w14:textId="77777777" w:rsidR="00415119" w:rsidRPr="00B1585C" w:rsidRDefault="00415119" w:rsidP="0041511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B1585C">
        <w:rPr>
          <w:rFonts w:ascii="Times New Roman" w:eastAsia="Times New Roman" w:hAnsi="Times New Roman"/>
          <w:u w:val="single"/>
        </w:rPr>
        <w:t>Kur domácí</w:t>
      </w:r>
    </w:p>
    <w:p w14:paraId="7A438853" w14:textId="550F3D6E" w:rsidR="00415119" w:rsidRPr="00415119" w:rsidRDefault="00415119" w:rsidP="00B1585C">
      <w:pPr>
        <w:spacing w:after="0" w:line="240" w:lineRule="auto"/>
        <w:jc w:val="both"/>
        <w:rPr>
          <w:rFonts w:ascii="Times New Roman" w:hAnsi="Times New Roman"/>
          <w:i/>
        </w:rPr>
      </w:pPr>
      <w:r w:rsidRPr="00415119">
        <w:rPr>
          <w:rFonts w:ascii="Times New Roman" w:eastAsia="Times New Roman" w:hAnsi="Times New Roman"/>
        </w:rPr>
        <w:t xml:space="preserve">Léčba a metafylaxe chronické respirační nemoci (C. R. D.) způsobené </w:t>
      </w:r>
      <w:r w:rsidRPr="00415119">
        <w:rPr>
          <w:rFonts w:ascii="Times New Roman" w:eastAsia="Times New Roman" w:hAnsi="Times New Roman"/>
          <w:i/>
        </w:rPr>
        <w:t>Mycoplasma gallisepticum</w:t>
      </w:r>
      <w:r w:rsidRPr="00415119">
        <w:rPr>
          <w:rFonts w:ascii="Times New Roman" w:eastAsia="Times New Roman" w:hAnsi="Times New Roman"/>
        </w:rPr>
        <w:t xml:space="preserve"> a zánětu vzdušných vaků a infekční synovitidy způsobených </w:t>
      </w:r>
      <w:r w:rsidRPr="00415119">
        <w:rPr>
          <w:rFonts w:ascii="Times New Roman" w:eastAsia="Times New Roman" w:hAnsi="Times New Roman"/>
          <w:i/>
        </w:rPr>
        <w:t xml:space="preserve">Mycoplasma synoviae </w:t>
      </w:r>
      <w:r w:rsidRPr="00415119">
        <w:rPr>
          <w:rFonts w:ascii="Times New Roman" w:eastAsia="Times New Roman" w:hAnsi="Times New Roman"/>
        </w:rPr>
        <w:t>citlivými k </w:t>
      </w:r>
      <w:proofErr w:type="spellStart"/>
      <w:r w:rsidRPr="00415119">
        <w:rPr>
          <w:rFonts w:ascii="Times New Roman" w:eastAsia="Times New Roman" w:hAnsi="Times New Roman"/>
        </w:rPr>
        <w:t>tiamulinu</w:t>
      </w:r>
      <w:proofErr w:type="spellEnd"/>
      <w:r w:rsidRPr="00415119">
        <w:rPr>
          <w:rFonts w:ascii="Times New Roman" w:eastAsia="Times New Roman" w:hAnsi="Times New Roman"/>
          <w:i/>
        </w:rPr>
        <w:t>.</w:t>
      </w:r>
      <w:r w:rsidRPr="00415119">
        <w:rPr>
          <w:rFonts w:ascii="Times New Roman" w:eastAsia="Times New Roman" w:hAnsi="Times New Roman"/>
        </w:rPr>
        <w:t xml:space="preserve"> Před použitím přípravku musí být stanovena přítomnost onemocnění v hejně.</w:t>
      </w:r>
    </w:p>
    <w:p w14:paraId="0BD1DA28" w14:textId="77777777" w:rsidR="00415119" w:rsidRPr="00415119" w:rsidRDefault="00415119" w:rsidP="00B1585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CAAE9B4" w14:textId="77777777" w:rsidR="00415119" w:rsidRPr="00415119" w:rsidRDefault="00415119" w:rsidP="00B1585C">
      <w:pPr>
        <w:keepNext/>
        <w:spacing w:after="0" w:line="240" w:lineRule="auto"/>
        <w:jc w:val="both"/>
        <w:rPr>
          <w:rFonts w:ascii="Times New Roman" w:hAnsi="Times New Roman"/>
          <w:u w:val="single"/>
        </w:rPr>
      </w:pPr>
      <w:r w:rsidRPr="00415119">
        <w:rPr>
          <w:rFonts w:ascii="Times New Roman" w:eastAsia="Times New Roman" w:hAnsi="Times New Roman"/>
          <w:u w:val="single"/>
        </w:rPr>
        <w:t>Krůty</w:t>
      </w:r>
    </w:p>
    <w:p w14:paraId="13D46893" w14:textId="77777777" w:rsidR="00415119" w:rsidRPr="00415119" w:rsidRDefault="00415119" w:rsidP="00B1585C">
      <w:pPr>
        <w:spacing w:after="0" w:line="240" w:lineRule="auto"/>
        <w:jc w:val="both"/>
        <w:rPr>
          <w:rFonts w:ascii="Times New Roman" w:hAnsi="Times New Roman"/>
          <w:i/>
        </w:rPr>
      </w:pPr>
      <w:r w:rsidRPr="00415119">
        <w:rPr>
          <w:rFonts w:ascii="Times New Roman" w:eastAsia="Times New Roman" w:hAnsi="Times New Roman"/>
        </w:rPr>
        <w:t xml:space="preserve">Léčba a metafylaxe infekční sinusitidy a zánětu vzdušných vaků způsobených </w:t>
      </w:r>
      <w:r w:rsidRPr="00415119">
        <w:rPr>
          <w:rFonts w:ascii="Times New Roman" w:eastAsia="Times New Roman" w:hAnsi="Times New Roman"/>
          <w:i/>
        </w:rPr>
        <w:t>Mycoplasma gallisepticum, Mycoplasma synoviae</w:t>
      </w:r>
      <w:r w:rsidRPr="00415119">
        <w:rPr>
          <w:rFonts w:ascii="Times New Roman" w:eastAsia="Times New Roman" w:hAnsi="Times New Roman"/>
        </w:rPr>
        <w:t xml:space="preserve"> a </w:t>
      </w:r>
      <w:r w:rsidRPr="00415119">
        <w:rPr>
          <w:rFonts w:ascii="Times New Roman" w:eastAsia="Times New Roman" w:hAnsi="Times New Roman"/>
          <w:i/>
        </w:rPr>
        <w:t xml:space="preserve">Mycoplasma meleagridis </w:t>
      </w:r>
      <w:r w:rsidRPr="00415119">
        <w:rPr>
          <w:rFonts w:ascii="Times New Roman" w:eastAsia="Times New Roman" w:hAnsi="Times New Roman"/>
        </w:rPr>
        <w:t>citlivými k </w:t>
      </w:r>
      <w:proofErr w:type="spellStart"/>
      <w:r w:rsidRPr="00415119">
        <w:rPr>
          <w:rFonts w:ascii="Times New Roman" w:eastAsia="Times New Roman" w:hAnsi="Times New Roman"/>
        </w:rPr>
        <w:t>tiamulinu</w:t>
      </w:r>
      <w:proofErr w:type="spellEnd"/>
      <w:r w:rsidRPr="00415119">
        <w:rPr>
          <w:rFonts w:ascii="Times New Roman" w:eastAsia="Times New Roman" w:hAnsi="Times New Roman"/>
        </w:rPr>
        <w:t>. Před použitím přípravku musí být stanovena přítomnost onemocnění v hejně.</w:t>
      </w:r>
    </w:p>
    <w:p w14:paraId="6295325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0BA5FC0" w14:textId="77777777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5.</w:t>
      </w:r>
      <w:r w:rsidRPr="00C5151C">
        <w:rPr>
          <w:rFonts w:ascii="Times New Roman" w:eastAsia="Times New Roman" w:hAnsi="Times New Roman"/>
          <w:b/>
          <w:lang w:eastAsia="cs-CZ"/>
        </w:rPr>
        <w:t xml:space="preserve"> </w:t>
      </w:r>
      <w:r w:rsidRPr="00C5151C">
        <w:rPr>
          <w:rFonts w:ascii="Times New Roman" w:eastAsia="Times New Roman" w:hAnsi="Times New Roman"/>
          <w:b/>
          <w:lang w:eastAsia="cs-CZ"/>
        </w:rPr>
        <w:tab/>
        <w:t>KONTRAINDIKACE</w:t>
      </w:r>
    </w:p>
    <w:p w14:paraId="58F7F82E" w14:textId="77777777" w:rsidR="00007AFD" w:rsidRDefault="00007AFD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BF8D5BA" w14:textId="77777777" w:rsidR="00007AFD" w:rsidRPr="00007AFD" w:rsidRDefault="00007AFD" w:rsidP="00B1585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</w:rPr>
      </w:pPr>
      <w:r w:rsidRPr="00007AFD">
        <w:rPr>
          <w:rFonts w:ascii="Times New Roman" w:eastAsia="Times New Roman" w:hAnsi="Times New Roman"/>
        </w:rPr>
        <w:t xml:space="preserve">Nepoužívejte u prasat a drůbeže, která mohla být </w:t>
      </w:r>
      <w:proofErr w:type="spellStart"/>
      <w:r w:rsidRPr="00007AFD">
        <w:rPr>
          <w:rFonts w:ascii="Times New Roman" w:eastAsia="Times New Roman" w:hAnsi="Times New Roman"/>
        </w:rPr>
        <w:t>medikována</w:t>
      </w:r>
      <w:proofErr w:type="spellEnd"/>
      <w:r w:rsidRPr="00007AFD">
        <w:rPr>
          <w:rFonts w:ascii="Times New Roman" w:eastAsia="Times New Roman" w:hAnsi="Times New Roman"/>
        </w:rPr>
        <w:t xml:space="preserve"> přípravky obsahujícími </w:t>
      </w:r>
      <w:proofErr w:type="spellStart"/>
      <w:r w:rsidRPr="00007AFD">
        <w:rPr>
          <w:rFonts w:ascii="Times New Roman" w:eastAsia="Times New Roman" w:hAnsi="Times New Roman"/>
        </w:rPr>
        <w:t>monensin</w:t>
      </w:r>
      <w:proofErr w:type="spellEnd"/>
      <w:r w:rsidRPr="00007AFD">
        <w:rPr>
          <w:rFonts w:ascii="Times New Roman" w:eastAsia="Times New Roman" w:hAnsi="Times New Roman"/>
        </w:rPr>
        <w:t xml:space="preserve">, </w:t>
      </w:r>
      <w:proofErr w:type="spellStart"/>
      <w:r w:rsidRPr="00007AFD">
        <w:rPr>
          <w:rFonts w:ascii="Times New Roman" w:eastAsia="Times New Roman" w:hAnsi="Times New Roman"/>
        </w:rPr>
        <w:t>narasin</w:t>
      </w:r>
      <w:proofErr w:type="spellEnd"/>
      <w:r w:rsidRPr="00007AFD">
        <w:rPr>
          <w:rFonts w:ascii="Times New Roman" w:eastAsia="Times New Roman" w:hAnsi="Times New Roman"/>
        </w:rPr>
        <w:t xml:space="preserve"> nebo </w:t>
      </w:r>
      <w:proofErr w:type="spellStart"/>
      <w:r w:rsidRPr="00007AFD">
        <w:rPr>
          <w:rFonts w:ascii="Times New Roman" w:eastAsia="Times New Roman" w:hAnsi="Times New Roman"/>
        </w:rPr>
        <w:t>salinomycin</w:t>
      </w:r>
      <w:proofErr w:type="spellEnd"/>
      <w:r w:rsidRPr="00007AFD">
        <w:rPr>
          <w:rFonts w:ascii="Times New Roman" w:eastAsia="Times New Roman" w:hAnsi="Times New Roman"/>
        </w:rPr>
        <w:t xml:space="preserve"> během terapie </w:t>
      </w:r>
      <w:proofErr w:type="spellStart"/>
      <w:r w:rsidRPr="00007AFD">
        <w:rPr>
          <w:rFonts w:ascii="Times New Roman" w:eastAsia="Times New Roman" w:hAnsi="Times New Roman"/>
        </w:rPr>
        <w:t>tiamulinem</w:t>
      </w:r>
      <w:proofErr w:type="spellEnd"/>
      <w:r w:rsidRPr="00007AFD">
        <w:rPr>
          <w:rFonts w:ascii="Times New Roman" w:eastAsia="Times New Roman" w:hAnsi="Times New Roman"/>
        </w:rPr>
        <w:t xml:space="preserve"> nebo alespoň sedm dní před nebo sedm dnů po terapii </w:t>
      </w:r>
      <w:proofErr w:type="spellStart"/>
      <w:r w:rsidRPr="00007AFD">
        <w:rPr>
          <w:rFonts w:ascii="Times New Roman" w:eastAsia="Times New Roman" w:hAnsi="Times New Roman"/>
        </w:rPr>
        <w:t>tiamulinem</w:t>
      </w:r>
      <w:proofErr w:type="spellEnd"/>
      <w:r w:rsidRPr="00007AFD">
        <w:rPr>
          <w:rFonts w:ascii="Times New Roman" w:eastAsia="Times New Roman" w:hAnsi="Times New Roman"/>
        </w:rPr>
        <w:t>. Následkem může být výrazné zpomalení růstu nebo úhyn.</w:t>
      </w:r>
    </w:p>
    <w:p w14:paraId="542C1251" w14:textId="77777777" w:rsidR="00007AFD" w:rsidRPr="00007AFD" w:rsidRDefault="00007AFD" w:rsidP="00B1585C">
      <w:pPr>
        <w:keepNext/>
        <w:keepLine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/>
        </w:rPr>
      </w:pPr>
      <w:r w:rsidRPr="00007AFD">
        <w:rPr>
          <w:rFonts w:ascii="Times New Roman" w:eastAsia="Times New Roman" w:hAnsi="Times New Roman"/>
        </w:rPr>
        <w:t>Nepoužívat v případě přecitlivělosti na léčivou látku, nebo na pomocnou látku.</w:t>
      </w:r>
    </w:p>
    <w:p w14:paraId="39C78DC9" w14:textId="77777777" w:rsidR="00007AFD" w:rsidRPr="00007AFD" w:rsidRDefault="00007AFD" w:rsidP="00B1585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07AFD">
        <w:rPr>
          <w:rFonts w:ascii="Times New Roman" w:eastAsia="Times New Roman" w:hAnsi="Times New Roman"/>
        </w:rPr>
        <w:t xml:space="preserve">Pro informace týkající se vzájemného působení mezi </w:t>
      </w:r>
      <w:proofErr w:type="spellStart"/>
      <w:r w:rsidRPr="00007AFD">
        <w:rPr>
          <w:rFonts w:ascii="Times New Roman" w:eastAsia="Times New Roman" w:hAnsi="Times New Roman"/>
        </w:rPr>
        <w:t>tiamulinem</w:t>
      </w:r>
      <w:proofErr w:type="spellEnd"/>
      <w:r w:rsidRPr="00007AFD">
        <w:rPr>
          <w:rFonts w:ascii="Times New Roman" w:eastAsia="Times New Roman" w:hAnsi="Times New Roman"/>
        </w:rPr>
        <w:t xml:space="preserve"> a ionofory viz část </w:t>
      </w:r>
      <w:r w:rsidR="00AE5140" w:rsidRPr="00AE5140">
        <w:rPr>
          <w:rFonts w:ascii="Times New Roman" w:eastAsia="Times New Roman" w:hAnsi="Times New Roman"/>
        </w:rPr>
        <w:t>9.</w:t>
      </w:r>
    </w:p>
    <w:p w14:paraId="3C04F1C1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4BB4192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6.</w:t>
      </w:r>
      <w:r w:rsidRPr="00C5151C">
        <w:rPr>
          <w:rFonts w:ascii="Times New Roman" w:eastAsia="Times New Roman" w:hAnsi="Times New Roman"/>
          <w:b/>
          <w:lang w:eastAsia="cs-CZ"/>
        </w:rPr>
        <w:tab/>
        <w:t>NEŽÁDOUCÍ ÚČINKY</w:t>
      </w:r>
    </w:p>
    <w:p w14:paraId="3ECF4A51" w14:textId="77777777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162DBD2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Ve velmi vzácných případech se může po použití tiamulinu objevit u prasat zarudnutí nebo lehký otok kůže.</w:t>
      </w:r>
    </w:p>
    <w:p w14:paraId="3897CB53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260064C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Četnost nežádoucích účinků je charakterizována podle následujících pravidel:</w:t>
      </w:r>
    </w:p>
    <w:p w14:paraId="28DE4E9A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37A3E3D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- velmi časté (nežádoucí účinek(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nky</w:t>
      </w:r>
      <w:proofErr w:type="spellEnd"/>
      <w:r w:rsidRPr="00AE5140">
        <w:rPr>
          <w:rFonts w:ascii="Times New Roman" w:eastAsia="Times New Roman" w:hAnsi="Times New Roman"/>
          <w:lang w:eastAsia="cs-CZ"/>
        </w:rPr>
        <w:t>) se projevil(y) u více než 1 z 10 ošetřených zvířat)</w:t>
      </w:r>
    </w:p>
    <w:p w14:paraId="33B29143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- časté (u více než 1, ale méně než 10 ze 100 ošetřených zvířat)</w:t>
      </w:r>
    </w:p>
    <w:p w14:paraId="647B8EC7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- neobvyklé (u více než 1, ale méně než 10 z 1000 ošetřených zvířat)</w:t>
      </w:r>
    </w:p>
    <w:p w14:paraId="73216785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- vzácné (u více než 1, ale méně než 10 z 10000 ošetřených zvířat)</w:t>
      </w:r>
    </w:p>
    <w:p w14:paraId="638D437D" w14:textId="77777777" w:rsid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- velmi vzácné (u méně než 1 z 10000 ošetřených zvířat, včetně ojedinělých hlášení).</w:t>
      </w:r>
    </w:p>
    <w:p w14:paraId="3D62FB16" w14:textId="77777777" w:rsid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9474B51" w14:textId="7310778F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Jestliže zaznamenáte kterýkoliv z nežádoucích účinků</w:t>
      </w:r>
      <w:r w:rsidR="008B6438">
        <w:rPr>
          <w:rFonts w:ascii="Times New Roman" w:eastAsia="Times New Roman" w:hAnsi="Times New Roman"/>
          <w:lang w:eastAsia="cs-CZ"/>
        </w:rPr>
        <w:t>,</w:t>
      </w:r>
      <w:r w:rsidRPr="00AE5140">
        <w:rPr>
          <w:rFonts w:ascii="Times New Roman" w:eastAsia="Times New Roman" w:hAnsi="Times New Roman"/>
          <w:lang w:eastAsia="cs-CZ"/>
        </w:rPr>
        <w:t xml:space="preserve"> a to i takové, které nejsou uvedeny na této etiketě, nebo si myslíte, že léčivo není účinné, oznamte to, prosím, vašemu veterinárnímu lékaři.</w:t>
      </w:r>
    </w:p>
    <w:p w14:paraId="5F213179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Nežádoucí účinky můžete hlásit prostřednictvím formuláře na webových stránkách ÚSKVBL elektronicky, nebo také přímo na adresu: </w:t>
      </w:r>
    </w:p>
    <w:p w14:paraId="1773E100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Ústav pro státní kontrolu veterinárních biopreparátů a léčiv </w:t>
      </w:r>
    </w:p>
    <w:p w14:paraId="538B8202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Hudcova </w:t>
      </w:r>
      <w:proofErr w:type="gramStart"/>
      <w:r w:rsidRPr="00AE5140">
        <w:rPr>
          <w:rFonts w:ascii="Times New Roman" w:eastAsia="Times New Roman" w:hAnsi="Times New Roman"/>
          <w:lang w:eastAsia="cs-CZ"/>
        </w:rPr>
        <w:t>56a</w:t>
      </w:r>
      <w:proofErr w:type="gramEnd"/>
    </w:p>
    <w:p w14:paraId="2A076BBB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621 00 Brno </w:t>
      </w:r>
    </w:p>
    <w:p w14:paraId="79BCB913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Mail: adr@uskvbl.cz</w:t>
      </w:r>
    </w:p>
    <w:p w14:paraId="58150D6E" w14:textId="77777777" w:rsidR="00AE5140" w:rsidRPr="00C5151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Webové stránky: </w:t>
      </w:r>
      <w:hyperlink r:id="rId7" w:history="1">
        <w:r w:rsidRPr="00CD5E05">
          <w:rPr>
            <w:rStyle w:val="Hypertextovodkaz"/>
            <w:rFonts w:ascii="Times New Roman" w:eastAsia="Times New Roman" w:hAnsi="Times New Roman"/>
            <w:lang w:eastAsia="cs-CZ"/>
          </w:rPr>
          <w:t>http://www.uskvbl.cz/cs/farmakovigilance</w:t>
        </w:r>
      </w:hyperlink>
      <w:r>
        <w:rPr>
          <w:rFonts w:ascii="Times New Roman" w:eastAsia="Times New Roman" w:hAnsi="Times New Roman"/>
          <w:lang w:eastAsia="cs-CZ"/>
        </w:rPr>
        <w:t xml:space="preserve"> </w:t>
      </w:r>
    </w:p>
    <w:p w14:paraId="3AB114CB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67795CD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7.</w:t>
      </w:r>
      <w:r w:rsidRPr="00C5151C">
        <w:rPr>
          <w:rFonts w:ascii="Times New Roman" w:eastAsia="Times New Roman" w:hAnsi="Times New Roman"/>
          <w:b/>
          <w:lang w:eastAsia="cs-CZ"/>
        </w:rPr>
        <w:tab/>
        <w:t>CÍLOVÝ DRUH ZVÍŘAT</w:t>
      </w:r>
    </w:p>
    <w:p w14:paraId="24BA9C16" w14:textId="77777777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</w:p>
    <w:p w14:paraId="2602BDD4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Prasata </w:t>
      </w:r>
    </w:p>
    <w:p w14:paraId="52392C94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Kur domácí</w:t>
      </w:r>
    </w:p>
    <w:p w14:paraId="76701D4D" w14:textId="77777777" w:rsidR="00F849A6" w:rsidRPr="00AE5140" w:rsidRDefault="00AE5140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Krůty</w:t>
      </w:r>
    </w:p>
    <w:p w14:paraId="4621169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6DB124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8.</w:t>
      </w:r>
      <w:r w:rsidRPr="00C5151C">
        <w:rPr>
          <w:rFonts w:ascii="Times New Roman" w:eastAsia="Times New Roman" w:hAnsi="Times New Roman"/>
          <w:b/>
          <w:lang w:eastAsia="cs-CZ"/>
        </w:rPr>
        <w:tab/>
        <w:t>DÁVKOVÁNÍ PRO KAŽDÝ DRUH, CESTA(Y) A ZPŮSOB PODÁNÍ</w:t>
      </w:r>
    </w:p>
    <w:p w14:paraId="5131BB0C" w14:textId="77777777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BE196B2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E5140">
        <w:rPr>
          <w:rFonts w:ascii="Times New Roman" w:eastAsia="Times New Roman" w:hAnsi="Times New Roman"/>
        </w:rPr>
        <w:t>Perorální podání v pitné vodě.</w:t>
      </w:r>
    </w:p>
    <w:p w14:paraId="185F149E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bCs/>
          <w:u w:val="single"/>
        </w:rPr>
      </w:pPr>
    </w:p>
    <w:p w14:paraId="12A69EE2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AE5140">
        <w:rPr>
          <w:rFonts w:ascii="Times New Roman" w:eastAsia="Times New Roman" w:hAnsi="Times New Roman"/>
          <w:bCs/>
          <w:u w:val="single"/>
        </w:rPr>
        <w:t>Návod k přípravě roztoku přípravku:</w:t>
      </w:r>
    </w:p>
    <w:p w14:paraId="1D2A0165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>Pokud přidáváte veterinární léčivý přípravek do velkého objemu vody, připravte nejprve koncentrovaný roztok a potom jej zřeďte na požadovanou konečnou koncentraci.</w:t>
      </w:r>
    </w:p>
    <w:p w14:paraId="6F84497E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 xml:space="preserve">Každý den je nutné připravit čerstvý roztok pitné vody s </w:t>
      </w:r>
      <w:proofErr w:type="spellStart"/>
      <w:r w:rsidRPr="00AE5140">
        <w:rPr>
          <w:rFonts w:ascii="Times New Roman" w:eastAsia="Times New Roman" w:hAnsi="Times New Roman"/>
          <w:bCs/>
        </w:rPr>
        <w:t>tiamulinem</w:t>
      </w:r>
      <w:proofErr w:type="spellEnd"/>
      <w:r w:rsidRPr="00AE5140">
        <w:rPr>
          <w:rFonts w:ascii="Times New Roman" w:eastAsia="Times New Roman" w:hAnsi="Times New Roman"/>
          <w:bCs/>
        </w:rPr>
        <w:t>.</w:t>
      </w:r>
    </w:p>
    <w:p w14:paraId="410463C1" w14:textId="44B49B46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 xml:space="preserve">Pro zajištění podání správné dávky by měla být co nejpřesněji stanovena živá hmotnost, aby se předešlo poddávkování. Příjem medikované vody závisí na klinickém stavu zvířat. K dosažení správného dávkování musí být příslušným způsobem upravena konečná koncentrace </w:t>
      </w:r>
      <w:proofErr w:type="spellStart"/>
      <w:r w:rsidRPr="00AE5140">
        <w:rPr>
          <w:rFonts w:ascii="Times New Roman" w:eastAsia="Times New Roman" w:hAnsi="Times New Roman"/>
          <w:bCs/>
        </w:rPr>
        <w:t>tiamulinu</w:t>
      </w:r>
      <w:proofErr w:type="spellEnd"/>
      <w:r w:rsidRPr="00AE5140">
        <w:rPr>
          <w:rFonts w:ascii="Times New Roman" w:eastAsia="Times New Roman" w:hAnsi="Times New Roman"/>
          <w:bCs/>
        </w:rPr>
        <w:t xml:space="preserve"> v podávaném roztoku.</w:t>
      </w:r>
    </w:p>
    <w:p w14:paraId="6073BC0D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 xml:space="preserve">Aby se zabránilo interakci mezi ionofory a </w:t>
      </w:r>
      <w:proofErr w:type="spellStart"/>
      <w:r w:rsidRPr="00AE5140">
        <w:rPr>
          <w:rFonts w:ascii="Times New Roman" w:eastAsia="Times New Roman" w:hAnsi="Times New Roman"/>
          <w:bCs/>
        </w:rPr>
        <w:t>tiamulinem</w:t>
      </w:r>
      <w:proofErr w:type="spellEnd"/>
      <w:r w:rsidRPr="00AE5140">
        <w:rPr>
          <w:rFonts w:ascii="Times New Roman" w:eastAsia="Times New Roman" w:hAnsi="Times New Roman"/>
          <w:bCs/>
        </w:rPr>
        <w:t xml:space="preserve">, měl by veterinární lékař a chovatel zkontrolovat, zda se na obalu krmiva neuvádí, že obsahuje </w:t>
      </w:r>
      <w:proofErr w:type="spellStart"/>
      <w:r w:rsidRPr="00AE5140">
        <w:rPr>
          <w:rFonts w:ascii="Times New Roman" w:eastAsia="Times New Roman" w:hAnsi="Times New Roman"/>
          <w:bCs/>
        </w:rPr>
        <w:t>salinomycin</w:t>
      </w:r>
      <w:proofErr w:type="spellEnd"/>
      <w:r w:rsidRPr="00AE5140">
        <w:rPr>
          <w:rFonts w:ascii="Times New Roman" w:eastAsia="Times New Roman" w:hAnsi="Times New Roman"/>
          <w:bCs/>
        </w:rPr>
        <w:t xml:space="preserve">, </w:t>
      </w:r>
      <w:proofErr w:type="spellStart"/>
      <w:r w:rsidRPr="00AE5140">
        <w:rPr>
          <w:rFonts w:ascii="Times New Roman" w:eastAsia="Times New Roman" w:hAnsi="Times New Roman"/>
          <w:bCs/>
        </w:rPr>
        <w:t>monensin</w:t>
      </w:r>
      <w:proofErr w:type="spellEnd"/>
      <w:r w:rsidRPr="00AE5140">
        <w:rPr>
          <w:rFonts w:ascii="Times New Roman" w:eastAsia="Times New Roman" w:hAnsi="Times New Roman"/>
          <w:bCs/>
        </w:rPr>
        <w:t xml:space="preserve"> a </w:t>
      </w:r>
      <w:proofErr w:type="spellStart"/>
      <w:r w:rsidRPr="00AE5140">
        <w:rPr>
          <w:rFonts w:ascii="Times New Roman" w:eastAsia="Times New Roman" w:hAnsi="Times New Roman"/>
          <w:bCs/>
        </w:rPr>
        <w:t>narasin</w:t>
      </w:r>
      <w:proofErr w:type="spellEnd"/>
      <w:r w:rsidRPr="00AE5140">
        <w:rPr>
          <w:rFonts w:ascii="Times New Roman" w:eastAsia="Times New Roman" w:hAnsi="Times New Roman"/>
          <w:bCs/>
        </w:rPr>
        <w:t>.</w:t>
      </w:r>
    </w:p>
    <w:p w14:paraId="53022FDD" w14:textId="77777777" w:rsidR="00AE5140" w:rsidRPr="00B1585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B1585C">
        <w:rPr>
          <w:rFonts w:ascii="Times New Roman" w:eastAsia="Times New Roman" w:hAnsi="Times New Roman"/>
          <w:bCs/>
        </w:rPr>
        <w:t xml:space="preserve">U kura domácího a krůt, aby se zabránilo vzájemnému působení mezi inkompatibilními ionofory </w:t>
      </w:r>
      <w:proofErr w:type="spellStart"/>
      <w:r w:rsidRPr="00B1585C">
        <w:rPr>
          <w:rFonts w:ascii="Times New Roman" w:eastAsia="Times New Roman" w:hAnsi="Times New Roman"/>
          <w:bCs/>
        </w:rPr>
        <w:t>monensinem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, </w:t>
      </w:r>
      <w:proofErr w:type="spellStart"/>
      <w:r w:rsidRPr="00B1585C">
        <w:rPr>
          <w:rFonts w:ascii="Times New Roman" w:eastAsia="Times New Roman" w:hAnsi="Times New Roman"/>
          <w:bCs/>
        </w:rPr>
        <w:t>narasinem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, </w:t>
      </w:r>
      <w:proofErr w:type="spellStart"/>
      <w:r w:rsidRPr="00B1585C">
        <w:rPr>
          <w:rFonts w:ascii="Times New Roman" w:eastAsia="Times New Roman" w:hAnsi="Times New Roman"/>
          <w:bCs/>
        </w:rPr>
        <w:t>salinomycinem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 a </w:t>
      </w:r>
      <w:proofErr w:type="spellStart"/>
      <w:r w:rsidRPr="00B1585C">
        <w:rPr>
          <w:rFonts w:ascii="Times New Roman" w:eastAsia="Times New Roman" w:hAnsi="Times New Roman"/>
          <w:bCs/>
        </w:rPr>
        <w:t>tiamulinem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, je třeba informovat míchárnu krmiva pro drůbež, </w:t>
      </w:r>
      <w:r w:rsidRPr="00B1585C">
        <w:rPr>
          <w:rFonts w:ascii="Times New Roman" w:eastAsia="Times New Roman" w:hAnsi="Times New Roman"/>
          <w:bCs/>
        </w:rPr>
        <w:lastRenderedPageBreak/>
        <w:t>že se bude používat tiamulin, a že by tato antikokcidika neměla být obsažena v krmivu nebo krmivo kontaminovat.</w:t>
      </w:r>
    </w:p>
    <w:p w14:paraId="15F315C4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>Krmivo by mělo být před použitím testováno na ionofory, pokud existuje podezření, že by mohlo dojít ke kontaminaci krmiva.</w:t>
      </w:r>
    </w:p>
    <w:p w14:paraId="2996C9EF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B1585C">
        <w:rPr>
          <w:rFonts w:ascii="Times New Roman" w:eastAsia="Times New Roman" w:hAnsi="Times New Roman"/>
          <w:bCs/>
        </w:rPr>
        <w:t xml:space="preserve">Pokud dojde k interakci, okamžitě zastavte léčbu </w:t>
      </w:r>
      <w:proofErr w:type="spellStart"/>
      <w:r w:rsidRPr="00B1585C">
        <w:rPr>
          <w:rFonts w:ascii="Times New Roman" w:eastAsia="Times New Roman" w:hAnsi="Times New Roman"/>
          <w:bCs/>
        </w:rPr>
        <w:t>tiamulinem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 a vyměňte </w:t>
      </w:r>
      <w:proofErr w:type="spellStart"/>
      <w:r w:rsidRPr="00B1585C">
        <w:rPr>
          <w:rFonts w:ascii="Times New Roman" w:eastAsia="Times New Roman" w:hAnsi="Times New Roman"/>
          <w:bCs/>
        </w:rPr>
        <w:t>medikovanou</w:t>
      </w:r>
      <w:proofErr w:type="spellEnd"/>
      <w:r w:rsidRPr="00B1585C">
        <w:rPr>
          <w:rFonts w:ascii="Times New Roman" w:eastAsia="Times New Roman" w:hAnsi="Times New Roman"/>
          <w:bCs/>
        </w:rPr>
        <w:t xml:space="preserve"> vodu za čerstvou pitnou vodou. Co nejdříve odstraňte kontaminované krmivo a nahraďte je krmivem, které neobsahuje ionofory nekompatibilní s </w:t>
      </w:r>
      <w:proofErr w:type="spellStart"/>
      <w:r w:rsidRPr="00B1585C">
        <w:rPr>
          <w:rFonts w:ascii="Times New Roman" w:eastAsia="Times New Roman" w:hAnsi="Times New Roman"/>
          <w:bCs/>
        </w:rPr>
        <w:t>tiamulinem</w:t>
      </w:r>
      <w:proofErr w:type="spellEnd"/>
      <w:r w:rsidRPr="00B1585C">
        <w:rPr>
          <w:rFonts w:ascii="Times New Roman" w:eastAsia="Times New Roman" w:hAnsi="Times New Roman"/>
          <w:bCs/>
        </w:rPr>
        <w:t>.</w:t>
      </w:r>
    </w:p>
    <w:p w14:paraId="18CDA57A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451F005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Cs/>
        </w:rPr>
      </w:pPr>
      <w:r w:rsidRPr="00AE5140">
        <w:rPr>
          <w:rFonts w:ascii="Times New Roman" w:eastAsia="Times New Roman" w:hAnsi="Times New Roman"/>
          <w:bCs/>
        </w:rPr>
        <w:t>Dávka přípravku pro přimíchání do vody se může vypočítat na základě následujícího vzorce:</w:t>
      </w:r>
    </w:p>
    <w:p w14:paraId="7671BA38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5"/>
        <w:gridCol w:w="2835"/>
        <w:gridCol w:w="2901"/>
      </w:tblGrid>
      <w:tr w:rsidR="00AE5140" w:rsidRPr="00AE5140" w14:paraId="0AB12EE3" w14:textId="77777777" w:rsidTr="00B1585C">
        <w:trPr>
          <w:trHeight w:val="40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401DE59" w14:textId="77777777" w:rsidR="00AE5140" w:rsidRPr="00B1585C" w:rsidRDefault="00AE5140" w:rsidP="00AE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585C">
              <w:rPr>
                <w:rFonts w:ascii="Times New Roman" w:eastAsia="Times New Roman" w:hAnsi="Times New Roman"/>
                <w:color w:val="000000"/>
                <w:lang w:eastAsia="cs-CZ"/>
              </w:rPr>
              <w:t>Dávka (mg přípravku na kg živé hmotnosti za den)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BBB44D" w14:textId="77777777" w:rsidR="00AE5140" w:rsidRPr="00B1585C" w:rsidRDefault="00AE5140" w:rsidP="00AE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585C">
              <w:rPr>
                <w:rFonts w:ascii="Times New Roman" w:eastAsia="Times New Roman" w:hAnsi="Times New Roman"/>
                <w:color w:val="000000"/>
                <w:lang w:eastAsia="cs-CZ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A00E21C" w14:textId="77777777" w:rsidR="00AE5140" w:rsidRPr="00B1585C" w:rsidRDefault="00AE5140" w:rsidP="00AE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585C">
              <w:rPr>
                <w:rFonts w:ascii="Times New Roman" w:eastAsia="Times New Roman" w:hAnsi="Times New Roman"/>
                <w:color w:val="000000"/>
                <w:lang w:eastAsia="cs-CZ"/>
              </w:rPr>
              <w:t>Průměrná živá hmotnost (kg) léčených zvířat</w:t>
            </w:r>
          </w:p>
        </w:tc>
        <w:tc>
          <w:tcPr>
            <w:tcW w:w="2901" w:type="dxa"/>
            <w:vMerge w:val="restart"/>
            <w:vAlign w:val="center"/>
          </w:tcPr>
          <w:p w14:paraId="0EEF3AD8" w14:textId="77777777" w:rsidR="00AE5140" w:rsidRPr="00B1585C" w:rsidRDefault="00AE5140" w:rsidP="00AE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585C">
              <w:rPr>
                <w:rFonts w:ascii="Times New Roman" w:eastAsia="Times New Roman" w:hAnsi="Times New Roman"/>
                <w:color w:val="000000"/>
                <w:lang w:eastAsia="cs-CZ"/>
              </w:rPr>
              <w:t>= ___ mg přípravku na litr pitné vody</w:t>
            </w:r>
          </w:p>
        </w:tc>
      </w:tr>
      <w:tr w:rsidR="00AE5140" w:rsidRPr="00AE5140" w14:paraId="49B3BCEE" w14:textId="77777777" w:rsidTr="00B1585C">
        <w:trPr>
          <w:trHeight w:val="369"/>
        </w:trPr>
        <w:tc>
          <w:tcPr>
            <w:tcW w:w="6096" w:type="dxa"/>
            <w:gridSpan w:val="3"/>
            <w:tcBorders>
              <w:top w:val="single" w:sz="4" w:space="0" w:color="auto"/>
            </w:tcBorders>
            <w:vAlign w:val="center"/>
          </w:tcPr>
          <w:p w14:paraId="4A6079B4" w14:textId="77777777" w:rsidR="00AE5140" w:rsidRPr="00B1585C" w:rsidRDefault="00AE5140" w:rsidP="00AE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B1585C">
              <w:rPr>
                <w:rFonts w:ascii="Times New Roman" w:eastAsia="Times New Roman" w:hAnsi="Times New Roman"/>
                <w:color w:val="000000"/>
                <w:lang w:eastAsia="cs-CZ"/>
              </w:rPr>
              <w:t>Průměrná denní spotřeba vody (v litrech) pro toto za den</w:t>
            </w:r>
          </w:p>
        </w:tc>
        <w:tc>
          <w:tcPr>
            <w:tcW w:w="2901" w:type="dxa"/>
            <w:vMerge/>
          </w:tcPr>
          <w:p w14:paraId="7229D3EA" w14:textId="77777777" w:rsidR="00AE5140" w:rsidRPr="00AE5140" w:rsidRDefault="00AE5140" w:rsidP="00B158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F63D94B" w14:textId="77777777" w:rsidR="00AE5140" w:rsidRPr="00B1585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37709536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E5140">
        <w:rPr>
          <w:rFonts w:ascii="Times New Roman" w:eastAsia="Times New Roman" w:hAnsi="Times New Roman"/>
          <w:b/>
          <w:bCs/>
          <w:u w:val="single"/>
        </w:rPr>
        <w:t>Prasata</w:t>
      </w:r>
    </w:p>
    <w:p w14:paraId="75190D6F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5D254CD7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AE5140">
        <w:rPr>
          <w:rFonts w:ascii="Times New Roman" w:eastAsia="Times New Roman" w:hAnsi="Times New Roman"/>
        </w:rPr>
        <w:t xml:space="preserve">i) </w:t>
      </w:r>
      <w:r w:rsidRPr="00AE5140">
        <w:rPr>
          <w:rFonts w:ascii="Times New Roman" w:eastAsia="Times New Roman" w:hAnsi="Times New Roman"/>
        </w:rPr>
        <w:tab/>
        <w:t xml:space="preserve">Léčba dyzenterie prasat způsobené </w:t>
      </w:r>
      <w:r w:rsidRPr="00AE5140">
        <w:rPr>
          <w:rFonts w:ascii="Times New Roman" w:eastAsia="Times New Roman" w:hAnsi="Times New Roman"/>
          <w:i/>
          <w:iCs/>
        </w:rPr>
        <w:t>Brachyspira hyodysenteriae.</w:t>
      </w:r>
    </w:p>
    <w:p w14:paraId="7B01B522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8,8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19,6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 xml:space="preserve">kg živé hmotnosti denně podávané v pitné vodě prasatům 3 až 5 po sobě jdoucích dnů v závislosti na závažnosti infekce a/nebo délce trvání onemocnění. </w:t>
      </w:r>
    </w:p>
    <w:p w14:paraId="0B8EE22D" w14:textId="77777777" w:rsidR="00AE5140" w:rsidRPr="00B1585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3877F8A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5140">
        <w:rPr>
          <w:rFonts w:ascii="Times New Roman" w:eastAsia="Times New Roman" w:hAnsi="Times New Roman"/>
        </w:rPr>
        <w:t>ii</w:t>
      </w:r>
      <w:proofErr w:type="spellEnd"/>
      <w:r w:rsidRPr="00AE5140">
        <w:rPr>
          <w:rFonts w:ascii="Times New Roman" w:eastAsia="Times New Roman" w:hAnsi="Times New Roman"/>
        </w:rPr>
        <w:t xml:space="preserve">) </w:t>
      </w:r>
      <w:r w:rsidRPr="00AE5140">
        <w:rPr>
          <w:rFonts w:ascii="Times New Roman" w:eastAsia="Times New Roman" w:hAnsi="Times New Roman"/>
        </w:rPr>
        <w:tab/>
        <w:t xml:space="preserve">Léčba spirochetózy tlustého střeva prasat (kolitidy) způsobené </w:t>
      </w:r>
      <w:r w:rsidRPr="00AE5140">
        <w:rPr>
          <w:rFonts w:ascii="Times New Roman" w:eastAsia="Times New Roman" w:hAnsi="Times New Roman"/>
          <w:i/>
        </w:rPr>
        <w:t xml:space="preserve">Brachyspira </w:t>
      </w:r>
      <w:proofErr w:type="spellStart"/>
      <w:r w:rsidRPr="00AE5140">
        <w:rPr>
          <w:rFonts w:ascii="Times New Roman" w:eastAsia="Times New Roman" w:hAnsi="Times New Roman"/>
          <w:i/>
        </w:rPr>
        <w:t>pilosicoli</w:t>
      </w:r>
      <w:proofErr w:type="spellEnd"/>
      <w:r w:rsidRPr="00AE5140">
        <w:rPr>
          <w:rFonts w:ascii="Times New Roman" w:eastAsia="Times New Roman" w:hAnsi="Times New Roman"/>
        </w:rPr>
        <w:t>.</w:t>
      </w:r>
    </w:p>
    <w:p w14:paraId="0034848A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8,8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19,6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>kg živé hmotnosti denně podávané v pitné vodě prasatům 3 až 5 po sobě jdoucích dnů v závislosti na závažnosti infekce a/nebo délce trvání onemocnění.</w:t>
      </w:r>
      <w:r w:rsidRPr="00AE5140" w:rsidDel="00EB66AC">
        <w:rPr>
          <w:rFonts w:ascii="Times New Roman" w:eastAsia="Times New Roman" w:hAnsi="Times New Roman"/>
        </w:rPr>
        <w:t xml:space="preserve"> </w:t>
      </w:r>
    </w:p>
    <w:p w14:paraId="79CD4678" w14:textId="77777777" w:rsidR="00AE5140" w:rsidRPr="00B1585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156D78" w14:textId="77777777" w:rsidR="00AE5140" w:rsidRPr="00AE5140" w:rsidRDefault="00AE5140" w:rsidP="00B1585C">
      <w:pPr>
        <w:keepNext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E5140">
        <w:rPr>
          <w:rFonts w:ascii="Times New Roman" w:eastAsia="Times New Roman" w:hAnsi="Times New Roman"/>
          <w:color w:val="000000"/>
          <w:lang w:eastAsia="cs-CZ"/>
        </w:rPr>
        <w:t>iii</w:t>
      </w:r>
      <w:proofErr w:type="spellEnd"/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) </w:t>
      </w:r>
      <w:r w:rsidRPr="00AE5140">
        <w:rPr>
          <w:rFonts w:ascii="Times New Roman" w:eastAsia="Times New Roman" w:hAnsi="Times New Roman"/>
          <w:color w:val="000000"/>
          <w:lang w:eastAsia="cs-CZ"/>
        </w:rPr>
        <w:tab/>
        <w:t xml:space="preserve">Léčba </w:t>
      </w:r>
      <w:proofErr w:type="spellStart"/>
      <w:r w:rsidRPr="00AE5140">
        <w:rPr>
          <w:rFonts w:ascii="Times New Roman" w:eastAsia="Times New Roman" w:hAnsi="Times New Roman"/>
          <w:color w:val="000000"/>
          <w:lang w:eastAsia="cs-CZ"/>
        </w:rPr>
        <w:t>proliferativní</w:t>
      </w:r>
      <w:proofErr w:type="spellEnd"/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spellStart"/>
      <w:r w:rsidRPr="00AE5140">
        <w:rPr>
          <w:rFonts w:ascii="Times New Roman" w:eastAsia="Times New Roman" w:hAnsi="Times New Roman"/>
          <w:color w:val="000000"/>
          <w:lang w:eastAsia="cs-CZ"/>
        </w:rPr>
        <w:t>enteropatie</w:t>
      </w:r>
      <w:proofErr w:type="spellEnd"/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 prasat (ileitidy) způsobené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Lawsonia intracellularis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. </w:t>
      </w:r>
    </w:p>
    <w:p w14:paraId="781570D4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8,8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19,6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>kg živé hmotnosti denně podávané v pitné vodě prasatům 5 po sobě jdoucích dnů.</w:t>
      </w:r>
    </w:p>
    <w:p w14:paraId="699665DB" w14:textId="77777777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</w:pPr>
    </w:p>
    <w:p w14:paraId="49CE71AD" w14:textId="77777777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E5140">
        <w:rPr>
          <w:rFonts w:ascii="Times New Roman" w:eastAsia="Times New Roman" w:hAnsi="Times New Roman"/>
          <w:color w:val="000000"/>
          <w:lang w:eastAsia="cs-CZ"/>
        </w:rPr>
        <w:t>iv</w:t>
      </w:r>
      <w:proofErr w:type="spellEnd"/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) </w:t>
      </w:r>
      <w:r w:rsidRPr="00AE5140">
        <w:rPr>
          <w:rFonts w:ascii="Times New Roman" w:eastAsia="Times New Roman" w:hAnsi="Times New Roman"/>
          <w:color w:val="000000"/>
          <w:lang w:eastAsia="cs-CZ"/>
        </w:rPr>
        <w:tab/>
        <w:t xml:space="preserve">Léčba a </w:t>
      </w:r>
      <w:proofErr w:type="spellStart"/>
      <w:r w:rsidRPr="00AE5140">
        <w:rPr>
          <w:rFonts w:ascii="Times New Roman" w:eastAsia="Times New Roman" w:hAnsi="Times New Roman"/>
          <w:color w:val="000000"/>
          <w:lang w:eastAsia="cs-CZ"/>
        </w:rPr>
        <w:t>metafylaxe</w:t>
      </w:r>
      <w:proofErr w:type="spellEnd"/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 enzootické pneumonie způsobené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Mycoplasma hyopneumoniae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 včetně infekcí komplikovaných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Pasteurella multocida</w:t>
      </w:r>
      <w:r w:rsidRPr="00AE5140">
        <w:rPr>
          <w:rFonts w:ascii="Times New Roman" w:eastAsia="Times New Roman" w:hAnsi="Times New Roman"/>
          <w:iCs/>
          <w:color w:val="000000"/>
          <w:lang w:eastAsia="cs-CZ"/>
        </w:rPr>
        <w:t xml:space="preserve">. </w:t>
      </w:r>
    </w:p>
    <w:p w14:paraId="0FEBE200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20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44,4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>kg živé hmotnosti denně podávané 5 po sobě jdoucích dnů.</w:t>
      </w:r>
    </w:p>
    <w:p w14:paraId="6749DFE8" w14:textId="77777777" w:rsidR="00AE5140" w:rsidRPr="00B1585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81FB32E" w14:textId="77777777" w:rsidR="00AE5140" w:rsidRPr="00AE5140" w:rsidRDefault="00AE5140" w:rsidP="00B158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Léčba pleuropneumonie způsobené </w:t>
      </w:r>
      <w:r w:rsidRPr="00AE5140">
        <w:rPr>
          <w:rFonts w:ascii="Times New Roman" w:eastAsia="Times New Roman" w:hAnsi="Times New Roman"/>
          <w:i/>
          <w:iCs/>
        </w:rPr>
        <w:t>Actinobacillus pleuropneumoniae</w:t>
      </w:r>
      <w:r w:rsidRPr="00AE5140">
        <w:rPr>
          <w:rFonts w:ascii="Times New Roman" w:eastAsia="Times New Roman" w:hAnsi="Times New Roman"/>
          <w:iCs/>
        </w:rPr>
        <w:t>.</w:t>
      </w:r>
    </w:p>
    <w:p w14:paraId="1329B4C5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20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44,4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>kg živé hmotnosti denně podávané 5 po sobě jdoucích dnů.</w:t>
      </w:r>
    </w:p>
    <w:p w14:paraId="4208A0DD" w14:textId="77777777" w:rsidR="00AE5140" w:rsidRPr="00B1585C" w:rsidRDefault="00AE5140" w:rsidP="00B1585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0101A12" w14:textId="77777777" w:rsidR="00AE5140" w:rsidRPr="00AE5140" w:rsidRDefault="00AE5140" w:rsidP="00B1585C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E5140">
        <w:rPr>
          <w:rFonts w:ascii="Times New Roman" w:eastAsia="Times New Roman" w:hAnsi="Times New Roman"/>
          <w:b/>
          <w:bCs/>
          <w:u w:val="single"/>
        </w:rPr>
        <w:t>Kur domácí</w:t>
      </w:r>
    </w:p>
    <w:p w14:paraId="64C511EF" w14:textId="5FB59F00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</w:pP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Léčba a metafylaxe chronické respirační nemoci (C. R. D.) způsobené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Mycoplasma gallisepticum </w:t>
      </w:r>
      <w:r w:rsidRPr="00AE5140">
        <w:rPr>
          <w:rFonts w:ascii="Times New Roman" w:eastAsia="Times New Roman" w:hAnsi="Times New Roman"/>
          <w:color w:val="000000"/>
          <w:lang w:eastAsia="cs-CZ"/>
        </w:rPr>
        <w:t>a zánětu vzdušných vaků a infekční synovitidy způsoben</w:t>
      </w:r>
      <w:r w:rsidRPr="00B1585C">
        <w:rPr>
          <w:rFonts w:ascii="Times New Roman" w:eastAsia="Times New Roman" w:hAnsi="Times New Roman"/>
          <w:color w:val="000000"/>
          <w:lang w:eastAsia="cs-CZ"/>
        </w:rPr>
        <w:t>ých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Mycoplasma synoviae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. </w:t>
      </w:r>
    </w:p>
    <w:p w14:paraId="774DDF27" w14:textId="77777777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E5140">
        <w:rPr>
          <w:rFonts w:ascii="Times New Roman" w:eastAsia="Times New Roman" w:hAnsi="Times New Roman"/>
        </w:rPr>
        <w:t xml:space="preserve">Dávkování je 25 mg tiamulin </w:t>
      </w:r>
      <w:proofErr w:type="spellStart"/>
      <w:r w:rsidRPr="00AE5140">
        <w:rPr>
          <w:rFonts w:ascii="Times New Roman" w:eastAsia="Times New Roman" w:hAnsi="Times New Roman"/>
        </w:rPr>
        <w:t>hydrogenfumarátu</w:t>
      </w:r>
      <w:proofErr w:type="spellEnd"/>
      <w:r w:rsidRPr="00AE5140">
        <w:rPr>
          <w:rFonts w:ascii="Times New Roman" w:eastAsia="Times New Roman" w:hAnsi="Times New Roman"/>
        </w:rPr>
        <w:t xml:space="preserve"> (což odpovídá 55,6 mg </w:t>
      </w:r>
      <w:proofErr w:type="gramStart"/>
      <w:r w:rsidRPr="00AE5140">
        <w:rPr>
          <w:rFonts w:ascii="Times New Roman" w:eastAsia="Times New Roman" w:hAnsi="Times New Roman"/>
        </w:rPr>
        <w:t>přípravku)/</w:t>
      </w:r>
      <w:proofErr w:type="gramEnd"/>
      <w:r w:rsidRPr="00AE5140">
        <w:rPr>
          <w:rFonts w:ascii="Times New Roman" w:eastAsia="Times New Roman" w:hAnsi="Times New Roman"/>
        </w:rPr>
        <w:t>kg živé hmotnosti denně podávané po dobu 3 až 5 po sobě jdoucích dnů.</w:t>
      </w:r>
    </w:p>
    <w:p w14:paraId="0176D980" w14:textId="77777777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782C091" w14:textId="77777777" w:rsidR="00AE5140" w:rsidRPr="00AE5140" w:rsidRDefault="00AE5140" w:rsidP="00B1585C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E5140">
        <w:rPr>
          <w:rFonts w:ascii="Times New Roman" w:eastAsia="Times New Roman" w:hAnsi="Times New Roman"/>
          <w:b/>
          <w:bCs/>
          <w:u w:val="single"/>
        </w:rPr>
        <w:t>Krůty</w:t>
      </w:r>
    </w:p>
    <w:p w14:paraId="7E2255F0" w14:textId="77777777" w:rsidR="00AE5140" w:rsidRPr="00AE5140" w:rsidRDefault="00AE5140" w:rsidP="00B1585C">
      <w:pPr>
        <w:autoSpaceDE w:val="0"/>
        <w:autoSpaceDN w:val="0"/>
        <w:adjustRightInd w:val="0"/>
        <w:spacing w:after="0" w:line="240" w:lineRule="auto"/>
        <w:jc w:val="both"/>
      </w:pP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Léčba a metafylaxe infekční sinusitidy a zánětu vzdušných vaků způsobených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Mycoplasma gallisepticum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,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Mycoplasma synoviae 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a </w:t>
      </w:r>
      <w:r w:rsidRPr="00AE5140">
        <w:rPr>
          <w:rFonts w:ascii="Times New Roman" w:eastAsia="Times New Roman" w:hAnsi="Times New Roman"/>
          <w:i/>
          <w:iCs/>
          <w:color w:val="000000"/>
          <w:lang w:eastAsia="cs-CZ"/>
        </w:rPr>
        <w:t>Mycoplasma meleagridis</w:t>
      </w:r>
      <w:r w:rsidRPr="00AE5140">
        <w:rPr>
          <w:rFonts w:ascii="Times New Roman" w:eastAsia="Times New Roman" w:hAnsi="Times New Roman"/>
          <w:color w:val="000000"/>
          <w:lang w:eastAsia="cs-CZ"/>
        </w:rPr>
        <w:t xml:space="preserve">. </w:t>
      </w:r>
    </w:p>
    <w:p w14:paraId="0647C6A3" w14:textId="77777777" w:rsidR="00AE5140" w:rsidRPr="00C5151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1585C">
        <w:rPr>
          <w:rFonts w:ascii="Times New Roman" w:eastAsia="Times New Roman" w:hAnsi="Times New Roman"/>
        </w:rPr>
        <w:t xml:space="preserve">Dávkování je 40 mg tiamulin </w:t>
      </w:r>
      <w:proofErr w:type="spellStart"/>
      <w:r w:rsidRPr="00B1585C">
        <w:rPr>
          <w:rFonts w:ascii="Times New Roman" w:eastAsia="Times New Roman" w:hAnsi="Times New Roman"/>
        </w:rPr>
        <w:t>hydrogenfumarátu</w:t>
      </w:r>
      <w:proofErr w:type="spellEnd"/>
      <w:r w:rsidRPr="00B1585C">
        <w:rPr>
          <w:rFonts w:ascii="Times New Roman" w:eastAsia="Times New Roman" w:hAnsi="Times New Roman"/>
        </w:rPr>
        <w:t xml:space="preserve"> (což odpovídá 88,9 mg </w:t>
      </w:r>
      <w:proofErr w:type="gramStart"/>
      <w:r w:rsidRPr="00B1585C">
        <w:rPr>
          <w:rFonts w:ascii="Times New Roman" w:eastAsia="Times New Roman" w:hAnsi="Times New Roman"/>
        </w:rPr>
        <w:t>přípravku)/</w:t>
      </w:r>
      <w:proofErr w:type="gramEnd"/>
      <w:r w:rsidRPr="00B1585C">
        <w:rPr>
          <w:rFonts w:ascii="Times New Roman" w:eastAsia="Times New Roman" w:hAnsi="Times New Roman"/>
        </w:rPr>
        <w:t>kg živé hmotnosti denně podávané po dobu 3 až 5 po sobě jdoucích dnů.</w:t>
      </w:r>
    </w:p>
    <w:p w14:paraId="0A9C04CE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E70FF0C" w14:textId="77777777" w:rsidR="00F849A6" w:rsidRPr="00C5151C" w:rsidRDefault="00F849A6" w:rsidP="00B1585C">
      <w:pPr>
        <w:keepNext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lastRenderedPageBreak/>
        <w:t>9.</w:t>
      </w:r>
      <w:r w:rsidRPr="00C5151C">
        <w:rPr>
          <w:rFonts w:ascii="Times New Roman" w:eastAsia="Times New Roman" w:hAnsi="Times New Roman"/>
          <w:b/>
          <w:lang w:eastAsia="cs-CZ"/>
        </w:rPr>
        <w:tab/>
        <w:t>POKYNY PRO SPRÁVNÉ PODÁNÍ</w:t>
      </w:r>
    </w:p>
    <w:p w14:paraId="6FF52947" w14:textId="77777777" w:rsidR="00F849A6" w:rsidRDefault="00F849A6" w:rsidP="00B1585C">
      <w:pPr>
        <w:keepNext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B3D724B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Aby se zabránilo interakci mezi ionofory a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, měl by veterinární lékař a chovatel zkontrolovat, zda se na obalu krmiva neuvádí, že obsahuje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salinomycin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monensin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narasin</w:t>
      </w:r>
      <w:proofErr w:type="spellEnd"/>
      <w:r w:rsidRPr="00AE5140">
        <w:rPr>
          <w:rFonts w:ascii="Times New Roman" w:eastAsia="Times New Roman" w:hAnsi="Times New Roman"/>
          <w:lang w:eastAsia="cs-CZ"/>
        </w:rPr>
        <w:t>.</w:t>
      </w:r>
    </w:p>
    <w:p w14:paraId="6F56777E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U kura domácího a krůt, aby se zabránilo vzájemnému působení mezi inkompatibilními ionofory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monensinem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narasinem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salinomycinem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>, je třeba informovat míchárnu krmiva pro drůbež, že se bude používat tiamulin, a že by tato antikokcidika neměla být obsažena v krmivu nebo krmivo kontaminovat.</w:t>
      </w:r>
    </w:p>
    <w:p w14:paraId="63330B37" w14:textId="77777777" w:rsidR="00AE5140" w:rsidRPr="00AE5140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>Krmivo by mělo být před použitím testováno na ionofory, pokud existuje podezření, že by mohlo dojít ke kontaminaci krmiva.</w:t>
      </w:r>
    </w:p>
    <w:p w14:paraId="3842334B" w14:textId="77777777" w:rsidR="00AE5140" w:rsidRPr="00C5151C" w:rsidRDefault="00AE5140" w:rsidP="00AE514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E5140">
        <w:rPr>
          <w:rFonts w:ascii="Times New Roman" w:eastAsia="Times New Roman" w:hAnsi="Times New Roman"/>
          <w:lang w:eastAsia="cs-CZ"/>
        </w:rPr>
        <w:t xml:space="preserve">Pokud dojde k interakci, okamžitě zastavte léčbu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 a vyměňte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medikovanou</w:t>
      </w:r>
      <w:proofErr w:type="spellEnd"/>
      <w:r w:rsidRPr="00AE5140">
        <w:rPr>
          <w:rFonts w:ascii="Times New Roman" w:eastAsia="Times New Roman" w:hAnsi="Times New Roman"/>
          <w:lang w:eastAsia="cs-CZ"/>
        </w:rPr>
        <w:t xml:space="preserve"> vodu za čerstvou pitnou vodou. Co nejdříve odstraňte kontaminované krmivo a nahraďte je krmivem, které neobsahuje ionofory nekompatibilní s </w:t>
      </w:r>
      <w:proofErr w:type="spellStart"/>
      <w:r w:rsidRPr="00AE5140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AE5140">
        <w:rPr>
          <w:rFonts w:ascii="Times New Roman" w:eastAsia="Times New Roman" w:hAnsi="Times New Roman"/>
          <w:lang w:eastAsia="cs-CZ"/>
        </w:rPr>
        <w:t>.</w:t>
      </w:r>
    </w:p>
    <w:p w14:paraId="5EB696D1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DC4B036" w14:textId="0F66FDDD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10.</w:t>
      </w:r>
      <w:r w:rsidRPr="00C5151C">
        <w:rPr>
          <w:rFonts w:ascii="Times New Roman" w:eastAsia="Times New Roman" w:hAnsi="Times New Roman"/>
          <w:b/>
          <w:lang w:eastAsia="cs-CZ"/>
        </w:rPr>
        <w:tab/>
        <w:t>OCHRANNÁ</w:t>
      </w:r>
      <w:r w:rsidR="00A02DDE">
        <w:rPr>
          <w:rFonts w:ascii="Times New Roman" w:eastAsia="Times New Roman" w:hAnsi="Times New Roman"/>
          <w:b/>
          <w:lang w:eastAsia="cs-CZ"/>
        </w:rPr>
        <w:t>(É)</w:t>
      </w:r>
      <w:r w:rsidRPr="00C5151C">
        <w:rPr>
          <w:rFonts w:ascii="Times New Roman" w:eastAsia="Times New Roman" w:hAnsi="Times New Roman"/>
          <w:b/>
          <w:lang w:eastAsia="cs-CZ"/>
        </w:rPr>
        <w:t xml:space="preserve"> LHŮTA</w:t>
      </w:r>
      <w:r w:rsidR="00A02DDE">
        <w:rPr>
          <w:rFonts w:ascii="Times New Roman" w:eastAsia="Times New Roman" w:hAnsi="Times New Roman"/>
          <w:b/>
          <w:lang w:eastAsia="cs-CZ"/>
        </w:rPr>
        <w:t>(Y)</w:t>
      </w:r>
      <w:r w:rsidRPr="00C5151C">
        <w:rPr>
          <w:rFonts w:ascii="Times New Roman" w:eastAsia="Times New Roman" w:hAnsi="Times New Roman"/>
          <w:b/>
          <w:lang w:eastAsia="cs-CZ"/>
        </w:rPr>
        <w:t xml:space="preserve"> </w:t>
      </w:r>
    </w:p>
    <w:p w14:paraId="1DA8CAC1" w14:textId="31698440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1DBF4C7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B4628E">
        <w:rPr>
          <w:rFonts w:ascii="Times New Roman" w:eastAsia="Times New Roman" w:hAnsi="Times New Roman"/>
          <w:u w:val="single"/>
          <w:lang w:eastAsia="cs-CZ"/>
        </w:rPr>
        <w:t xml:space="preserve">Prasata </w:t>
      </w:r>
    </w:p>
    <w:p w14:paraId="6E4A232C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628E">
        <w:rPr>
          <w:rFonts w:ascii="Times New Roman" w:eastAsia="Times New Roman" w:hAnsi="Times New Roman"/>
          <w:lang w:eastAsia="cs-CZ"/>
        </w:rPr>
        <w:t xml:space="preserve">Maso: 2 dny (při dávce 8,8 mg tiamulin </w:t>
      </w:r>
      <w:proofErr w:type="spellStart"/>
      <w:r w:rsidRPr="00B4628E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B4628E">
        <w:rPr>
          <w:rFonts w:ascii="Times New Roman" w:eastAsia="Times New Roman" w:hAnsi="Times New Roman"/>
          <w:lang w:eastAsia="cs-CZ"/>
        </w:rPr>
        <w:t xml:space="preserve"> (což odpovídá 19,6 mg </w:t>
      </w:r>
      <w:proofErr w:type="gramStart"/>
      <w:r w:rsidRPr="00B4628E">
        <w:rPr>
          <w:rFonts w:ascii="Times New Roman" w:eastAsia="Times New Roman" w:hAnsi="Times New Roman"/>
          <w:lang w:eastAsia="cs-CZ"/>
        </w:rPr>
        <w:t>přípravku)/</w:t>
      </w:r>
      <w:proofErr w:type="gramEnd"/>
      <w:r w:rsidRPr="00B4628E">
        <w:rPr>
          <w:rFonts w:ascii="Times New Roman" w:eastAsia="Times New Roman" w:hAnsi="Times New Roman"/>
          <w:lang w:eastAsia="cs-CZ"/>
        </w:rPr>
        <w:t xml:space="preserve">kg živé hmotnosti). </w:t>
      </w:r>
    </w:p>
    <w:p w14:paraId="2D34479F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628E">
        <w:rPr>
          <w:rFonts w:ascii="Times New Roman" w:eastAsia="Times New Roman" w:hAnsi="Times New Roman"/>
          <w:lang w:eastAsia="cs-CZ"/>
        </w:rPr>
        <w:t xml:space="preserve">Maso: 4 dny (při dávce 20 mg tiamulin </w:t>
      </w:r>
      <w:proofErr w:type="spellStart"/>
      <w:r w:rsidRPr="00B4628E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B4628E">
        <w:rPr>
          <w:rFonts w:ascii="Times New Roman" w:eastAsia="Times New Roman" w:hAnsi="Times New Roman"/>
          <w:lang w:eastAsia="cs-CZ"/>
        </w:rPr>
        <w:t xml:space="preserve"> (což odpovídá 44,4 mg </w:t>
      </w:r>
      <w:proofErr w:type="gramStart"/>
      <w:r w:rsidRPr="00B4628E">
        <w:rPr>
          <w:rFonts w:ascii="Times New Roman" w:eastAsia="Times New Roman" w:hAnsi="Times New Roman"/>
          <w:lang w:eastAsia="cs-CZ"/>
        </w:rPr>
        <w:t>přípravku)/</w:t>
      </w:r>
      <w:proofErr w:type="gramEnd"/>
      <w:r w:rsidRPr="00B4628E">
        <w:rPr>
          <w:rFonts w:ascii="Times New Roman" w:eastAsia="Times New Roman" w:hAnsi="Times New Roman"/>
          <w:lang w:eastAsia="cs-CZ"/>
        </w:rPr>
        <w:t xml:space="preserve">kg živé hmotnosti). </w:t>
      </w:r>
    </w:p>
    <w:p w14:paraId="49AC7A40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B4628E">
        <w:rPr>
          <w:rFonts w:ascii="Times New Roman" w:eastAsia="Times New Roman" w:hAnsi="Times New Roman"/>
          <w:u w:val="single"/>
          <w:lang w:eastAsia="cs-CZ"/>
        </w:rPr>
        <w:t xml:space="preserve">Kur domácí </w:t>
      </w:r>
    </w:p>
    <w:p w14:paraId="78DABAC5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628E">
        <w:rPr>
          <w:rFonts w:ascii="Times New Roman" w:eastAsia="Times New Roman" w:hAnsi="Times New Roman"/>
          <w:lang w:eastAsia="cs-CZ"/>
        </w:rPr>
        <w:t xml:space="preserve">Maso: 2 dny </w:t>
      </w:r>
    </w:p>
    <w:p w14:paraId="7A3C0961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628E">
        <w:rPr>
          <w:rFonts w:ascii="Times New Roman" w:eastAsia="Times New Roman" w:hAnsi="Times New Roman"/>
          <w:lang w:eastAsia="cs-CZ"/>
        </w:rPr>
        <w:t xml:space="preserve">Vejce: Bez ochranných lhůt. </w:t>
      </w:r>
    </w:p>
    <w:p w14:paraId="6C40CB24" w14:textId="77777777" w:rsidR="00B4628E" w:rsidRPr="00B4628E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B4628E">
        <w:rPr>
          <w:rFonts w:ascii="Times New Roman" w:eastAsia="Times New Roman" w:hAnsi="Times New Roman"/>
          <w:u w:val="single"/>
          <w:lang w:eastAsia="cs-CZ"/>
        </w:rPr>
        <w:t xml:space="preserve">Krůty </w:t>
      </w:r>
    </w:p>
    <w:p w14:paraId="3803664A" w14:textId="0CBE1C7E" w:rsidR="00B4628E" w:rsidRPr="00C5151C" w:rsidRDefault="00B4628E" w:rsidP="00B4628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4628E">
        <w:rPr>
          <w:rFonts w:ascii="Times New Roman" w:eastAsia="Times New Roman" w:hAnsi="Times New Roman"/>
          <w:lang w:eastAsia="cs-CZ"/>
        </w:rPr>
        <w:t>Maso: 6 dnů</w:t>
      </w:r>
    </w:p>
    <w:p w14:paraId="6F771E5C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Cs/>
          <w:lang w:eastAsia="cs-CZ"/>
        </w:rPr>
      </w:pPr>
    </w:p>
    <w:p w14:paraId="47D49DDE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11.</w:t>
      </w:r>
      <w:r w:rsidRPr="00C5151C">
        <w:rPr>
          <w:rFonts w:ascii="Times New Roman" w:eastAsia="Times New Roman" w:hAnsi="Times New Roman"/>
          <w:b/>
          <w:lang w:eastAsia="cs-CZ"/>
        </w:rPr>
        <w:tab/>
        <w:t>ZVLÁŠTNÍ OPATŘENÍ PRO UCHOVÁVÁNÍ</w:t>
      </w:r>
    </w:p>
    <w:p w14:paraId="42B91D99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B14927" w14:textId="1B1B4C22" w:rsidR="00F849A6" w:rsidRDefault="00204EE9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bookmarkStart w:id="6" w:name="_Toc382897866"/>
      <w:bookmarkStart w:id="7" w:name="_Toc382899287"/>
      <w:bookmarkStart w:id="8" w:name="_Toc488408219"/>
      <w:bookmarkStart w:id="9" w:name="_Toc490657304"/>
      <w:r w:rsidRPr="00B1585C">
        <w:rPr>
          <w:rFonts w:ascii="Times New Roman" w:eastAsia="Times New Roman" w:hAnsi="Times New Roman"/>
          <w:lang w:eastAsia="cs-CZ"/>
        </w:rPr>
        <w:t>Uchovávat mimo dohled a dosah dětí.</w:t>
      </w:r>
      <w:bookmarkEnd w:id="6"/>
      <w:bookmarkEnd w:id="7"/>
      <w:bookmarkEnd w:id="8"/>
      <w:bookmarkEnd w:id="9"/>
    </w:p>
    <w:p w14:paraId="448702D2" w14:textId="77777777" w:rsidR="00290C35" w:rsidRPr="007147FA" w:rsidRDefault="00290C35" w:rsidP="00B1585C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147FA">
        <w:rPr>
          <w:rFonts w:ascii="Times New Roman" w:hAnsi="Times New Roman"/>
          <w:szCs w:val="22"/>
          <w:lang w:val="cs-CZ"/>
        </w:rPr>
        <w:t>Uchovávejte při teplotě do 25 °C.</w:t>
      </w:r>
    </w:p>
    <w:p w14:paraId="0A841B6B" w14:textId="77777777" w:rsidR="00290C35" w:rsidRPr="007147FA" w:rsidRDefault="00290C35" w:rsidP="00B1585C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7147FA">
        <w:rPr>
          <w:rFonts w:ascii="Times New Roman" w:hAnsi="Times New Roman"/>
          <w:szCs w:val="22"/>
          <w:lang w:val="cs-CZ"/>
        </w:rPr>
        <w:t>Uchovávejte v suchu.</w:t>
      </w:r>
    </w:p>
    <w:p w14:paraId="01447B2A" w14:textId="2631D17B" w:rsidR="00290C35" w:rsidRDefault="00290C35" w:rsidP="00290C35">
      <w:pPr>
        <w:spacing w:after="0" w:line="240" w:lineRule="auto"/>
        <w:jc w:val="both"/>
        <w:rPr>
          <w:rFonts w:ascii="Times New Roman" w:hAnsi="Times New Roman"/>
        </w:rPr>
      </w:pPr>
      <w:r w:rsidRPr="007147FA">
        <w:rPr>
          <w:rFonts w:ascii="Times New Roman" w:hAnsi="Times New Roman"/>
        </w:rPr>
        <w:t>Uchovávejte v dobře uzavřeném vnitřním obalu.</w:t>
      </w:r>
    </w:p>
    <w:p w14:paraId="603E299B" w14:textId="4BCF1BEA" w:rsidR="00290C35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36EBC78" w14:textId="2E4C1F72" w:rsidR="00290C35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90C35">
        <w:rPr>
          <w:rFonts w:ascii="Times New Roman" w:eastAsia="Times New Roman" w:hAnsi="Times New Roman"/>
          <w:lang w:eastAsia="cs-CZ"/>
        </w:rPr>
        <w:t>Nepoužívejte tento veterinární léčivý přípravek po uplynutí doby použitelnosti uvedené na etiketě</w:t>
      </w:r>
      <w:r>
        <w:rPr>
          <w:rFonts w:ascii="Times New Roman" w:eastAsia="Times New Roman" w:hAnsi="Times New Roman"/>
          <w:lang w:eastAsia="cs-CZ"/>
        </w:rPr>
        <w:t xml:space="preserve"> po EXP. Doba použitelnosti končí posledním dnem v uvedeném měsíci.</w:t>
      </w:r>
    </w:p>
    <w:p w14:paraId="395F3720" w14:textId="14D290E2" w:rsidR="00290C35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187C40" w14:textId="77777777" w:rsidR="00290C35" w:rsidRPr="00290C35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90C35">
        <w:rPr>
          <w:rFonts w:ascii="Times New Roman" w:eastAsia="Times New Roman" w:hAnsi="Times New Roman"/>
          <w:lang w:eastAsia="cs-CZ"/>
        </w:rPr>
        <w:t>Doba použitelnosti po prvním otevření vnitřního obalu: spotřebujte ihned.</w:t>
      </w:r>
    </w:p>
    <w:p w14:paraId="6D0CE1CD" w14:textId="2E86D246" w:rsidR="00290C35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90C35">
        <w:rPr>
          <w:rFonts w:ascii="Times New Roman" w:eastAsia="Times New Roman" w:hAnsi="Times New Roman"/>
          <w:lang w:eastAsia="cs-CZ"/>
        </w:rPr>
        <w:t>Doba použitelnosti po naředění nebo rekonstituci podle návodu: 3 dny.</w:t>
      </w:r>
    </w:p>
    <w:p w14:paraId="053D9E6D" w14:textId="77777777" w:rsidR="00290C35" w:rsidRPr="00B1585C" w:rsidRDefault="00290C35" w:rsidP="00290C3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6503D73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12.</w:t>
      </w:r>
      <w:r w:rsidRPr="00C5151C">
        <w:rPr>
          <w:rFonts w:ascii="Times New Roman" w:eastAsia="Times New Roman" w:hAnsi="Times New Roman"/>
          <w:b/>
          <w:lang w:eastAsia="cs-CZ"/>
        </w:rPr>
        <w:tab/>
        <w:t>ZVLÁŠTNÍ UPOZORNĚNÍ</w:t>
      </w:r>
    </w:p>
    <w:p w14:paraId="7F524E46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</w:p>
    <w:p w14:paraId="5B00D027" w14:textId="332D8361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Zvláštní upozornění pro každý cílový druh:</w:t>
      </w:r>
    </w:p>
    <w:p w14:paraId="12BD72EA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>Zvířata se sníženým příjmem vody a/nebo oslabená zvířata by měla být léčena parenterálně.</w:t>
      </w:r>
    </w:p>
    <w:p w14:paraId="25C8E01C" w14:textId="08EE30F6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Při podávání tiamulinu drůbeži může dojít ke snížení příjmu vody. U kura domácího se projevuje závislost příjmu vody na koncentraci tiamulinu, kdy u koncentrace 500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(což odpovídá 1,11 g přípravku) na 4 litry vody se sníží příjem vody asi o 10 % a u koncentrace 500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(což odpovídá 1,11 g přípravku) na 2 litry vody se sníží o 15 %. Pravděpodobně zde není žádný nepříznivý účinek na celkovou kondici drůbeže ani na účinnost přípravku, nicméně by měl být příjem vody často sledován především v horkém počasí. U krůt je efekt snížení příjmu vody výraznější, přibližně 20 %, a proto se doporučuje nepřekračovat koncentraci 500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na 2 litry pitné vody.</w:t>
      </w:r>
    </w:p>
    <w:p w14:paraId="493E3EE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74013DB3" w14:textId="77777777" w:rsidR="00F849A6" w:rsidRPr="00391678" w:rsidRDefault="00F849A6" w:rsidP="00B1585C">
      <w:pPr>
        <w:keepNext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lastRenderedPageBreak/>
        <w:t>Zvláštní opatření pro použití u zvířat:</w:t>
      </w:r>
    </w:p>
    <w:p w14:paraId="2E5A7868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</w:t>
      </w:r>
    </w:p>
    <w:p w14:paraId="242F5AB7" w14:textId="77C834F5" w:rsidR="00391678" w:rsidRPr="00C5151C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Použití přípravku, které je odlišné od pokynů uvedených v tomto souhrnu údajů o přípravku (SPC), může zvýšit prevalenci bakterií rezistentních k tiamulinu a snížit účinnost terapie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pleuromutiliny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</w:t>
      </w:r>
      <w:r w:rsidR="00AF1AC3" w:rsidRPr="00391678">
        <w:rPr>
          <w:rFonts w:ascii="Times New Roman" w:eastAsia="Times New Roman" w:hAnsi="Times New Roman"/>
          <w:lang w:eastAsia="cs-CZ"/>
        </w:rPr>
        <w:t>z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>důvodu možné zkřížené rezistence/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ko</w:t>
      </w:r>
      <w:proofErr w:type="spellEnd"/>
      <w:r w:rsidRPr="00391678">
        <w:rPr>
          <w:rFonts w:ascii="Times New Roman" w:eastAsia="Times New Roman" w:hAnsi="Times New Roman"/>
          <w:lang w:eastAsia="cs-CZ"/>
        </w:rPr>
        <w:t>-selekce rezistence.</w:t>
      </w:r>
    </w:p>
    <w:p w14:paraId="60633D53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A348247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Zvláštní opatření určené osobám, které podávají veterinární léčivý přípravek zvířatům</w:t>
      </w:r>
      <w:r w:rsidRPr="00391678">
        <w:rPr>
          <w:rFonts w:ascii="Times New Roman" w:eastAsia="Times New Roman" w:hAnsi="Times New Roman"/>
          <w:lang w:eastAsia="cs-CZ"/>
        </w:rPr>
        <w:t>:</w:t>
      </w:r>
    </w:p>
    <w:p w14:paraId="4D996310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Lidé se známou přecitlivělostí na tiamulin by se měli vyhnout kontaktu s veterinárním léčivým přípravkem. </w:t>
      </w:r>
    </w:p>
    <w:p w14:paraId="107A48A3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Zabraňte kontaktu přípravku s kůží, očima a sliznicemi. </w:t>
      </w:r>
    </w:p>
    <w:p w14:paraId="3E41574D" w14:textId="56A48600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Při nakládání s veterinárním léčivým přípravkem by se měly používat osobní ochranné prostředky skládající se z ochranného oděvu, ochranných brýlí a gumových či latexových rukavic a buď </w:t>
      </w:r>
      <w:r w:rsidR="00AF1AC3" w:rsidRPr="00391678">
        <w:rPr>
          <w:rFonts w:ascii="Times New Roman" w:eastAsia="Times New Roman" w:hAnsi="Times New Roman"/>
          <w:lang w:eastAsia="cs-CZ"/>
        </w:rPr>
        <w:t>z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>jednorázového respirátoru s polomaskou vyhovující evropské normě EN149 nebo z respirátoru na více použití podle evropské normy EN140 s filtrem podle normy EN143.</w:t>
      </w:r>
    </w:p>
    <w:p w14:paraId="6BBF06C0" w14:textId="00B5968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V případě potřísnění pokožky či sliznice opláchněte ihned exponovanou část velkým množstvím vody a odstraňte kontaminovaný oděv, který je v přímém kontaktu s pokožkou. V případě zasažení očí vypláchněte oči velkým množstvím pitné vody. Dojde-li k podráždění, vyhledejte lékařskou pomoc </w:t>
      </w:r>
      <w:r w:rsidR="00AF1AC3" w:rsidRPr="00391678">
        <w:rPr>
          <w:rFonts w:ascii="Times New Roman" w:eastAsia="Times New Roman" w:hAnsi="Times New Roman"/>
          <w:lang w:eastAsia="cs-CZ"/>
        </w:rPr>
        <w:t>a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>ukažte příbalovou informaci nebo etiketu praktickému lékaři.</w:t>
      </w:r>
    </w:p>
    <w:p w14:paraId="13B9BE62" w14:textId="1A72F587" w:rsidR="00391678" w:rsidRPr="00C5151C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>Po použití si umyjte ruce.</w:t>
      </w:r>
    </w:p>
    <w:p w14:paraId="52DFC28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</w:p>
    <w:p w14:paraId="6D37CA8D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Březost a laktace:</w:t>
      </w:r>
    </w:p>
    <w:p w14:paraId="4B03EB28" w14:textId="6C4E1358" w:rsidR="00391678" w:rsidRDefault="00391678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>Lze použít u prasat během březosti a laktace.</w:t>
      </w:r>
    </w:p>
    <w:p w14:paraId="0A48F89B" w14:textId="77777777" w:rsidR="00391678" w:rsidRPr="00C5151C" w:rsidRDefault="00391678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923BC2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Snáška:</w:t>
      </w:r>
    </w:p>
    <w:p w14:paraId="3B0B5C24" w14:textId="3AD01932" w:rsidR="00F849A6" w:rsidRPr="00C5151C" w:rsidRDefault="00391678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>Lze použít u nosnic i u chovných jedinců kura domácího a krůt.</w:t>
      </w:r>
    </w:p>
    <w:p w14:paraId="079F9946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E0B3E2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Interakce s dalšími léčivými přípravky a další formy interakce:</w:t>
      </w:r>
    </w:p>
    <w:p w14:paraId="27768FAA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Tiamulin interaguje s ionofory jako jsou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monensin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salinomycin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narasin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. Tyto interakce mohou vyústit v příznaky nerozeznatelné od ionoforové toxikózy. Zvířatům by se neměly podávat přípravky obsahující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monensin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salinomycin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nebo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narasin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během nebo alespoň 7 dnů před nebo po léčbě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. Následkem může být výrazné zpomalení růstu, ataxie, paralýza nebo úhyn. </w:t>
      </w:r>
    </w:p>
    <w:p w14:paraId="0A72391D" w14:textId="515C7B6E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Pokud se objeví příznaky interakce, okamžitě zastavte podávání pitné vody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medikované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</w:t>
      </w:r>
      <w:r w:rsidR="00AF1AC3" w:rsidRPr="00391678">
        <w:rPr>
          <w:rFonts w:ascii="Times New Roman" w:eastAsia="Times New Roman" w:hAnsi="Times New Roman"/>
          <w:lang w:eastAsia="cs-CZ"/>
        </w:rPr>
        <w:t>i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 xml:space="preserve">krmiva kontaminovaného ionofory. Krmivo musí být odstraněno a nahrazeno čerstvým krmivem neobsahujícím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antikokcidika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monensin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salinomycin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nebo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narasin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. </w:t>
      </w:r>
    </w:p>
    <w:p w14:paraId="1C61DAF7" w14:textId="3C7B4E02" w:rsidR="00F849A6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Současné použití tiamulinu a bivalentních ionoforových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antikokcidik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lasalocidu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a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semduramicinu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pravděpodobně nezpůsobuje žádnou interakci, nicméně současné podávání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tiamulinu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s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maduramicinem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může u kura domácího vést k mírnému až střednímu zpomalení růstu. Tento stav je přechodný </w:t>
      </w:r>
      <w:r w:rsidR="00AF1AC3" w:rsidRPr="00391678">
        <w:rPr>
          <w:rFonts w:ascii="Times New Roman" w:eastAsia="Times New Roman" w:hAnsi="Times New Roman"/>
          <w:lang w:eastAsia="cs-CZ"/>
        </w:rPr>
        <w:t>a</w:t>
      </w:r>
      <w:r w:rsidR="00AF1AC3">
        <w:rPr>
          <w:rFonts w:ascii="Times New Roman" w:eastAsia="Times New Roman" w:hAnsi="Times New Roman"/>
          <w:lang w:eastAsia="cs-CZ"/>
        </w:rPr>
        <w:t> </w:t>
      </w:r>
      <w:r w:rsidR="00AF1AC3" w:rsidRPr="00391678">
        <w:rPr>
          <w:rFonts w:ascii="Times New Roman" w:eastAsia="Times New Roman" w:hAnsi="Times New Roman"/>
          <w:lang w:eastAsia="cs-CZ"/>
        </w:rPr>
        <w:t>k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 xml:space="preserve">zotavení obvykle dochází během 3–5 dnů od ukončení léčby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tiamulinem</w:t>
      </w:r>
      <w:proofErr w:type="spellEnd"/>
      <w:r w:rsidRPr="00391678">
        <w:rPr>
          <w:rFonts w:ascii="Times New Roman" w:eastAsia="Times New Roman" w:hAnsi="Times New Roman"/>
          <w:lang w:eastAsia="cs-CZ"/>
        </w:rPr>
        <w:t>.</w:t>
      </w:r>
    </w:p>
    <w:p w14:paraId="6A62B32D" w14:textId="77777777" w:rsidR="00391678" w:rsidRPr="00C5151C" w:rsidRDefault="00391678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F626A38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Předávkování (symptomy, první pomoc, antidota)</w:t>
      </w:r>
      <w:r w:rsidRPr="00391678">
        <w:rPr>
          <w:rFonts w:ascii="Times New Roman" w:eastAsia="Times New Roman" w:hAnsi="Times New Roman"/>
          <w:lang w:eastAsia="cs-CZ"/>
        </w:rPr>
        <w:t>:</w:t>
      </w:r>
    </w:p>
    <w:p w14:paraId="6598A8D3" w14:textId="616C66C2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Jednorázové perorální dávky 100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/kg živé hmotnosti vyvolaly u prasat prohloubené dýchání a abdominální potíže. Při dávce 150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/kg živé hmotnosti nebyly pozorovány žádné účinky na centrální nervovou soustavu kromě zklidnění. </w:t>
      </w:r>
      <w:r w:rsidR="00AF1AC3" w:rsidRPr="00391678">
        <w:rPr>
          <w:rFonts w:ascii="Times New Roman" w:eastAsia="Times New Roman" w:hAnsi="Times New Roman"/>
          <w:lang w:eastAsia="cs-CZ"/>
        </w:rPr>
        <w:t>K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 xml:space="preserve">přechodnému slinění a mírnému podráždění trávicího traktu došlo u dávek 55 mg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>/kg živé hmotnosti podávaných denně po dobu 14 dnů. Předpokládá se, že tiamulin má u prasat adekvátní terapeutický index a minimální letální dávka nebyla stanovena.</w:t>
      </w:r>
    </w:p>
    <w:p w14:paraId="2C91A31C" w14:textId="571E098A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U drůbeže má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</w:t>
      </w:r>
      <w:proofErr w:type="spellEnd"/>
      <w:r w:rsidRPr="00391678">
        <w:rPr>
          <w:rFonts w:ascii="Times New Roman" w:eastAsia="Times New Roman" w:hAnsi="Times New Roman"/>
          <w:lang w:eastAsia="cs-CZ"/>
        </w:rPr>
        <w:t xml:space="preserve"> relativně široký terapeutický index s nízkou pravděpodobností předávkování především proto, že při podání abnormálně vysokých koncentrací dochází ke snížení příjmu vody a tím i tiamulin </w:t>
      </w:r>
      <w:proofErr w:type="spellStart"/>
      <w:r w:rsidRPr="00391678">
        <w:rPr>
          <w:rFonts w:ascii="Times New Roman" w:eastAsia="Times New Roman" w:hAnsi="Times New Roman"/>
          <w:lang w:eastAsia="cs-CZ"/>
        </w:rPr>
        <w:t>hydrogenfumarátu</w:t>
      </w:r>
      <w:proofErr w:type="spellEnd"/>
      <w:r w:rsidRPr="00391678">
        <w:rPr>
          <w:rFonts w:ascii="Times New Roman" w:eastAsia="Times New Roman" w:hAnsi="Times New Roman"/>
          <w:lang w:eastAsia="cs-CZ"/>
        </w:rPr>
        <w:t>. LD</w:t>
      </w:r>
      <w:r w:rsidRPr="00391678">
        <w:rPr>
          <w:rFonts w:ascii="Times New Roman" w:eastAsia="Times New Roman" w:hAnsi="Times New Roman"/>
          <w:vertAlign w:val="subscript"/>
          <w:lang w:eastAsia="cs-CZ"/>
        </w:rPr>
        <w:t>5</w:t>
      </w:r>
      <w:r w:rsidRPr="00391678">
        <w:rPr>
          <w:rFonts w:ascii="Times New Roman" w:eastAsia="Times New Roman" w:hAnsi="Times New Roman"/>
          <w:lang w:eastAsia="cs-CZ"/>
        </w:rPr>
        <w:t xml:space="preserve"> je u kura domácího 1090 mg/kg živé hmotnosti </w:t>
      </w:r>
      <w:r w:rsidR="00AF1AC3" w:rsidRPr="00391678">
        <w:rPr>
          <w:rFonts w:ascii="Times New Roman" w:eastAsia="Times New Roman" w:hAnsi="Times New Roman"/>
          <w:lang w:eastAsia="cs-CZ"/>
        </w:rPr>
        <w:t>a</w:t>
      </w:r>
      <w:r w:rsidR="00AF1AC3">
        <w:rPr>
          <w:rFonts w:ascii="Times New Roman" w:eastAsia="Times New Roman" w:hAnsi="Times New Roman"/>
          <w:lang w:eastAsia="cs-CZ"/>
        </w:rPr>
        <w:t> </w:t>
      </w:r>
      <w:r w:rsidR="00AF1AC3" w:rsidRPr="00391678">
        <w:rPr>
          <w:rFonts w:ascii="Times New Roman" w:eastAsia="Times New Roman" w:hAnsi="Times New Roman"/>
          <w:lang w:eastAsia="cs-CZ"/>
        </w:rPr>
        <w:t>u</w:t>
      </w:r>
      <w:r w:rsidR="00AF1AC3">
        <w:rPr>
          <w:rFonts w:ascii="Times New Roman" w:eastAsia="Times New Roman" w:hAnsi="Times New Roman"/>
          <w:lang w:eastAsia="cs-CZ"/>
        </w:rPr>
        <w:t> </w:t>
      </w:r>
      <w:r w:rsidRPr="00391678">
        <w:rPr>
          <w:rFonts w:ascii="Times New Roman" w:eastAsia="Times New Roman" w:hAnsi="Times New Roman"/>
          <w:lang w:eastAsia="cs-CZ"/>
        </w:rPr>
        <w:t>krůt 840 mg/kg živé hmotnosti.</w:t>
      </w:r>
    </w:p>
    <w:p w14:paraId="6A2B37B2" w14:textId="77777777" w:rsidR="00391678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t xml:space="preserve">Klinické příznaky akutní toxicity u kura domácího jsou – vokalizace, klonické křeče a ležení na boku, u </w:t>
      </w:r>
      <w:proofErr w:type="gramStart"/>
      <w:r w:rsidRPr="00391678">
        <w:rPr>
          <w:rFonts w:ascii="Times New Roman" w:eastAsia="Times New Roman" w:hAnsi="Times New Roman"/>
          <w:lang w:eastAsia="cs-CZ"/>
        </w:rPr>
        <w:t>krůt - klonické</w:t>
      </w:r>
      <w:proofErr w:type="gramEnd"/>
      <w:r w:rsidRPr="00391678">
        <w:rPr>
          <w:rFonts w:ascii="Times New Roman" w:eastAsia="Times New Roman" w:hAnsi="Times New Roman"/>
          <w:lang w:eastAsia="cs-CZ"/>
        </w:rPr>
        <w:t xml:space="preserve"> křeče, ležení na boku nebo na zádech, salivace a ptóza.</w:t>
      </w:r>
    </w:p>
    <w:p w14:paraId="3D91AC54" w14:textId="17048F4B" w:rsidR="00F849A6" w:rsidRPr="00391678" w:rsidRDefault="00391678" w:rsidP="0039167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lang w:eastAsia="cs-CZ"/>
        </w:rPr>
        <w:lastRenderedPageBreak/>
        <w:t>Pokud se objeví příznaky intoxikace, okamžitě odstraňte medikovanou vodu a nahraďte ji čerstvou vodou.</w:t>
      </w:r>
    </w:p>
    <w:p w14:paraId="5C02C017" w14:textId="77777777" w:rsidR="00391678" w:rsidRPr="00C5151C" w:rsidRDefault="00391678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88CDF05" w14:textId="77777777" w:rsidR="00F849A6" w:rsidRPr="00391678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91678">
        <w:rPr>
          <w:rFonts w:ascii="Times New Roman" w:eastAsia="Times New Roman" w:hAnsi="Times New Roman"/>
          <w:u w:val="single"/>
          <w:lang w:eastAsia="cs-CZ"/>
        </w:rPr>
        <w:t>Inkompatibility</w:t>
      </w:r>
      <w:r w:rsidRPr="00391678">
        <w:rPr>
          <w:rFonts w:ascii="Times New Roman" w:eastAsia="Times New Roman" w:hAnsi="Times New Roman"/>
          <w:lang w:eastAsia="cs-CZ"/>
        </w:rPr>
        <w:t>:</w:t>
      </w:r>
    </w:p>
    <w:p w14:paraId="6F5487BF" w14:textId="6DDBC9F4" w:rsidR="00F849A6" w:rsidRPr="00C5151C" w:rsidRDefault="00FC3629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C3629">
        <w:rPr>
          <w:rFonts w:ascii="Times New Roman" w:eastAsia="Times New Roman" w:hAnsi="Times New Roman"/>
          <w:lang w:eastAsia="cs-CZ"/>
        </w:rPr>
        <w:t>Koncentrace nad 10 ppm volného chlóru může snížit antibakteriální aktivitu tiamulinu v případě podávání v pitné vodě.</w:t>
      </w:r>
    </w:p>
    <w:p w14:paraId="18E8AECA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1862D5C" w14:textId="58F291A5" w:rsidR="00F849A6" w:rsidRDefault="00F849A6" w:rsidP="00B1585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13.</w:t>
      </w:r>
      <w:r w:rsidRPr="00C5151C">
        <w:rPr>
          <w:rFonts w:ascii="Times New Roman" w:eastAsia="Times New Roman" w:hAnsi="Times New Roman"/>
          <w:b/>
          <w:lang w:eastAsia="cs-CZ"/>
        </w:rPr>
        <w:tab/>
        <w:t>ZVLÁŠTNÍ OPATŘENÍ PRO ZNEŠKODŇOVÁNÍ NEPOUŽITÝCH PŘÍPRAVKŮ NEBO ODPADU, POKUD JE JICH TŘEBA</w:t>
      </w:r>
    </w:p>
    <w:p w14:paraId="6CCA5EAD" w14:textId="77777777" w:rsidR="00FC3629" w:rsidRDefault="00FC3629" w:rsidP="00B1585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29C2B460" w14:textId="77777777" w:rsidR="00A31D37" w:rsidRPr="00AF1AC3" w:rsidRDefault="00A31D37" w:rsidP="00B158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F1AC3">
        <w:rPr>
          <w:rFonts w:ascii="Times New Roman" w:eastAsia="Times New Roman" w:hAnsi="Times New Roman"/>
          <w:lang w:eastAsia="cs-CZ"/>
        </w:rPr>
        <w:t xml:space="preserve">Léčivé přípravky se nesmí likvidovat prostřednictvím odpadní vody či domovního odpadu. </w:t>
      </w:r>
    </w:p>
    <w:p w14:paraId="2D8E7E66" w14:textId="77777777" w:rsidR="00A31D37" w:rsidRPr="00A31D37" w:rsidRDefault="00A31D37" w:rsidP="00B158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31D37">
        <w:rPr>
          <w:rFonts w:ascii="Times New Roman" w:eastAsia="Times New Roman" w:hAnsi="Times New Roman"/>
          <w:lang w:eastAsia="cs-CZ"/>
        </w:rPr>
        <w:t>O možnostech likvidace nepotřebných léčivých přípravků se poraďte s vaším veterinárním lékařem.</w:t>
      </w:r>
    </w:p>
    <w:p w14:paraId="4E93D962" w14:textId="77777777" w:rsidR="00A31D37" w:rsidRPr="00A31D37" w:rsidRDefault="00A31D37" w:rsidP="00B158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31D37">
        <w:rPr>
          <w:rFonts w:ascii="Times New Roman" w:eastAsia="Times New Roman" w:hAnsi="Times New Roman"/>
          <w:lang w:eastAsia="cs-CZ"/>
        </w:rPr>
        <w:t>Tato opatření napomáhají chránit životní prostředí.</w:t>
      </w:r>
    </w:p>
    <w:p w14:paraId="0387022F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6D6B7DCB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14.</w:t>
      </w:r>
      <w:r w:rsidRPr="00C5151C">
        <w:rPr>
          <w:rFonts w:ascii="Times New Roman" w:eastAsia="Times New Roman" w:hAnsi="Times New Roman"/>
          <w:b/>
          <w:lang w:eastAsia="cs-CZ"/>
        </w:rPr>
        <w:tab/>
        <w:t>DATUM POSLEDNÍ REVIZE PŘÍBALOVÉ INFORMACE</w:t>
      </w:r>
    </w:p>
    <w:p w14:paraId="4FC5C1D7" w14:textId="2A9EF6BB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6C1C5B" w14:textId="3E5056F3" w:rsidR="00FC3629" w:rsidRPr="00C5151C" w:rsidRDefault="00FC3629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gramStart"/>
      <w:r>
        <w:rPr>
          <w:rFonts w:ascii="Times New Roman" w:eastAsia="Times New Roman" w:hAnsi="Times New Roman"/>
          <w:lang w:eastAsia="cs-CZ"/>
        </w:rPr>
        <w:t>Listopad</w:t>
      </w:r>
      <w:proofErr w:type="gramEnd"/>
      <w:r>
        <w:rPr>
          <w:rFonts w:ascii="Times New Roman" w:eastAsia="Times New Roman" w:hAnsi="Times New Roman"/>
          <w:lang w:eastAsia="cs-CZ"/>
        </w:rPr>
        <w:t xml:space="preserve"> 2021</w:t>
      </w:r>
    </w:p>
    <w:p w14:paraId="70AA40ED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E89AC8C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b/>
          <w:highlight w:val="lightGray"/>
          <w:lang w:eastAsia="cs-CZ"/>
        </w:rPr>
        <w:t>15.</w:t>
      </w:r>
      <w:r w:rsidRPr="00C5151C">
        <w:rPr>
          <w:rFonts w:ascii="Times New Roman" w:eastAsia="Times New Roman" w:hAnsi="Times New Roman"/>
          <w:b/>
          <w:lang w:eastAsia="cs-CZ"/>
        </w:rPr>
        <w:tab/>
        <w:t>DALŠÍ INFORMACE</w:t>
      </w:r>
    </w:p>
    <w:p w14:paraId="12AD58CB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F3426BC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lang w:eastAsia="cs-CZ"/>
        </w:rPr>
        <w:t>Pouze pro zvířata.</w:t>
      </w:r>
    </w:p>
    <w:p w14:paraId="66567CFE" w14:textId="309BDB08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lang w:eastAsia="cs-CZ"/>
        </w:rPr>
        <w:t>Veterinární léčivý přípravek je vydáván pouze na předpis.</w:t>
      </w:r>
    </w:p>
    <w:p w14:paraId="662E7EE5" w14:textId="20C711DA" w:rsidR="00A31D37" w:rsidRDefault="00A31D37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</w:p>
    <w:p w14:paraId="100498F0" w14:textId="1B6BE045" w:rsidR="00A31D37" w:rsidRPr="00AF1AC3" w:rsidRDefault="00A31D37" w:rsidP="00F849A6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  <w:r w:rsidRPr="00B1585C">
        <w:rPr>
          <w:rFonts w:ascii="Times New Roman" w:hAnsi="Times New Roman"/>
          <w:u w:val="single"/>
        </w:rPr>
        <w:t>Environmentální vlastnosti:</w:t>
      </w:r>
      <w:r w:rsidRPr="00B1585C">
        <w:rPr>
          <w:rFonts w:ascii="Times New Roman" w:hAnsi="Times New Roman"/>
        </w:rPr>
        <w:t xml:space="preserve"> tiamulin je perzistentní v půdách.</w:t>
      </w:r>
    </w:p>
    <w:p w14:paraId="1F0611B0" w14:textId="7AC7C301" w:rsidR="00F849A6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color w:val="008000"/>
          <w:lang w:eastAsia="cs-CZ"/>
        </w:rPr>
      </w:pPr>
    </w:p>
    <w:p w14:paraId="41A4521D" w14:textId="77777777" w:rsidR="00290C35" w:rsidRPr="00B1585C" w:rsidRDefault="00290C35" w:rsidP="00290C35">
      <w:pPr>
        <w:pStyle w:val="Textkomente"/>
        <w:rPr>
          <w:rFonts w:ascii="Times New Roman" w:hAnsi="Times New Roman"/>
          <w:sz w:val="22"/>
          <w:szCs w:val="22"/>
          <w:u w:val="single"/>
          <w:lang w:val="cs-CZ"/>
        </w:rPr>
      </w:pPr>
      <w:r w:rsidRPr="00B1585C">
        <w:rPr>
          <w:rFonts w:ascii="Times New Roman" w:hAnsi="Times New Roman"/>
          <w:sz w:val="22"/>
          <w:szCs w:val="22"/>
          <w:u w:val="single"/>
          <w:lang w:val="cs-CZ"/>
        </w:rPr>
        <w:t>Velikosti balení:</w:t>
      </w:r>
    </w:p>
    <w:p w14:paraId="5C90FF70" w14:textId="08124C81" w:rsidR="00290C35" w:rsidRDefault="00290C35" w:rsidP="00290C35">
      <w:pPr>
        <w:spacing w:after="0" w:line="240" w:lineRule="auto"/>
        <w:jc w:val="both"/>
        <w:rPr>
          <w:rFonts w:ascii="Times New Roman" w:hAnsi="Times New Roman"/>
        </w:rPr>
      </w:pPr>
      <w:r w:rsidRPr="00290C35">
        <w:rPr>
          <w:rFonts w:ascii="Times New Roman" w:hAnsi="Times New Roman"/>
        </w:rPr>
        <w:t xml:space="preserve">8x 12,5 g, 8x 125 g, </w:t>
      </w:r>
      <w:r w:rsidRPr="00EF0E9B">
        <w:rPr>
          <w:rFonts w:ascii="Times New Roman" w:hAnsi="Times New Roman"/>
        </w:rPr>
        <w:t>1x 1 kg, 1x 5 kg, 1x 10 kg, 1x 25 kg</w:t>
      </w:r>
    </w:p>
    <w:p w14:paraId="46E1589D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lang w:eastAsia="cs-CZ"/>
        </w:rPr>
        <w:t>Na trhu nemusí být všechny velikosti balení.</w:t>
      </w:r>
    </w:p>
    <w:p w14:paraId="4E116A68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8D7F29" w14:textId="77777777" w:rsidR="00F849A6" w:rsidRPr="00C5151C" w:rsidRDefault="00F849A6" w:rsidP="00F849A6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5151C">
        <w:rPr>
          <w:rFonts w:ascii="Times New Roman" w:eastAsia="Times New Roman" w:hAnsi="Times New Roman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14:paraId="2E54476D" w14:textId="77777777" w:rsidR="00F849A6" w:rsidRPr="00C5151C" w:rsidRDefault="00F849A6" w:rsidP="00F849A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5C03FC8D" w14:textId="77777777" w:rsidR="00716A5C" w:rsidRPr="00716A5C" w:rsidRDefault="00716A5C" w:rsidP="00716A5C">
      <w:pPr>
        <w:spacing w:after="0"/>
        <w:rPr>
          <w:rFonts w:ascii="Times New Roman" w:eastAsia="Times New Roman" w:hAnsi="Times New Roman"/>
          <w:lang w:eastAsia="cs-CZ"/>
        </w:rPr>
      </w:pPr>
      <w:r w:rsidRPr="00716A5C">
        <w:rPr>
          <w:rFonts w:ascii="Times New Roman" w:eastAsia="Times New Roman" w:hAnsi="Times New Roman"/>
          <w:lang w:eastAsia="cs-CZ"/>
        </w:rPr>
        <w:t>CEVA ANIMAL HEALTH SLOVAKIA, s.r.o.</w:t>
      </w:r>
    </w:p>
    <w:p w14:paraId="1FFCA5C9" w14:textId="77777777" w:rsidR="00716A5C" w:rsidRPr="00716A5C" w:rsidRDefault="00716A5C" w:rsidP="00716A5C">
      <w:pPr>
        <w:spacing w:after="0"/>
        <w:rPr>
          <w:rFonts w:ascii="Times New Roman" w:eastAsia="Times New Roman" w:hAnsi="Times New Roman"/>
          <w:lang w:eastAsia="cs-CZ"/>
        </w:rPr>
      </w:pPr>
      <w:proofErr w:type="spellStart"/>
      <w:r w:rsidRPr="00716A5C">
        <w:rPr>
          <w:rFonts w:ascii="Times New Roman" w:eastAsia="Times New Roman" w:hAnsi="Times New Roman"/>
          <w:lang w:eastAsia="cs-CZ"/>
        </w:rPr>
        <w:t>Prievozská</w:t>
      </w:r>
      <w:proofErr w:type="spellEnd"/>
      <w:r w:rsidRPr="00716A5C">
        <w:rPr>
          <w:rFonts w:ascii="Times New Roman" w:eastAsia="Times New Roman" w:hAnsi="Times New Roman"/>
          <w:lang w:eastAsia="cs-CZ"/>
        </w:rPr>
        <w:t xml:space="preserve"> 5434/</w:t>
      </w:r>
      <w:proofErr w:type="gramStart"/>
      <w:r w:rsidRPr="00716A5C">
        <w:rPr>
          <w:rFonts w:ascii="Times New Roman" w:eastAsia="Times New Roman" w:hAnsi="Times New Roman"/>
          <w:lang w:eastAsia="cs-CZ"/>
        </w:rPr>
        <w:t>6A</w:t>
      </w:r>
      <w:proofErr w:type="gramEnd"/>
    </w:p>
    <w:p w14:paraId="3A70CD76" w14:textId="77777777" w:rsidR="00716A5C" w:rsidRPr="00716A5C" w:rsidRDefault="00716A5C" w:rsidP="00716A5C">
      <w:pPr>
        <w:spacing w:after="0"/>
        <w:rPr>
          <w:rFonts w:ascii="Times New Roman" w:eastAsia="Times New Roman" w:hAnsi="Times New Roman"/>
          <w:lang w:eastAsia="cs-CZ"/>
        </w:rPr>
      </w:pPr>
      <w:r w:rsidRPr="00716A5C">
        <w:rPr>
          <w:rFonts w:ascii="Times New Roman" w:eastAsia="Times New Roman" w:hAnsi="Times New Roman"/>
          <w:lang w:eastAsia="cs-CZ"/>
        </w:rPr>
        <w:t xml:space="preserve">821 09 </w:t>
      </w:r>
      <w:proofErr w:type="gramStart"/>
      <w:r w:rsidRPr="00716A5C">
        <w:rPr>
          <w:rFonts w:ascii="Times New Roman" w:eastAsia="Times New Roman" w:hAnsi="Times New Roman"/>
          <w:lang w:eastAsia="cs-CZ"/>
        </w:rPr>
        <w:t xml:space="preserve">Bratislava - </w:t>
      </w:r>
      <w:proofErr w:type="spellStart"/>
      <w:r w:rsidRPr="00716A5C">
        <w:rPr>
          <w:rFonts w:ascii="Times New Roman" w:eastAsia="Times New Roman" w:hAnsi="Times New Roman"/>
          <w:lang w:eastAsia="cs-CZ"/>
        </w:rPr>
        <w:t>mestská</w:t>
      </w:r>
      <w:proofErr w:type="spellEnd"/>
      <w:proofErr w:type="gramEnd"/>
      <w:r w:rsidRPr="00716A5C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716A5C">
        <w:rPr>
          <w:rFonts w:ascii="Times New Roman" w:eastAsia="Times New Roman" w:hAnsi="Times New Roman"/>
          <w:lang w:eastAsia="cs-CZ"/>
        </w:rPr>
        <w:t>časť</w:t>
      </w:r>
      <w:proofErr w:type="spellEnd"/>
      <w:r w:rsidRPr="00716A5C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716A5C">
        <w:rPr>
          <w:rFonts w:ascii="Times New Roman" w:eastAsia="Times New Roman" w:hAnsi="Times New Roman"/>
          <w:lang w:eastAsia="cs-CZ"/>
        </w:rPr>
        <w:t>Ružinov</w:t>
      </w:r>
      <w:proofErr w:type="spellEnd"/>
    </w:p>
    <w:p w14:paraId="7304BCF9" w14:textId="1486FF9C" w:rsidR="00554808" w:rsidRPr="00C5151C" w:rsidRDefault="00716A5C" w:rsidP="00716A5C">
      <w:pPr>
        <w:spacing w:after="0"/>
        <w:rPr>
          <w:rFonts w:ascii="Times New Roman" w:hAnsi="Times New Roman"/>
        </w:rPr>
      </w:pPr>
      <w:r w:rsidRPr="00716A5C">
        <w:rPr>
          <w:rFonts w:ascii="Times New Roman" w:eastAsia="Times New Roman" w:hAnsi="Times New Roman"/>
          <w:lang w:eastAsia="cs-CZ"/>
        </w:rPr>
        <w:t>Slovenská republika</w:t>
      </w:r>
    </w:p>
    <w:sectPr w:rsidR="00554808" w:rsidRPr="00C5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555B" w14:textId="77777777" w:rsidR="00F6746A" w:rsidRDefault="00F6746A" w:rsidP="00F93DEB">
      <w:pPr>
        <w:spacing w:after="0" w:line="240" w:lineRule="auto"/>
      </w:pPr>
      <w:r>
        <w:separator/>
      </w:r>
    </w:p>
  </w:endnote>
  <w:endnote w:type="continuationSeparator" w:id="0">
    <w:p w14:paraId="490D57A9" w14:textId="77777777" w:rsidR="00F6746A" w:rsidRDefault="00F6746A" w:rsidP="00F9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39F3" w14:textId="77777777" w:rsidR="00F6746A" w:rsidRDefault="00F6746A" w:rsidP="00F93DEB">
      <w:pPr>
        <w:spacing w:after="0" w:line="240" w:lineRule="auto"/>
      </w:pPr>
      <w:r>
        <w:separator/>
      </w:r>
    </w:p>
  </w:footnote>
  <w:footnote w:type="continuationSeparator" w:id="0">
    <w:p w14:paraId="40FB3DD0" w14:textId="77777777" w:rsidR="00F6746A" w:rsidRDefault="00F6746A" w:rsidP="00F9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3F8"/>
    <w:multiLevelType w:val="multilevel"/>
    <w:tmpl w:val="F03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6F22A6"/>
    <w:multiLevelType w:val="hybridMultilevel"/>
    <w:tmpl w:val="0088B1DC"/>
    <w:lvl w:ilvl="0" w:tplc="FD3CB2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722"/>
    <w:multiLevelType w:val="hybridMultilevel"/>
    <w:tmpl w:val="0088B1DC"/>
    <w:lvl w:ilvl="0" w:tplc="FD3CB2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A6"/>
    <w:rsid w:val="00007AFD"/>
    <w:rsid w:val="00204EE9"/>
    <w:rsid w:val="002470DE"/>
    <w:rsid w:val="00274CC3"/>
    <w:rsid w:val="00290C35"/>
    <w:rsid w:val="00296919"/>
    <w:rsid w:val="002E4637"/>
    <w:rsid w:val="00391678"/>
    <w:rsid w:val="00415119"/>
    <w:rsid w:val="00554808"/>
    <w:rsid w:val="005D5406"/>
    <w:rsid w:val="00716A5C"/>
    <w:rsid w:val="008B6438"/>
    <w:rsid w:val="00946257"/>
    <w:rsid w:val="00A02DDE"/>
    <w:rsid w:val="00A31D37"/>
    <w:rsid w:val="00A439A4"/>
    <w:rsid w:val="00AE5140"/>
    <w:rsid w:val="00AF1AC3"/>
    <w:rsid w:val="00B1585C"/>
    <w:rsid w:val="00B4628E"/>
    <w:rsid w:val="00BF487A"/>
    <w:rsid w:val="00C102FB"/>
    <w:rsid w:val="00C5151C"/>
    <w:rsid w:val="00D2742C"/>
    <w:rsid w:val="00E639DC"/>
    <w:rsid w:val="00F012F9"/>
    <w:rsid w:val="00F6746A"/>
    <w:rsid w:val="00F849A6"/>
    <w:rsid w:val="00F93DEB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1D96A"/>
  <w15:chartTrackingRefBased/>
  <w15:docId w15:val="{A6CFBC0E-F812-4242-A8F2-6643B35B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9A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90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DE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DEB"/>
    <w:rPr>
      <w:rFonts w:ascii="Calibri" w:eastAsia="Calibri" w:hAnsi="Calibri" w:cs="Times New Roman"/>
    </w:rPr>
  </w:style>
  <w:style w:type="paragraph" w:customStyle="1" w:styleId="Text">
    <w:name w:val="Text"/>
    <w:basedOn w:val="Normln"/>
    <w:rsid w:val="00415119"/>
    <w:pPr>
      <w:spacing w:before="120" w:after="0" w:line="240" w:lineRule="auto"/>
      <w:jc w:val="both"/>
    </w:pPr>
    <w:rPr>
      <w:rFonts w:ascii="Arial" w:eastAsia="Times New Roman" w:hAnsi="Arial"/>
      <w:szCs w:val="20"/>
      <w:lang w:val="en-US"/>
    </w:rPr>
  </w:style>
  <w:style w:type="paragraph" w:styleId="Zkladntext2">
    <w:name w:val="Body Text 2"/>
    <w:basedOn w:val="Normln"/>
    <w:link w:val="Zkladntext2Char"/>
    <w:rsid w:val="00415119"/>
    <w:pPr>
      <w:spacing w:after="120" w:line="480" w:lineRule="auto"/>
    </w:pPr>
    <w:rPr>
      <w:rFonts w:ascii="Arial" w:eastAsia="Times New Roman" w:hAnsi="Arial"/>
      <w:szCs w:val="20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415119"/>
    <w:rPr>
      <w:rFonts w:ascii="Arial" w:eastAsia="Times New Roman" w:hAnsi="Arial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119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511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07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51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140"/>
    <w:rPr>
      <w:color w:val="605E5C"/>
      <w:shd w:val="clear" w:color="auto" w:fill="E1DFDD"/>
    </w:rPr>
  </w:style>
  <w:style w:type="character" w:styleId="Odkaznakoment">
    <w:name w:val="annotation reference"/>
    <w:semiHidden/>
    <w:rsid w:val="00AE514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5140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AE514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AE5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2F9"/>
    <w:pPr>
      <w:spacing w:after="200"/>
    </w:pPr>
    <w:rPr>
      <w:rFonts w:ascii="Calibri" w:eastAsia="Calibri" w:hAnsi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2F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290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2210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Zdenka</dc:creator>
  <cp:keywords/>
  <dc:description/>
  <cp:lastModifiedBy>Mašková Zdenka</cp:lastModifiedBy>
  <cp:revision>3</cp:revision>
  <dcterms:created xsi:type="dcterms:W3CDTF">2021-11-15T06:51:00Z</dcterms:created>
  <dcterms:modified xsi:type="dcterms:W3CDTF">2021-11-15T06:56:00Z</dcterms:modified>
</cp:coreProperties>
</file>