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6B7B" w14:textId="77777777" w:rsidR="007D3CB3" w:rsidRDefault="007D3CB3" w:rsidP="00836682">
      <w:pPr>
        <w:suppressAutoHyphens/>
        <w:rPr>
          <w:b/>
        </w:rPr>
      </w:pPr>
    </w:p>
    <w:p w14:paraId="212924FA" w14:textId="77777777" w:rsidR="004D316A" w:rsidRPr="005E2569" w:rsidRDefault="004D316A" w:rsidP="00836682">
      <w:pPr>
        <w:suppressAutoHyphens/>
        <w:rPr>
          <w:b/>
        </w:rPr>
      </w:pPr>
    </w:p>
    <w:p w14:paraId="427C55C0" w14:textId="77777777" w:rsidR="007D3CB3" w:rsidRPr="005E2569" w:rsidRDefault="007D3CB3" w:rsidP="00836682">
      <w:pPr>
        <w:suppressAutoHyphens/>
        <w:rPr>
          <w:b/>
        </w:rPr>
      </w:pPr>
    </w:p>
    <w:p w14:paraId="36F272CE" w14:textId="77777777" w:rsidR="007D3CB3" w:rsidRPr="005E2569" w:rsidRDefault="007D3CB3" w:rsidP="00836682">
      <w:pPr>
        <w:suppressAutoHyphens/>
        <w:rPr>
          <w:b/>
        </w:rPr>
      </w:pPr>
    </w:p>
    <w:p w14:paraId="0E2B0A54" w14:textId="77777777" w:rsidR="007D3CB3" w:rsidRPr="005E2569" w:rsidRDefault="007D3CB3" w:rsidP="00836682">
      <w:pPr>
        <w:suppressAutoHyphens/>
        <w:rPr>
          <w:b/>
        </w:rPr>
      </w:pPr>
    </w:p>
    <w:p w14:paraId="2437E28D" w14:textId="77777777" w:rsidR="007D3CB3" w:rsidRPr="005E2569" w:rsidRDefault="007D3CB3" w:rsidP="00836682">
      <w:pPr>
        <w:suppressAutoHyphens/>
        <w:rPr>
          <w:b/>
        </w:rPr>
      </w:pPr>
    </w:p>
    <w:p w14:paraId="0EFB113E" w14:textId="77777777" w:rsidR="007D3CB3" w:rsidRPr="005E2569" w:rsidRDefault="007D3CB3" w:rsidP="00836682">
      <w:pPr>
        <w:suppressAutoHyphens/>
        <w:rPr>
          <w:b/>
        </w:rPr>
      </w:pPr>
    </w:p>
    <w:p w14:paraId="50D13F14" w14:textId="77777777" w:rsidR="007D3CB3" w:rsidRPr="005E2569" w:rsidRDefault="007D3CB3" w:rsidP="00836682">
      <w:pPr>
        <w:suppressAutoHyphens/>
        <w:rPr>
          <w:b/>
        </w:rPr>
      </w:pPr>
    </w:p>
    <w:p w14:paraId="066DCE04" w14:textId="77777777" w:rsidR="007D3CB3" w:rsidRPr="005E2569" w:rsidRDefault="007D3CB3" w:rsidP="00836682">
      <w:pPr>
        <w:suppressAutoHyphens/>
        <w:rPr>
          <w:b/>
        </w:rPr>
      </w:pPr>
    </w:p>
    <w:p w14:paraId="3D852A92" w14:textId="77777777" w:rsidR="007D3CB3" w:rsidRPr="005E2569" w:rsidRDefault="007D3CB3" w:rsidP="00836682">
      <w:pPr>
        <w:suppressAutoHyphens/>
        <w:rPr>
          <w:b/>
        </w:rPr>
      </w:pPr>
    </w:p>
    <w:p w14:paraId="38BF08F1" w14:textId="77777777" w:rsidR="007D3CB3" w:rsidRPr="005E2569" w:rsidRDefault="007D3CB3" w:rsidP="00836682">
      <w:pPr>
        <w:suppressAutoHyphens/>
        <w:rPr>
          <w:b/>
        </w:rPr>
      </w:pPr>
    </w:p>
    <w:p w14:paraId="13C6E097" w14:textId="77777777" w:rsidR="002E01AF" w:rsidRPr="005E2569" w:rsidRDefault="002E01AF" w:rsidP="00836682">
      <w:pPr>
        <w:suppressAutoHyphens/>
      </w:pPr>
    </w:p>
    <w:p w14:paraId="4FA2CEEE" w14:textId="77777777" w:rsidR="002E01AF" w:rsidRPr="005E2569" w:rsidRDefault="002E01AF" w:rsidP="00836682">
      <w:pPr>
        <w:suppressAutoHyphens/>
      </w:pPr>
    </w:p>
    <w:p w14:paraId="33E964A4" w14:textId="77777777" w:rsidR="002E01AF" w:rsidRDefault="002E01AF" w:rsidP="00836682">
      <w:pPr>
        <w:suppressAutoHyphens/>
      </w:pPr>
    </w:p>
    <w:p w14:paraId="1BC6BBCD" w14:textId="77777777" w:rsidR="00836682" w:rsidRDefault="00836682" w:rsidP="00836682">
      <w:pPr>
        <w:suppressAutoHyphens/>
      </w:pPr>
    </w:p>
    <w:p w14:paraId="321F613E" w14:textId="77777777" w:rsidR="00836682" w:rsidRPr="005E2569" w:rsidRDefault="00836682" w:rsidP="00836682">
      <w:pPr>
        <w:suppressAutoHyphens/>
      </w:pPr>
    </w:p>
    <w:p w14:paraId="78E26315" w14:textId="77777777" w:rsidR="002E01AF" w:rsidRPr="005E2569" w:rsidRDefault="002E01AF" w:rsidP="00836682">
      <w:pPr>
        <w:suppressAutoHyphens/>
      </w:pPr>
    </w:p>
    <w:p w14:paraId="20001B7C" w14:textId="77777777" w:rsidR="002E01AF" w:rsidRPr="005E2569" w:rsidRDefault="002E01AF" w:rsidP="00836682">
      <w:pPr>
        <w:suppressAutoHyphens/>
      </w:pPr>
    </w:p>
    <w:p w14:paraId="3F2B2B74" w14:textId="77777777" w:rsidR="002E01AF" w:rsidRPr="005E2569" w:rsidRDefault="002E01AF" w:rsidP="00836682">
      <w:pPr>
        <w:suppressAutoHyphens/>
      </w:pPr>
    </w:p>
    <w:p w14:paraId="762EDEF3" w14:textId="77777777" w:rsidR="002E01AF" w:rsidRPr="005E2569" w:rsidRDefault="002E01AF" w:rsidP="00836682">
      <w:pPr>
        <w:suppressAutoHyphens/>
      </w:pPr>
    </w:p>
    <w:p w14:paraId="7F2BF9FF" w14:textId="77777777" w:rsidR="002E01AF" w:rsidRPr="005E2569" w:rsidRDefault="002E01AF" w:rsidP="00836682">
      <w:pPr>
        <w:suppressAutoHyphens/>
      </w:pPr>
    </w:p>
    <w:p w14:paraId="5522B73A" w14:textId="77777777" w:rsidR="002E01AF" w:rsidRPr="005E2569" w:rsidRDefault="002E01AF" w:rsidP="00836682">
      <w:pPr>
        <w:suppressAutoHyphens/>
      </w:pPr>
    </w:p>
    <w:p w14:paraId="2FDC1532" w14:textId="77777777" w:rsidR="002E01AF" w:rsidRPr="005E2569" w:rsidRDefault="002E01AF" w:rsidP="00836682">
      <w:pPr>
        <w:suppressAutoHyphens/>
      </w:pPr>
    </w:p>
    <w:p w14:paraId="2925F2F0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jc w:val="center"/>
        <w:outlineLvl w:val="0"/>
        <w:rPr>
          <w:rFonts w:eastAsia="PMingLiU"/>
          <w:b/>
          <w:szCs w:val="24"/>
        </w:rPr>
      </w:pPr>
      <w:r w:rsidRPr="002E01AF">
        <w:rPr>
          <w:rFonts w:eastAsia="PMingLiU"/>
          <w:b/>
          <w:szCs w:val="24"/>
        </w:rPr>
        <w:t>B. PŘÍBALOVÁ INFORMACE</w:t>
      </w:r>
    </w:p>
    <w:p w14:paraId="2FE59783" w14:textId="77777777" w:rsidR="002E01AF" w:rsidRPr="002E01AF" w:rsidRDefault="002E01AF" w:rsidP="00836682">
      <w:pPr>
        <w:suppressAutoHyphens/>
        <w:ind w:left="0" w:firstLine="0"/>
        <w:jc w:val="center"/>
        <w:rPr>
          <w:rFonts w:eastAsia="PMingLiU"/>
          <w:b/>
          <w:szCs w:val="24"/>
        </w:rPr>
      </w:pPr>
      <w:r w:rsidRPr="002E01AF">
        <w:rPr>
          <w:rFonts w:eastAsia="PMingLiU"/>
        </w:rPr>
        <w:br w:type="page"/>
      </w:r>
      <w:r w:rsidRPr="002E01AF">
        <w:rPr>
          <w:rFonts w:eastAsia="PMingLiU"/>
          <w:b/>
          <w:szCs w:val="24"/>
        </w:rPr>
        <w:lastRenderedPageBreak/>
        <w:t>PŘÍBALOVÁ INFORMACE:</w:t>
      </w:r>
    </w:p>
    <w:p w14:paraId="15F24A85" w14:textId="77777777" w:rsidR="002E01AF" w:rsidRPr="00836682" w:rsidRDefault="002E01AF" w:rsidP="00836682">
      <w:pPr>
        <w:tabs>
          <w:tab w:val="left" w:pos="567"/>
        </w:tabs>
        <w:suppressAutoHyphens/>
        <w:jc w:val="center"/>
        <w:rPr>
          <w:rFonts w:eastAsia="PMingLiU"/>
          <w:b/>
          <w:bCs/>
        </w:rPr>
      </w:pPr>
      <w:proofErr w:type="spellStart"/>
      <w:r w:rsidRPr="00836682">
        <w:rPr>
          <w:rFonts w:eastAsia="PMingLiU"/>
          <w:b/>
          <w:bCs/>
        </w:rPr>
        <w:t>Ingelvac</w:t>
      </w:r>
      <w:proofErr w:type="spellEnd"/>
      <w:r w:rsidRPr="00836682">
        <w:rPr>
          <w:rFonts w:eastAsia="PMingLiU"/>
          <w:b/>
          <w:bCs/>
        </w:rPr>
        <w:t xml:space="preserve"> PRRSFLEX EU </w:t>
      </w:r>
      <w:proofErr w:type="spellStart"/>
      <w:r w:rsidRPr="00836682">
        <w:rPr>
          <w:rFonts w:eastAsia="PMingLiU"/>
          <w:b/>
          <w:bCs/>
        </w:rPr>
        <w:t>lyofilizát</w:t>
      </w:r>
      <w:proofErr w:type="spellEnd"/>
      <w:r w:rsidRPr="00836682">
        <w:rPr>
          <w:rFonts w:eastAsia="PMingLiU"/>
          <w:b/>
          <w:bCs/>
        </w:rPr>
        <w:t xml:space="preserve"> a rozpouštědlo pro injekční suspenzi pro prasata</w:t>
      </w:r>
    </w:p>
    <w:p w14:paraId="0B218033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1F3FDAA1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1.</w:t>
      </w:r>
      <w:r w:rsidRPr="002E01AF">
        <w:rPr>
          <w:rFonts w:eastAsia="PMingLiU"/>
          <w:b/>
          <w:szCs w:val="24"/>
        </w:rPr>
        <w:tab/>
        <w:t>JMÉNO A ADRESA DRŽITELE ROZHODNUTÍ O REGISTRACI A DRŽITELE POVOLENÍ K VÝROBĚ ODPOVĚDNÉHO ZA UVOLNĚNÍ ŠARŽE, POKUD SE NESHODUJE</w:t>
      </w:r>
    </w:p>
    <w:p w14:paraId="6FB30B82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2CD5CD5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iCs/>
        </w:rPr>
      </w:pPr>
      <w:r w:rsidRPr="002E01AF">
        <w:rPr>
          <w:rFonts w:eastAsia="PMingLiU"/>
          <w:iCs/>
          <w:u w:val="single"/>
        </w:rPr>
        <w:t>Držitel rozhodnutí o registraci a výrobce odpovědný za uvolnění šarže:</w:t>
      </w:r>
    </w:p>
    <w:p w14:paraId="5B6F32B7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proofErr w:type="spellStart"/>
      <w:r w:rsidRPr="002E01AF">
        <w:rPr>
          <w:rFonts w:eastAsia="PMingLiU"/>
          <w:szCs w:val="24"/>
        </w:rPr>
        <w:t>Boehringer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Ingelheim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Vetmedica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GmbH</w:t>
      </w:r>
      <w:proofErr w:type="spellEnd"/>
    </w:p>
    <w:p w14:paraId="53F9806E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 xml:space="preserve">55216 </w:t>
      </w:r>
      <w:proofErr w:type="spellStart"/>
      <w:r w:rsidRPr="002E01AF">
        <w:rPr>
          <w:rFonts w:eastAsia="PMingLiU"/>
          <w:szCs w:val="24"/>
        </w:rPr>
        <w:t>Ingelheim</w:t>
      </w:r>
      <w:proofErr w:type="spellEnd"/>
      <w:r w:rsidRPr="002E01AF">
        <w:rPr>
          <w:rFonts w:eastAsia="PMingLiU"/>
          <w:szCs w:val="24"/>
        </w:rPr>
        <w:t>/</w:t>
      </w:r>
      <w:proofErr w:type="spellStart"/>
      <w:r w:rsidRPr="002E01AF">
        <w:rPr>
          <w:rFonts w:eastAsia="PMingLiU"/>
          <w:szCs w:val="24"/>
        </w:rPr>
        <w:t>Rhein</w:t>
      </w:r>
      <w:proofErr w:type="spellEnd"/>
    </w:p>
    <w:p w14:paraId="25C0CFA8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Německo</w:t>
      </w:r>
    </w:p>
    <w:p w14:paraId="70EB35BF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  <w:szCs w:val="24"/>
        </w:rPr>
      </w:pPr>
    </w:p>
    <w:p w14:paraId="0A79D8CD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7F7EE00C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2.</w:t>
      </w:r>
      <w:r w:rsidRPr="002E01AF">
        <w:rPr>
          <w:rFonts w:eastAsia="PMingLiU"/>
          <w:b/>
          <w:szCs w:val="24"/>
        </w:rPr>
        <w:tab/>
        <w:t>NÁZEV VETERINÁRNÍHO LÉČIVÉHO PŘÍPRAVKU</w:t>
      </w:r>
    </w:p>
    <w:p w14:paraId="416639AD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09BF6B81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proofErr w:type="spellStart"/>
      <w:r w:rsidRPr="002E01AF">
        <w:rPr>
          <w:rFonts w:eastAsia="PMingLiU"/>
        </w:rPr>
        <w:t>Ingelvac</w:t>
      </w:r>
      <w:proofErr w:type="spellEnd"/>
      <w:r w:rsidRPr="002E01AF">
        <w:rPr>
          <w:rFonts w:eastAsia="PMingLiU"/>
        </w:rPr>
        <w:t xml:space="preserve"> PRRSFLEX EU </w:t>
      </w:r>
      <w:proofErr w:type="spellStart"/>
      <w:r w:rsidRPr="002E01AF">
        <w:rPr>
          <w:rFonts w:eastAsia="PMingLiU"/>
        </w:rPr>
        <w:t>lyofilizát</w:t>
      </w:r>
      <w:proofErr w:type="spellEnd"/>
      <w:r w:rsidRPr="002E01AF">
        <w:rPr>
          <w:rFonts w:eastAsia="PMingLiU"/>
        </w:rPr>
        <w:t xml:space="preserve"> a rozpouštědlo pro injekční suspenzi pro prasata</w:t>
      </w:r>
    </w:p>
    <w:p w14:paraId="0F8BFC8C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086441AF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09387A3E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3.</w:t>
      </w:r>
      <w:r w:rsidRPr="002E01AF">
        <w:rPr>
          <w:rFonts w:eastAsia="PMingLiU"/>
          <w:b/>
          <w:szCs w:val="24"/>
        </w:rPr>
        <w:tab/>
        <w:t>OBSAH LÉČIVÝCH A OSTATNÍCH LÁTEK</w:t>
      </w:r>
    </w:p>
    <w:p w14:paraId="56B661AE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2DCE4327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Každá dávka (1 ml) obsahuje:</w:t>
      </w:r>
    </w:p>
    <w:p w14:paraId="5CF2FB12" w14:textId="77777777" w:rsidR="002E01AF" w:rsidRDefault="002E01AF" w:rsidP="00836682">
      <w:pPr>
        <w:suppressAutoHyphens/>
        <w:ind w:left="0" w:firstLine="0"/>
        <w:rPr>
          <w:rFonts w:eastAsia="PMingLiU"/>
          <w:position w:val="-4"/>
          <w:szCs w:val="22"/>
          <w:vertAlign w:val="superscript"/>
        </w:rPr>
      </w:pPr>
      <w:r w:rsidRPr="002E01AF">
        <w:rPr>
          <w:rFonts w:eastAsia="PMingLiU"/>
        </w:rPr>
        <w:t xml:space="preserve">Živý </w:t>
      </w:r>
      <w:proofErr w:type="spellStart"/>
      <w:r w:rsidRPr="002E01AF">
        <w:rPr>
          <w:rFonts w:eastAsia="PMingLiU"/>
        </w:rPr>
        <w:t>atenuovaný</w:t>
      </w:r>
      <w:proofErr w:type="spellEnd"/>
      <w:r w:rsidRPr="002E01AF">
        <w:rPr>
          <w:rFonts w:eastAsia="PMingLiU"/>
        </w:rPr>
        <w:t xml:space="preserve"> virus reprodukčního a respiratorního syndromu prasat (PRRSV), kmen 94881 (genotyp 1): 10</w:t>
      </w:r>
      <w:r w:rsidRPr="002E01AF">
        <w:rPr>
          <w:rFonts w:eastAsia="PMingLiU"/>
          <w:position w:val="4"/>
          <w:szCs w:val="22"/>
          <w:vertAlign w:val="superscript"/>
        </w:rPr>
        <w:t>4,</w:t>
      </w:r>
      <w:proofErr w:type="gramStart"/>
      <w:r w:rsidRPr="002E01AF">
        <w:rPr>
          <w:rFonts w:eastAsia="PMingLiU"/>
          <w:position w:val="4"/>
          <w:szCs w:val="22"/>
          <w:vertAlign w:val="superscript"/>
        </w:rPr>
        <w:t xml:space="preserve">4 </w:t>
      </w:r>
      <w:r w:rsidRPr="002E01AF">
        <w:rPr>
          <w:rFonts w:eastAsia="PMingLiU"/>
          <w:szCs w:val="22"/>
        </w:rPr>
        <w:t xml:space="preserve"> -</w:t>
      </w:r>
      <w:proofErr w:type="gramEnd"/>
      <w:r w:rsidRPr="002E01AF">
        <w:rPr>
          <w:rFonts w:eastAsia="PMingLiU"/>
          <w:szCs w:val="22"/>
        </w:rPr>
        <w:t xml:space="preserve"> 10</w:t>
      </w:r>
      <w:r w:rsidRPr="002E01AF">
        <w:rPr>
          <w:rFonts w:eastAsia="PMingLiU"/>
          <w:position w:val="4"/>
          <w:szCs w:val="22"/>
          <w:vertAlign w:val="superscript"/>
        </w:rPr>
        <w:t xml:space="preserve">6,6 </w:t>
      </w:r>
      <w:r w:rsidRPr="002E01AF">
        <w:rPr>
          <w:rFonts w:eastAsia="PMingLiU"/>
          <w:szCs w:val="22"/>
        </w:rPr>
        <w:t>TCID</w:t>
      </w:r>
      <w:r w:rsidRPr="002E01AF">
        <w:rPr>
          <w:rFonts w:eastAsia="PMingLiU"/>
          <w:position w:val="-4"/>
          <w:szCs w:val="22"/>
          <w:vertAlign w:val="subscript"/>
        </w:rPr>
        <w:t>50</w:t>
      </w:r>
      <w:r w:rsidRPr="002E01AF">
        <w:rPr>
          <w:rFonts w:eastAsia="PMingLiU"/>
          <w:position w:val="-4"/>
          <w:szCs w:val="22"/>
          <w:vertAlign w:val="superscript"/>
        </w:rPr>
        <w:t>*</w:t>
      </w:r>
    </w:p>
    <w:p w14:paraId="7096BB73" w14:textId="77777777" w:rsidR="006527AC" w:rsidRPr="002E01AF" w:rsidRDefault="006527AC" w:rsidP="00836682">
      <w:pPr>
        <w:suppressAutoHyphens/>
        <w:ind w:left="0" w:firstLine="0"/>
        <w:rPr>
          <w:rFonts w:eastAsia="PMingLiU"/>
        </w:rPr>
      </w:pPr>
    </w:p>
    <w:p w14:paraId="61A229C7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*</w:t>
      </w:r>
      <w:proofErr w:type="gramStart"/>
      <w:r w:rsidRPr="002E01AF">
        <w:rPr>
          <w:rFonts w:eastAsia="PMingLiU"/>
        </w:rPr>
        <w:t>50%</w:t>
      </w:r>
      <w:proofErr w:type="gramEnd"/>
      <w:r w:rsidRPr="002E01AF">
        <w:rPr>
          <w:rFonts w:eastAsia="PMingLiU"/>
        </w:rPr>
        <w:t xml:space="preserve"> infekční dávka pro tkáňovou kulturu</w:t>
      </w:r>
    </w:p>
    <w:p w14:paraId="2529B300" w14:textId="77777777" w:rsidR="002E01AF" w:rsidRPr="002E01AF" w:rsidRDefault="002E01AF" w:rsidP="00836682">
      <w:pPr>
        <w:suppressAutoHyphens/>
        <w:ind w:left="0" w:firstLine="0"/>
        <w:rPr>
          <w:rFonts w:eastAsia="PMingLiU"/>
          <w:szCs w:val="22"/>
        </w:rPr>
      </w:pPr>
    </w:p>
    <w:p w14:paraId="4BC4DC91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proofErr w:type="spellStart"/>
      <w:r w:rsidRPr="002E01AF">
        <w:rPr>
          <w:rFonts w:eastAsia="PMingLiU"/>
        </w:rPr>
        <w:t>Lyofilizát</w:t>
      </w:r>
      <w:proofErr w:type="spellEnd"/>
      <w:r w:rsidRPr="002E01AF">
        <w:rPr>
          <w:rFonts w:eastAsia="PMingLiU"/>
        </w:rPr>
        <w:t>: špinavě bílý až mléčně šedý</w:t>
      </w:r>
    </w:p>
    <w:p w14:paraId="5A4E9126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Rozpouštědlo: čirý, bezbarvý roztok</w:t>
      </w:r>
    </w:p>
    <w:p w14:paraId="13233CEB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</w:p>
    <w:p w14:paraId="49E4BC3E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</w:p>
    <w:p w14:paraId="67166B31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4.</w:t>
      </w:r>
      <w:r w:rsidRPr="002E01AF">
        <w:rPr>
          <w:rFonts w:eastAsia="PMingLiU"/>
          <w:b/>
          <w:szCs w:val="24"/>
        </w:rPr>
        <w:tab/>
        <w:t>INDIKACE</w:t>
      </w:r>
    </w:p>
    <w:p w14:paraId="621B1A61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4CFE470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K aktivní imunizaci klinicky zdravých prasat od 17 dnů věku až do konce výkrmu a starších z farem, na kterých se vyskytuje evropský subtyp viru reprodukčního a respiratorního syndromu prasat (PRRSV, genotyp 1), za účelem snížení virové zátěže v krvi u </w:t>
      </w:r>
      <w:proofErr w:type="spellStart"/>
      <w:r w:rsidRPr="002E01AF">
        <w:rPr>
          <w:rFonts w:eastAsia="PMingLiU"/>
        </w:rPr>
        <w:t>séropozitivních</w:t>
      </w:r>
      <w:proofErr w:type="spellEnd"/>
      <w:r w:rsidRPr="002E01AF">
        <w:rPr>
          <w:rFonts w:eastAsia="PMingLiU"/>
        </w:rPr>
        <w:t xml:space="preserve"> zvířat v terénních podmínkách.</w:t>
      </w:r>
    </w:p>
    <w:p w14:paraId="767B776C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</w:p>
    <w:p w14:paraId="79A16929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 xml:space="preserve">V experimentálních podmínkách, v nichž byla hodnocena pouze </w:t>
      </w:r>
      <w:proofErr w:type="spellStart"/>
      <w:r w:rsidRPr="002E01AF">
        <w:rPr>
          <w:rFonts w:eastAsia="PMingLiU"/>
        </w:rPr>
        <w:t>séronegativní</w:t>
      </w:r>
      <w:proofErr w:type="spellEnd"/>
      <w:r w:rsidRPr="002E01AF">
        <w:rPr>
          <w:rFonts w:eastAsia="PMingLiU"/>
        </w:rPr>
        <w:t xml:space="preserve"> zvířata, bylo prokázáno, že vakcinace redukuje plicní léze, virovou zátěž v krvi a plicních tkáních, jakož i negativní účinky infekce na denní hmotnostní přírůstek.</w:t>
      </w:r>
    </w:p>
    <w:p w14:paraId="404C3EB5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Kromě toho by mohlo být při nástupu imunity prokázáno významné snížení respiračních klinických příznaků.</w:t>
      </w:r>
    </w:p>
    <w:p w14:paraId="480E867C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</w:rPr>
      </w:pPr>
    </w:p>
    <w:p w14:paraId="704A2FFD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Nástup imunity:</w:t>
      </w:r>
      <w:r w:rsidRPr="002E01AF">
        <w:rPr>
          <w:rFonts w:eastAsia="PMingLiU"/>
        </w:rPr>
        <w:tab/>
      </w:r>
      <w:r w:rsidRPr="002E01AF">
        <w:rPr>
          <w:rFonts w:eastAsia="PMingLiU"/>
        </w:rPr>
        <w:tab/>
        <w:t>3 týdny</w:t>
      </w:r>
    </w:p>
    <w:p w14:paraId="69200128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Doba trvání imunity:</w:t>
      </w:r>
      <w:r w:rsidRPr="002E01AF">
        <w:rPr>
          <w:rFonts w:eastAsia="PMingLiU"/>
        </w:rPr>
        <w:tab/>
        <w:t>26 týdnů</w:t>
      </w:r>
    </w:p>
    <w:p w14:paraId="0BD94C4D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2A50E79D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7CD22A01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5.</w:t>
      </w:r>
      <w:r w:rsidRPr="002E01AF">
        <w:rPr>
          <w:rFonts w:eastAsia="PMingLiU"/>
          <w:b/>
          <w:szCs w:val="24"/>
        </w:rPr>
        <w:tab/>
        <w:t xml:space="preserve">KONTRAINDIKACE </w:t>
      </w:r>
    </w:p>
    <w:p w14:paraId="25A25C81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60C38951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Nepoužívat v případ</w:t>
      </w:r>
      <w:r w:rsidR="00BD6830">
        <w:rPr>
          <w:rFonts w:eastAsia="PMingLiU"/>
        </w:rPr>
        <w:t>ech</w:t>
      </w:r>
      <w:r w:rsidRPr="002E01AF">
        <w:rPr>
          <w:rFonts w:eastAsia="PMingLiU"/>
        </w:rPr>
        <w:t xml:space="preserve"> </w:t>
      </w:r>
      <w:r w:rsidR="00BD6830">
        <w:rPr>
          <w:rFonts w:eastAsia="PMingLiU"/>
        </w:rPr>
        <w:t xml:space="preserve">známé </w:t>
      </w:r>
      <w:r w:rsidRPr="002E01AF">
        <w:rPr>
          <w:rFonts w:eastAsia="PMingLiU"/>
        </w:rPr>
        <w:t>přecitlivělosti na léčivou látku nebo na některou z pomocných látek.</w:t>
      </w:r>
    </w:p>
    <w:p w14:paraId="4877DB11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Nepoužívat u chovných zvířat.</w:t>
      </w:r>
    </w:p>
    <w:p w14:paraId="391BF192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Nepoužívat ve stádech, ve kterých se nikdy PRRS neobjevil a ve kterých nebyla přítomnost PRRSV prokázána za použití spolehlivých diagnostických metod.</w:t>
      </w:r>
    </w:p>
    <w:p w14:paraId="000F3214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6200DA0B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55B9BB5A" w14:textId="77777777" w:rsidR="002E01AF" w:rsidRPr="002E01AF" w:rsidRDefault="002E01AF" w:rsidP="00836682">
      <w:pPr>
        <w:keepNext/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6.</w:t>
      </w:r>
      <w:r w:rsidRPr="002E01AF">
        <w:rPr>
          <w:rFonts w:eastAsia="PMingLiU"/>
          <w:b/>
          <w:szCs w:val="24"/>
        </w:rPr>
        <w:tab/>
        <w:t>NEŽÁDOUCÍ ÚČINKY</w:t>
      </w:r>
    </w:p>
    <w:p w14:paraId="51554DA0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</w:p>
    <w:p w14:paraId="508FDC79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lastRenderedPageBreak/>
        <w:t>Po vakcinaci lze velmi často pozorovat přechodné mírné zvýšení tělesné teploty (do 1,5 °C). Teploty se vrací do normálu bez další léčby během 1 až 3 dnů po zaznamenání maximálního teplotního nárůstu.</w:t>
      </w:r>
    </w:p>
    <w:p w14:paraId="3A09F6A2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 xml:space="preserve">Reakce v místě aplikace jsou neobvyklé. </w:t>
      </w:r>
      <w:r w:rsidRPr="002E01AF">
        <w:rPr>
          <w:rFonts w:eastAsia="PMingLiU"/>
          <w:szCs w:val="22"/>
        </w:rPr>
        <w:t>L</w:t>
      </w:r>
      <w:r w:rsidRPr="002E01AF">
        <w:rPr>
          <w:rFonts w:eastAsia="PMingLiU"/>
        </w:rPr>
        <w:t>ze pozorovat přechodný mírný otok nebo zarudnutí kůže. Tyto příznaky vymizí spontánně bez další léčby.</w:t>
      </w:r>
    </w:p>
    <w:p w14:paraId="2B47752D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</w:p>
    <w:p w14:paraId="6F670E65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Četnost nežádoucích účinků je charakterizována podle následujících pravidel:</w:t>
      </w:r>
    </w:p>
    <w:p w14:paraId="5FA02ABB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- velmi časté (nežádoucí účin</w:t>
      </w:r>
      <w:r w:rsidR="00BD6830">
        <w:rPr>
          <w:rFonts w:eastAsia="PMingLiU"/>
          <w:szCs w:val="22"/>
        </w:rPr>
        <w:t>e</w:t>
      </w:r>
      <w:r w:rsidRPr="002E01AF">
        <w:rPr>
          <w:rFonts w:eastAsia="PMingLiU"/>
          <w:szCs w:val="22"/>
        </w:rPr>
        <w:t>k</w:t>
      </w:r>
      <w:r w:rsidR="00BD6830">
        <w:rPr>
          <w:rFonts w:eastAsia="PMingLiU"/>
          <w:szCs w:val="22"/>
        </w:rPr>
        <w:t>(</w:t>
      </w:r>
      <w:proofErr w:type="spellStart"/>
      <w:r w:rsidR="00BD6830">
        <w:rPr>
          <w:rFonts w:eastAsia="PMingLiU"/>
          <w:szCs w:val="22"/>
        </w:rPr>
        <w:t>nk</w:t>
      </w:r>
      <w:r w:rsidRPr="002E01AF">
        <w:rPr>
          <w:rFonts w:eastAsia="PMingLiU"/>
          <w:szCs w:val="22"/>
        </w:rPr>
        <w:t>y</w:t>
      </w:r>
      <w:proofErr w:type="spellEnd"/>
      <w:r w:rsidR="00BD6830">
        <w:rPr>
          <w:rFonts w:eastAsia="PMingLiU"/>
          <w:szCs w:val="22"/>
        </w:rPr>
        <w:t>)</w:t>
      </w:r>
      <w:r w:rsidRPr="002E01AF">
        <w:rPr>
          <w:rFonts w:eastAsia="PMingLiU"/>
          <w:szCs w:val="22"/>
        </w:rPr>
        <w:t xml:space="preserve"> se projevil</w:t>
      </w:r>
      <w:r w:rsidR="00BD6830">
        <w:rPr>
          <w:rFonts w:eastAsia="PMingLiU"/>
          <w:szCs w:val="22"/>
        </w:rPr>
        <w:t>(</w:t>
      </w:r>
      <w:r w:rsidRPr="002E01AF">
        <w:rPr>
          <w:rFonts w:eastAsia="PMingLiU"/>
          <w:szCs w:val="22"/>
        </w:rPr>
        <w:t>y</w:t>
      </w:r>
      <w:r w:rsidR="00BD6830">
        <w:rPr>
          <w:rFonts w:eastAsia="PMingLiU"/>
          <w:szCs w:val="22"/>
        </w:rPr>
        <w:t>)</w:t>
      </w:r>
      <w:r w:rsidRPr="002E01AF">
        <w:rPr>
          <w:rFonts w:eastAsia="PMingLiU"/>
          <w:szCs w:val="22"/>
        </w:rPr>
        <w:t xml:space="preserve"> u více než 1 z 10 ošetřených zvířat)</w:t>
      </w:r>
    </w:p>
    <w:p w14:paraId="1E943375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- časté (u více než 1, ale méně než 10 ze 100 ošetřených zvířat)</w:t>
      </w:r>
    </w:p>
    <w:p w14:paraId="3686DC15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- neobvyklé (u více než 1, ale méně než 10 z 1000 ošetřených zvířat)</w:t>
      </w:r>
    </w:p>
    <w:p w14:paraId="6EB5DD87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- vzácné (u více než 1, ale méně než 10 z 10000 ošetřených zvířat)</w:t>
      </w:r>
    </w:p>
    <w:p w14:paraId="52008452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  <w:szCs w:val="22"/>
        </w:rPr>
        <w:t>- velmi vzácné (u méně než 1 z 10000 ošetřených zvířat, včetně ojedinělých hlášení).</w:t>
      </w:r>
    </w:p>
    <w:p w14:paraId="78E1166D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</w:p>
    <w:p w14:paraId="6E264F3A" w14:textId="77777777" w:rsid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14:paraId="4EBA592F" w14:textId="77777777" w:rsidR="009B5AF4" w:rsidRDefault="009B5AF4" w:rsidP="00AE4CA6">
      <w:pPr>
        <w:suppressAutoHyphens/>
        <w:ind w:left="0" w:firstLine="0"/>
        <w:jc w:val="both"/>
        <w:rPr>
          <w:rFonts w:eastAsia="PMingLiU"/>
        </w:rPr>
      </w:pPr>
    </w:p>
    <w:p w14:paraId="5DFC3651" w14:textId="77777777" w:rsidR="00EE2998" w:rsidRPr="00646526" w:rsidRDefault="001727C2" w:rsidP="00AE4CA6">
      <w:pPr>
        <w:ind w:left="0" w:firstLine="0"/>
        <w:jc w:val="both"/>
        <w:rPr>
          <w:szCs w:val="22"/>
        </w:rPr>
      </w:pPr>
      <w:r>
        <w:rPr>
          <w:szCs w:val="22"/>
        </w:rPr>
        <w:t>M</w:t>
      </w:r>
      <w:r w:rsidR="00EE2998" w:rsidRPr="00E07D72">
        <w:rPr>
          <w:szCs w:val="22"/>
        </w:rPr>
        <w:t xml:space="preserve">ůžete také hlásit prostřednictvím </w:t>
      </w:r>
      <w:r>
        <w:rPr>
          <w:szCs w:val="22"/>
        </w:rPr>
        <w:t>národního systému hlášení nežádoucích účinků</w:t>
      </w:r>
      <w:r w:rsidR="00EE2998" w:rsidRPr="00E07D72">
        <w:rPr>
          <w:szCs w:val="22"/>
        </w:rPr>
        <w:t>: http://www.uskvbl.cz/cs/farmakovigilance</w:t>
      </w:r>
      <w:r>
        <w:rPr>
          <w:szCs w:val="22"/>
        </w:rPr>
        <w:t>.</w:t>
      </w:r>
    </w:p>
    <w:p w14:paraId="2FBC9DE3" w14:textId="77777777" w:rsidR="00EE2998" w:rsidRPr="002E01AF" w:rsidRDefault="00EE2998" w:rsidP="00836682">
      <w:pPr>
        <w:suppressAutoHyphens/>
        <w:ind w:left="0" w:firstLine="0"/>
        <w:rPr>
          <w:rFonts w:eastAsia="PMingLiU"/>
        </w:rPr>
      </w:pPr>
    </w:p>
    <w:p w14:paraId="7201ECD9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EE82370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7.</w:t>
      </w:r>
      <w:r w:rsidRPr="002E01AF">
        <w:rPr>
          <w:rFonts w:eastAsia="PMingLiU"/>
          <w:b/>
          <w:szCs w:val="24"/>
        </w:rPr>
        <w:tab/>
        <w:t>CÍLOVÝ DRUH ZVÍŘAT</w:t>
      </w:r>
    </w:p>
    <w:p w14:paraId="3AA45B07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E44DF21" w14:textId="77777777" w:rsidR="002E01AF" w:rsidRPr="002E01AF" w:rsidRDefault="002E01AF" w:rsidP="00836682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 xml:space="preserve">Prasata </w:t>
      </w:r>
    </w:p>
    <w:p w14:paraId="4330C8AF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18FB74B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1778A4B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8.</w:t>
      </w:r>
      <w:r w:rsidRPr="002E01AF">
        <w:rPr>
          <w:rFonts w:eastAsia="PMingLiU"/>
          <w:b/>
          <w:szCs w:val="24"/>
        </w:rPr>
        <w:tab/>
        <w:t>DÁVKOVÁNÍ PRO KAŽDÝ DRUH, CESTA(Y) A ZPŮSOB PODÁNÍ</w:t>
      </w:r>
    </w:p>
    <w:p w14:paraId="2201351E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  <w:u w:val="single"/>
        </w:rPr>
      </w:pPr>
    </w:p>
    <w:p w14:paraId="235F7985" w14:textId="77777777" w:rsid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  <w:u w:val="single"/>
        </w:rPr>
      </w:pPr>
      <w:r w:rsidRPr="002E01AF">
        <w:rPr>
          <w:rFonts w:eastAsia="PMingLiU"/>
          <w:u w:val="single"/>
        </w:rPr>
        <w:t>Dávkování a způsob podání:</w:t>
      </w:r>
    </w:p>
    <w:p w14:paraId="20C5B0F2" w14:textId="77777777" w:rsidR="00EE2998" w:rsidRPr="009B5AF4" w:rsidRDefault="00EE2998" w:rsidP="00AE4CA6">
      <w:pPr>
        <w:tabs>
          <w:tab w:val="left" w:pos="567"/>
        </w:tabs>
        <w:suppressAutoHyphens/>
        <w:jc w:val="both"/>
        <w:rPr>
          <w:rFonts w:eastAsia="PMingLiU"/>
        </w:rPr>
      </w:pPr>
      <w:r w:rsidRPr="009B5AF4">
        <w:rPr>
          <w:rFonts w:eastAsia="PMingLiU"/>
        </w:rPr>
        <w:t>Intramuskulární podání.</w:t>
      </w:r>
    </w:p>
    <w:p w14:paraId="5B21EE48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  <w:r w:rsidRPr="002E01AF">
        <w:rPr>
          <w:rFonts w:eastAsia="PMingLiU" w:cs="Arial"/>
          <w:szCs w:val="22"/>
        </w:rPr>
        <w:t>Jedna intramuskulární injekce jedné dávky (1 ml) bez ohledu na tělesnou hmotnost.</w:t>
      </w:r>
    </w:p>
    <w:p w14:paraId="3FBF2D1A" w14:textId="77777777" w:rsidR="002E01AF" w:rsidRPr="002E01AF" w:rsidRDefault="002E01AF" w:rsidP="00AE4CA6">
      <w:pPr>
        <w:tabs>
          <w:tab w:val="left" w:pos="567"/>
        </w:tabs>
        <w:suppressAutoHyphens/>
        <w:ind w:left="0" w:firstLine="0"/>
        <w:jc w:val="both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 xml:space="preserve">Pro rekonstituci přeneste celý obsah injekční lahvičky s rozpouštědlem do injekční lahvičky obsahující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a rekonstituujte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následovně:</w:t>
      </w:r>
    </w:p>
    <w:p w14:paraId="24321C55" w14:textId="77777777" w:rsidR="002E01AF" w:rsidRPr="002E01AF" w:rsidRDefault="002E01AF" w:rsidP="00AE4CA6">
      <w:pPr>
        <w:tabs>
          <w:tab w:val="left" w:pos="567"/>
        </w:tabs>
        <w:suppressAutoHyphens/>
        <w:ind w:left="0" w:firstLine="0"/>
        <w:jc w:val="both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10 dávek v 10 ml, 50 dávek v 50 ml, 100 dávek ve100 ml a 250 dávek v 250 ml rozpouštědla.</w:t>
      </w:r>
    </w:p>
    <w:p w14:paraId="3175B336" w14:textId="77777777" w:rsidR="002E01AF" w:rsidRPr="002E01AF" w:rsidRDefault="002E01AF" w:rsidP="00AE4CA6">
      <w:pPr>
        <w:tabs>
          <w:tab w:val="left" w:pos="567"/>
        </w:tabs>
        <w:suppressAutoHyphens/>
        <w:ind w:left="0" w:firstLine="0"/>
        <w:jc w:val="both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 xml:space="preserve">Zajistěte, aby se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před podáním zcela rekonstituoval.</w:t>
      </w:r>
    </w:p>
    <w:p w14:paraId="0B68D94A" w14:textId="77777777" w:rsidR="002E01AF" w:rsidRPr="002E01AF" w:rsidRDefault="003A100E" w:rsidP="00AE4CA6">
      <w:pPr>
        <w:tabs>
          <w:tab w:val="left" w:pos="567"/>
        </w:tabs>
        <w:suppressAutoHyphens/>
        <w:jc w:val="both"/>
        <w:rPr>
          <w:rFonts w:eastAsia="PMingLiU"/>
        </w:rPr>
      </w:pPr>
      <w:r>
        <w:rPr>
          <w:rFonts w:cs="Arial"/>
          <w:szCs w:val="22"/>
        </w:rPr>
        <w:t>Vzhled po rekonstituci: čirá, bezbarvá suspenze.</w:t>
      </w:r>
    </w:p>
    <w:p w14:paraId="5064A7FA" w14:textId="77777777" w:rsid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08CEF39" w14:textId="77777777" w:rsidR="00836682" w:rsidRPr="002E01AF" w:rsidRDefault="00836682" w:rsidP="00836682">
      <w:pPr>
        <w:tabs>
          <w:tab w:val="left" w:pos="567"/>
        </w:tabs>
        <w:suppressAutoHyphens/>
        <w:rPr>
          <w:rFonts w:eastAsia="PMingLiU"/>
        </w:rPr>
      </w:pPr>
    </w:p>
    <w:p w14:paraId="79C22988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9.</w:t>
      </w:r>
      <w:r w:rsidRPr="002E01AF">
        <w:rPr>
          <w:rFonts w:eastAsia="PMingLiU"/>
          <w:b/>
          <w:szCs w:val="24"/>
        </w:rPr>
        <w:tab/>
        <w:t>POKYNY PRO SPRÁVNÉ PODÁNÍ</w:t>
      </w:r>
    </w:p>
    <w:p w14:paraId="28C03FB8" w14:textId="77777777" w:rsidR="002E01AF" w:rsidRPr="002E01AF" w:rsidRDefault="002E01AF" w:rsidP="00836682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</w:p>
    <w:p w14:paraId="72592C50" w14:textId="77777777" w:rsidR="002E01AF" w:rsidRPr="002E01AF" w:rsidRDefault="002E01AF" w:rsidP="00836682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Při používání zabraňte kontaminaci.</w:t>
      </w:r>
    </w:p>
    <w:p w14:paraId="6205FB49" w14:textId="77777777" w:rsidR="002E01AF" w:rsidRPr="002E01AF" w:rsidRDefault="002E01AF" w:rsidP="00836682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Používejte sterilní vybavení.</w:t>
      </w:r>
    </w:p>
    <w:p w14:paraId="1A861409" w14:textId="77777777" w:rsidR="002E01AF" w:rsidRDefault="002E01AF" w:rsidP="00836682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Vyhněte se opakovanému propichování, např. použitím automatických injektorů.</w:t>
      </w:r>
    </w:p>
    <w:p w14:paraId="24BB620E" w14:textId="77777777" w:rsidR="00B51A9C" w:rsidRDefault="00B51A9C" w:rsidP="00836682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</w:p>
    <w:p w14:paraId="43AD832F" w14:textId="77777777" w:rsidR="00B51A9C" w:rsidRPr="007E22BA" w:rsidRDefault="00B51A9C" w:rsidP="00B51A9C">
      <w:pPr>
        <w:ind w:left="0" w:firstLine="0"/>
        <w:rPr>
          <w:bCs/>
        </w:rPr>
      </w:pPr>
      <w:bookmarkStart w:id="0" w:name="_Hlk75776444"/>
      <w:r w:rsidRPr="007E22BA">
        <w:rPr>
          <w:bCs/>
        </w:rPr>
        <w:t xml:space="preserve">Při smíchání s 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>:</w:t>
      </w:r>
    </w:p>
    <w:p w14:paraId="728E8294" w14:textId="77777777" w:rsidR="00B51A9C" w:rsidRPr="007E22BA" w:rsidRDefault="00B51A9C" w:rsidP="00B51A9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>Vakcinovat pouze prasata starší 17 dní.</w:t>
      </w:r>
    </w:p>
    <w:p w14:paraId="6034662B" w14:textId="77777777" w:rsidR="00B51A9C" w:rsidRPr="007E22BA" w:rsidRDefault="00B51A9C" w:rsidP="00B51A9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 xml:space="preserve">Nesmí se podávat březím a </w:t>
      </w:r>
      <w:proofErr w:type="spellStart"/>
      <w:r w:rsidRPr="007E22BA">
        <w:rPr>
          <w:bCs/>
          <w:lang w:val="cs-CZ"/>
        </w:rPr>
        <w:t>laktujícím</w:t>
      </w:r>
      <w:proofErr w:type="spellEnd"/>
      <w:r w:rsidRPr="007E22BA">
        <w:rPr>
          <w:bCs/>
          <w:lang w:val="cs-CZ"/>
        </w:rPr>
        <w:t xml:space="preserve"> prasnicím.</w:t>
      </w:r>
    </w:p>
    <w:p w14:paraId="554069F2" w14:textId="77777777" w:rsidR="00B51A9C" w:rsidRPr="007E22BA" w:rsidRDefault="00B51A9C" w:rsidP="00B51A9C">
      <w:pPr>
        <w:ind w:left="0" w:firstLine="0"/>
        <w:rPr>
          <w:bCs/>
        </w:rPr>
      </w:pPr>
    </w:p>
    <w:p w14:paraId="232D3917" w14:textId="77777777" w:rsidR="00B51A9C" w:rsidRPr="007E22BA" w:rsidRDefault="00B51A9C" w:rsidP="00B51A9C">
      <w:pPr>
        <w:ind w:left="0" w:firstLine="0"/>
        <w:rPr>
          <w:bCs/>
        </w:rPr>
      </w:pPr>
      <w:r w:rsidRPr="007E22BA">
        <w:rPr>
          <w:bCs/>
        </w:rPr>
        <w:t xml:space="preserve">Při smíchání s 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>
        <w:rPr>
          <w:bCs/>
        </w:rPr>
        <w:t>Circo</w:t>
      </w:r>
      <w:r w:rsidRPr="007E22BA">
        <w:rPr>
          <w:bCs/>
        </w:rPr>
        <w:t>FLEX</w:t>
      </w:r>
      <w:proofErr w:type="spellEnd"/>
      <w:r w:rsidRPr="007E22BA">
        <w:rPr>
          <w:bCs/>
        </w:rPr>
        <w:t xml:space="preserve"> je nutno:</w:t>
      </w:r>
    </w:p>
    <w:p w14:paraId="18F3E879" w14:textId="77777777" w:rsidR="00B51A9C" w:rsidRPr="007E22BA" w:rsidRDefault="00B51A9C" w:rsidP="00B51A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 xml:space="preserve">Použít stejný objem vakcín </w:t>
      </w: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</w:t>
      </w:r>
      <w:proofErr w:type="spellStart"/>
      <w:r w:rsidRPr="007E22BA">
        <w:rPr>
          <w:bCs/>
          <w:lang w:val="cs-CZ"/>
        </w:rPr>
        <w:t>CircoFLEX</w:t>
      </w:r>
      <w:proofErr w:type="spellEnd"/>
      <w:r w:rsidRPr="007E22BA">
        <w:rPr>
          <w:bCs/>
          <w:lang w:val="cs-CZ"/>
        </w:rPr>
        <w:t xml:space="preserve"> a </w:t>
      </w: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PRRSFLEX EU.</w:t>
      </w:r>
    </w:p>
    <w:p w14:paraId="602A1783" w14:textId="77777777" w:rsidR="00B51A9C" w:rsidRPr="007E22BA" w:rsidRDefault="00B51A9C" w:rsidP="00B51A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</w:t>
      </w:r>
      <w:proofErr w:type="spellStart"/>
      <w:r w:rsidRPr="007E22BA">
        <w:rPr>
          <w:bCs/>
          <w:lang w:val="cs-CZ"/>
        </w:rPr>
        <w:t>CircoFLEX</w:t>
      </w:r>
      <w:proofErr w:type="spellEnd"/>
      <w:r w:rsidRPr="007E22BA">
        <w:rPr>
          <w:bCs/>
          <w:lang w:val="cs-CZ"/>
        </w:rPr>
        <w:t xml:space="preserve"> tak nahradí rozpouštědlo PRRSFLEX EU.</w:t>
      </w:r>
    </w:p>
    <w:p w14:paraId="49D4E736" w14:textId="77777777" w:rsidR="00B51A9C" w:rsidRPr="007E22BA" w:rsidRDefault="00B51A9C" w:rsidP="00B51A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>Použít sterilní transportní jehlu k přemístění obsahu. Sterilní transportní jehly (certifikované CE) jsou k dostání u dodavatelů zdravotnických pomůcek.</w:t>
      </w:r>
    </w:p>
    <w:p w14:paraId="07B6EEAB" w14:textId="77777777" w:rsidR="00B51A9C" w:rsidRPr="007E22BA" w:rsidRDefault="00B51A9C" w:rsidP="00B51A9C">
      <w:pPr>
        <w:ind w:left="0" w:firstLine="0"/>
        <w:rPr>
          <w:bCs/>
        </w:rPr>
      </w:pPr>
    </w:p>
    <w:p w14:paraId="0FEEC6C1" w14:textId="77777777" w:rsidR="00B51A9C" w:rsidRPr="007E22BA" w:rsidRDefault="00B51A9C" w:rsidP="00B51A9C">
      <w:pPr>
        <w:ind w:left="0" w:firstLine="0"/>
        <w:rPr>
          <w:bCs/>
        </w:rPr>
      </w:pPr>
      <w:r w:rsidRPr="007E22BA">
        <w:rPr>
          <w:bCs/>
        </w:rPr>
        <w:t>Pro zajištění správného smíchání je nutno postupovat podle následujících pokynů:</w:t>
      </w:r>
    </w:p>
    <w:p w14:paraId="564B892B" w14:textId="77777777" w:rsidR="00B51A9C" w:rsidRPr="007E22BA" w:rsidRDefault="00B51A9C" w:rsidP="00B51A9C">
      <w:pPr>
        <w:rPr>
          <w:bCs/>
        </w:rPr>
      </w:pPr>
      <w:r w:rsidRPr="007E22BA">
        <w:rPr>
          <w:bCs/>
        </w:rPr>
        <w:t>1.</w:t>
      </w:r>
      <w:r w:rsidRPr="007E22BA">
        <w:rPr>
          <w:bCs/>
        </w:rPr>
        <w:tab/>
        <w:t xml:space="preserve">Připojit jeden konec transportní jehly k láhvi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>.</w:t>
      </w:r>
    </w:p>
    <w:p w14:paraId="2ADA1329" w14:textId="77777777" w:rsidR="00B51A9C" w:rsidRPr="007E22BA" w:rsidRDefault="00B51A9C" w:rsidP="00B51A9C">
      <w:pPr>
        <w:rPr>
          <w:bCs/>
        </w:rPr>
      </w:pPr>
      <w:r w:rsidRPr="007E22BA">
        <w:rPr>
          <w:bCs/>
        </w:rPr>
        <w:t>2.</w:t>
      </w:r>
      <w:r w:rsidRPr="007E22BA">
        <w:rPr>
          <w:bCs/>
        </w:rPr>
        <w:tab/>
        <w:t xml:space="preserve">Připojit opačný konec transportní jehly k láhvi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PRRSFLEX EU.</w:t>
      </w:r>
    </w:p>
    <w:p w14:paraId="0B1DCBE3" w14:textId="77777777" w:rsidR="00B51A9C" w:rsidRPr="00601D53" w:rsidRDefault="00B51A9C" w:rsidP="00B51A9C">
      <w:pPr>
        <w:rPr>
          <w:bCs/>
        </w:rPr>
      </w:pPr>
      <w:r w:rsidRPr="007E22BA">
        <w:rPr>
          <w:bCs/>
        </w:rPr>
        <w:lastRenderedPageBreak/>
        <w:t>3.</w:t>
      </w:r>
      <w:r w:rsidRPr="007E22BA">
        <w:rPr>
          <w:bCs/>
        </w:rPr>
        <w:tab/>
        <w:t xml:space="preserve">Přemístit vakcínu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 xml:space="preserve"> do láhve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PRRS</w:t>
      </w:r>
      <w:r w:rsidRPr="00171B2C">
        <w:rPr>
          <w:bCs/>
        </w:rPr>
        <w:t>FLEX</w:t>
      </w:r>
      <w:r w:rsidRPr="00FA7E15">
        <w:rPr>
          <w:bCs/>
        </w:rPr>
        <w:t xml:space="preserve"> EU</w:t>
      </w:r>
      <w:r w:rsidRPr="0046465F">
        <w:rPr>
          <w:bCs/>
        </w:rPr>
        <w:t xml:space="preserve">. V případě potřeby jemně stlačit láhev s vakcínou </w:t>
      </w:r>
      <w:proofErr w:type="spellStart"/>
      <w:r w:rsidRPr="0046465F">
        <w:rPr>
          <w:bCs/>
        </w:rPr>
        <w:t>Ingelvac</w:t>
      </w:r>
      <w:proofErr w:type="spellEnd"/>
      <w:r w:rsidRPr="0046465F">
        <w:rPr>
          <w:bCs/>
        </w:rPr>
        <w:t xml:space="preserve"> </w:t>
      </w:r>
      <w:proofErr w:type="spellStart"/>
      <w:r w:rsidRPr="0046465F">
        <w:rPr>
          <w:bCs/>
        </w:rPr>
        <w:t>CircoFLEX</w:t>
      </w:r>
      <w:proofErr w:type="spellEnd"/>
      <w:r w:rsidRPr="0046465F">
        <w:rPr>
          <w:bCs/>
        </w:rPr>
        <w:t xml:space="preserve"> k usnadnění přemístění obsahu.</w:t>
      </w:r>
      <w:r w:rsidRPr="00601D53">
        <w:rPr>
          <w:bCs/>
        </w:rPr>
        <w:t xml:space="preserve"> Po přemístění celého obsahu láhve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</w:t>
      </w:r>
      <w:proofErr w:type="spellStart"/>
      <w:r w:rsidRPr="00601D53">
        <w:rPr>
          <w:bCs/>
        </w:rPr>
        <w:t>CircoFLEX</w:t>
      </w:r>
      <w:proofErr w:type="spellEnd"/>
      <w:r w:rsidRPr="00601D53">
        <w:rPr>
          <w:bCs/>
        </w:rPr>
        <w:t xml:space="preserve"> odpojit a zlikvidovat transportní jehlu a prázdnou láhev od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</w:t>
      </w:r>
      <w:proofErr w:type="spellStart"/>
      <w:r w:rsidRPr="00601D53">
        <w:rPr>
          <w:bCs/>
        </w:rPr>
        <w:t>CircoFLEX</w:t>
      </w:r>
      <w:proofErr w:type="spellEnd"/>
      <w:r w:rsidRPr="00601D53">
        <w:rPr>
          <w:bCs/>
        </w:rPr>
        <w:t xml:space="preserve"> </w:t>
      </w:r>
    </w:p>
    <w:p w14:paraId="11237B97" w14:textId="77777777" w:rsidR="00B51A9C" w:rsidRPr="00601D53" w:rsidRDefault="00B51A9C" w:rsidP="00B51A9C">
      <w:pPr>
        <w:rPr>
          <w:bCs/>
        </w:rPr>
      </w:pPr>
      <w:bookmarkStart w:id="1" w:name="_Hlk75772188"/>
      <w:r w:rsidRPr="00601D53">
        <w:rPr>
          <w:bCs/>
        </w:rPr>
        <w:t>4.</w:t>
      </w:r>
      <w:r w:rsidRPr="00601D53">
        <w:rPr>
          <w:bCs/>
        </w:rPr>
        <w:tab/>
      </w:r>
      <w:bookmarkEnd w:id="1"/>
      <w:r w:rsidRPr="00601D53">
        <w:rPr>
          <w:bCs/>
        </w:rPr>
        <w:t xml:space="preserve">Pro náležité smíchaní vakcín mírně potřepat lahví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PRRSFLEX EU, dokud se vakcína úplně nerozpustí. </w:t>
      </w:r>
    </w:p>
    <w:p w14:paraId="19490535" w14:textId="77777777" w:rsidR="00B51A9C" w:rsidRDefault="00B51A9C" w:rsidP="00B51A9C">
      <w:pPr>
        <w:rPr>
          <w:bCs/>
        </w:rPr>
      </w:pPr>
      <w:r w:rsidRPr="00601D53">
        <w:rPr>
          <w:bCs/>
        </w:rPr>
        <w:t>5.</w:t>
      </w:r>
      <w:r w:rsidRPr="00601D53">
        <w:rPr>
          <w:bCs/>
        </w:rPr>
        <w:tab/>
        <w:t>Podejte praseti jednu dávku (</w:t>
      </w:r>
      <w:r w:rsidRPr="00601D53">
        <w:rPr>
          <w:b/>
        </w:rPr>
        <w:t>1 ml</w:t>
      </w:r>
      <w:r w:rsidRPr="00601D53">
        <w:rPr>
          <w:bCs/>
        </w:rPr>
        <w:t>) směsi intramuskulárně bez ohledu na živou hmotnost. Vakcinační automat používejte podle návodu k použití poskytnutého výrobcem.</w:t>
      </w:r>
    </w:p>
    <w:p w14:paraId="21598252" w14:textId="77777777" w:rsidR="00B51A9C" w:rsidRDefault="00B51A9C" w:rsidP="00B51A9C">
      <w:pPr>
        <w:rPr>
          <w:bCs/>
        </w:rPr>
      </w:pPr>
    </w:p>
    <w:p w14:paraId="01E942E2" w14:textId="6DD389D9" w:rsidR="00B51A9C" w:rsidRPr="00601D53" w:rsidRDefault="009D096B" w:rsidP="00B51A9C">
      <w:pPr>
        <w:rPr>
          <w:bCs/>
        </w:rPr>
      </w:pPr>
      <w:r>
        <w:rPr>
          <w:bCs/>
          <w:noProof/>
        </w:rPr>
        <w:drawing>
          <wp:inline distT="0" distB="0" distL="0" distR="0" wp14:anchorId="66418C64" wp14:editId="6182B12A">
            <wp:extent cx="5761355" cy="121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78954" w14:textId="77777777" w:rsidR="00B51A9C" w:rsidRPr="00601D53" w:rsidRDefault="00B51A9C" w:rsidP="00B51A9C">
      <w:pPr>
        <w:rPr>
          <w:bCs/>
        </w:rPr>
      </w:pPr>
    </w:p>
    <w:p w14:paraId="581C4252" w14:textId="77777777" w:rsidR="00B51A9C" w:rsidRPr="00601D53" w:rsidRDefault="00B51A9C" w:rsidP="00B51A9C">
      <w:pPr>
        <w:ind w:left="0" w:firstLine="0"/>
        <w:rPr>
          <w:bCs/>
        </w:rPr>
      </w:pPr>
      <w:bookmarkStart w:id="2" w:name="_Hlk77074442"/>
      <w:r w:rsidRPr="00601D53">
        <w:rPr>
          <w:bCs/>
        </w:rPr>
        <w:t xml:space="preserve">Použijte celou vakcinační směs během 4 hodin po smíchání. </w:t>
      </w:r>
      <w:r w:rsidR="007325CE" w:rsidRPr="00896A24">
        <w:rPr>
          <w:bCs/>
        </w:rPr>
        <w:t xml:space="preserve">Každá nepoužitá směs nebo odpad, který pochází z tohoto přípravku, musí být likvidován podle </w:t>
      </w:r>
      <w:r w:rsidR="007325CE">
        <w:rPr>
          <w:bCs/>
        </w:rPr>
        <w:t>místních právních předpisů</w:t>
      </w:r>
      <w:r w:rsidR="007325CE" w:rsidRPr="00896A24">
        <w:rPr>
          <w:bCs/>
        </w:rPr>
        <w:t>.</w:t>
      </w:r>
    </w:p>
    <w:bookmarkEnd w:id="0"/>
    <w:bookmarkEnd w:id="2"/>
    <w:p w14:paraId="4F29166F" w14:textId="77777777" w:rsidR="002E01AF" w:rsidRPr="002E01AF" w:rsidRDefault="002E01AF" w:rsidP="00B51A9C">
      <w:pPr>
        <w:tabs>
          <w:tab w:val="left" w:pos="567"/>
        </w:tabs>
        <w:suppressAutoHyphens/>
        <w:ind w:left="0" w:firstLine="0"/>
        <w:rPr>
          <w:rFonts w:eastAsia="PMingLiU"/>
        </w:rPr>
      </w:pPr>
    </w:p>
    <w:p w14:paraId="764E8793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3DB3F7C8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10.</w:t>
      </w:r>
      <w:r w:rsidRPr="002E01AF">
        <w:rPr>
          <w:rFonts w:eastAsia="PMingLiU"/>
          <w:b/>
          <w:szCs w:val="24"/>
        </w:rPr>
        <w:tab/>
        <w:t>OCHRANNÁ LHŮTA</w:t>
      </w:r>
    </w:p>
    <w:p w14:paraId="3C35845B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</w:p>
    <w:p w14:paraId="6C236295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Bez ochranných lhůt.</w:t>
      </w:r>
    </w:p>
    <w:p w14:paraId="2489F1EE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5B12FE6B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02B7293D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11.</w:t>
      </w:r>
      <w:r w:rsidRPr="002E01AF">
        <w:rPr>
          <w:rFonts w:eastAsia="PMingLiU"/>
          <w:b/>
          <w:szCs w:val="24"/>
        </w:rPr>
        <w:tab/>
        <w:t xml:space="preserve">ZVLÁŠTNÍ OPATŘENÍ PRO UCHOVÁVÁNÍ </w:t>
      </w:r>
    </w:p>
    <w:p w14:paraId="47B5BEE2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2268C703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Uchovávat mimo dohled a dosah dětí.</w:t>
      </w:r>
    </w:p>
    <w:p w14:paraId="28A77F94" w14:textId="77777777" w:rsidR="002E01AF" w:rsidRPr="002E01AF" w:rsidRDefault="002E01AF" w:rsidP="00836682">
      <w:pPr>
        <w:suppressAutoHyphens/>
        <w:ind w:left="0" w:right="-318" w:firstLine="0"/>
        <w:rPr>
          <w:rFonts w:eastAsia="PMingLiU"/>
        </w:rPr>
      </w:pPr>
      <w:r w:rsidRPr="002E01AF">
        <w:rPr>
          <w:rFonts w:eastAsia="PMingLiU"/>
        </w:rPr>
        <w:t>Uchovávejte a přepravujte chlazené (2 °</w:t>
      </w:r>
      <w:proofErr w:type="gramStart"/>
      <w:r w:rsidRPr="002E01AF">
        <w:rPr>
          <w:rFonts w:eastAsia="PMingLiU"/>
        </w:rPr>
        <w:t>C – 8</w:t>
      </w:r>
      <w:proofErr w:type="gramEnd"/>
      <w:r w:rsidRPr="002E01AF">
        <w:rPr>
          <w:rFonts w:eastAsia="PMingLiU"/>
        </w:rPr>
        <w:t> °C).</w:t>
      </w:r>
    </w:p>
    <w:p w14:paraId="3CD6212A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Chraňte před mrazem.</w:t>
      </w:r>
    </w:p>
    <w:p w14:paraId="7DC31E46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Chraňte před světlem.</w:t>
      </w:r>
    </w:p>
    <w:p w14:paraId="416D515A" w14:textId="77777777" w:rsidR="002E01AF" w:rsidRPr="002E01AF" w:rsidRDefault="002E01AF" w:rsidP="00836682">
      <w:pPr>
        <w:suppressAutoHyphens/>
        <w:ind w:left="0" w:right="-318" w:firstLine="0"/>
        <w:rPr>
          <w:rFonts w:eastAsia="PMingLiU"/>
          <w:szCs w:val="22"/>
        </w:rPr>
      </w:pPr>
      <w:r w:rsidRPr="002E01AF">
        <w:rPr>
          <w:rFonts w:eastAsia="PMingLiU"/>
          <w:szCs w:val="24"/>
        </w:rPr>
        <w:t xml:space="preserve">Doba použitelnosti po rekonstituci </w:t>
      </w:r>
      <w:r w:rsidR="00B51A9C">
        <w:rPr>
          <w:rFonts w:eastAsia="PMingLiU"/>
          <w:szCs w:val="24"/>
        </w:rPr>
        <w:t xml:space="preserve">rozpouštědlem </w:t>
      </w:r>
      <w:r w:rsidRPr="002E01AF">
        <w:rPr>
          <w:rFonts w:eastAsia="PMingLiU"/>
          <w:szCs w:val="24"/>
        </w:rPr>
        <w:t>podle návodu: spotřebujte do 8 hodin.</w:t>
      </w:r>
    </w:p>
    <w:p w14:paraId="19D6AF28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Nepoužívejte tento veterinární léčivý přípravek po uplynutí doby použitelnost uvedené na etiketě po EXP.</w:t>
      </w:r>
    </w:p>
    <w:p w14:paraId="5C0A539E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1336B62F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34F7DE20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12.</w:t>
      </w:r>
      <w:r w:rsidRPr="002E01AF">
        <w:rPr>
          <w:rFonts w:eastAsia="PMingLiU"/>
          <w:b/>
          <w:szCs w:val="24"/>
        </w:rPr>
        <w:tab/>
        <w:t>ZVLÁŠTNÍ UPOZORNĚNÍ</w:t>
      </w:r>
    </w:p>
    <w:p w14:paraId="24113C2E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443E8049" w14:textId="77777777" w:rsidR="006527AC" w:rsidRDefault="006527AC" w:rsidP="00AE4CA6">
      <w:pPr>
        <w:suppressAutoHyphens/>
        <w:autoSpaceDE w:val="0"/>
        <w:autoSpaceDN w:val="0"/>
        <w:adjustRightInd w:val="0"/>
        <w:ind w:left="0" w:firstLine="0"/>
        <w:jc w:val="both"/>
        <w:rPr>
          <w:szCs w:val="22"/>
          <w:u w:val="single"/>
        </w:rPr>
      </w:pPr>
      <w:r w:rsidRPr="00F30D3F">
        <w:rPr>
          <w:szCs w:val="22"/>
          <w:u w:val="single"/>
        </w:rPr>
        <w:t>Zvláštní upozornění pro každý cílov</w:t>
      </w:r>
      <w:r>
        <w:rPr>
          <w:szCs w:val="22"/>
          <w:u w:val="single"/>
        </w:rPr>
        <w:t>ý druh</w:t>
      </w:r>
      <w:r w:rsidRPr="00F30D3F">
        <w:rPr>
          <w:szCs w:val="22"/>
          <w:u w:val="single"/>
        </w:rPr>
        <w:t>:</w:t>
      </w:r>
    </w:p>
    <w:p w14:paraId="2CCC469D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Vakcinovat pouze zdravá zvířata.</w:t>
      </w:r>
    </w:p>
    <w:p w14:paraId="33BDC390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Nepoužívat u kanců, kteří produkují semeno pro stáda, ve kterých se nikdy PRRS neobjevil, protože PRRSV se může vylučovat semenem.</w:t>
      </w:r>
    </w:p>
    <w:p w14:paraId="12042C94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Bylo prokázáno, že mateřské protilátky mají vliv na účinnost vakcíny. Jsou-li přítomny mateřské protilátky, je třeba u selat naplánovat vhodnou dobu podání úvodní vakcíny.</w:t>
      </w:r>
    </w:p>
    <w:p w14:paraId="452EE542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331DF75C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  <w:u w:val="single"/>
        </w:rPr>
        <w:t>Zvláštní opatření pro použití u zvířat</w:t>
      </w:r>
      <w:r w:rsidRPr="002E01AF">
        <w:rPr>
          <w:rFonts w:eastAsia="PMingLiU"/>
          <w:szCs w:val="22"/>
        </w:rPr>
        <w:t>:</w:t>
      </w:r>
    </w:p>
    <w:p w14:paraId="1FA74ADB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 w:rsidRPr="002E01AF">
        <w:rPr>
          <w:rFonts w:eastAsia="PMingLiU"/>
          <w:szCs w:val="22"/>
          <w:lang w:eastAsia="de-DE"/>
        </w:rPr>
        <w:t xml:space="preserve">Vakcinační kmen se může šířit kontaktem až po dobu 3 týdnů po vakcinaci na nevakcinovaná zvířata. </w:t>
      </w:r>
      <w:r w:rsidR="00B51A9C" w:rsidRPr="00A937CB">
        <w:rPr>
          <w:szCs w:val="22"/>
        </w:rPr>
        <w:t xml:space="preserve">Je nutné přijmout </w:t>
      </w:r>
      <w:r w:rsidR="00B51A9C">
        <w:rPr>
          <w:szCs w:val="22"/>
        </w:rPr>
        <w:t>zvláštní</w:t>
      </w:r>
      <w:r w:rsidR="00B51A9C" w:rsidRPr="00A937CB">
        <w:rPr>
          <w:szCs w:val="22"/>
        </w:rPr>
        <w:t xml:space="preserve"> opatření, aby se zabránilo přenosu vakcinačního viru v rámci stáda, např. z pozitivních zvířat na zvířata, která se s PRRSV nikdy nesetkala.</w:t>
      </w:r>
      <w:r w:rsidR="00B51A9C" w:rsidRPr="005E2569">
        <w:rPr>
          <w:szCs w:val="22"/>
        </w:rPr>
        <w:t xml:space="preserve"> </w:t>
      </w:r>
      <w:r w:rsidRPr="002E01AF">
        <w:rPr>
          <w:rFonts w:eastAsia="PMingLiU"/>
          <w:szCs w:val="22"/>
          <w:lang w:eastAsia="de-DE"/>
        </w:rPr>
        <w:t>Vakcinovaná zvířata mohou vylučovat vakcinační kmen výkaly a v některých případech sekrety dutiny ústní.</w:t>
      </w:r>
    </w:p>
    <w:p w14:paraId="6FEF8381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5294E4CC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 w:rsidRPr="002E01AF">
        <w:rPr>
          <w:rFonts w:eastAsia="PMingLiU"/>
          <w:szCs w:val="22"/>
          <w:lang w:eastAsia="de-DE"/>
        </w:rPr>
        <w:t>Je nutné dbát na to, aby se zamezilo šíření vakcinačního viru z vakcinovaných zvířat na nevakcinovaná zvířata, která mají zůstat prostá viru PRRS.</w:t>
      </w:r>
    </w:p>
    <w:p w14:paraId="351A468B" w14:textId="77777777" w:rsidR="002E01AF" w:rsidRPr="002E01AF" w:rsidRDefault="002E01AF" w:rsidP="00836682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4628900C" w14:textId="77777777" w:rsidR="00EC7916" w:rsidRDefault="00EC7916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color w:val="000000"/>
          <w:szCs w:val="22"/>
          <w:lang w:eastAsia="de-DE"/>
        </w:rPr>
      </w:pPr>
      <w:r w:rsidRPr="00D04A29">
        <w:rPr>
          <w:szCs w:val="22"/>
        </w:rPr>
        <w:lastRenderedPageBreak/>
        <w:t>Cílem vakcinace je dos</w:t>
      </w:r>
      <w:r>
        <w:rPr>
          <w:szCs w:val="22"/>
        </w:rPr>
        <w:t>ažení</w:t>
      </w:r>
      <w:r w:rsidRPr="00D04A29">
        <w:rPr>
          <w:szCs w:val="22"/>
        </w:rPr>
        <w:t xml:space="preserve"> homogenní imunit</w:t>
      </w:r>
      <w:r>
        <w:rPr>
          <w:szCs w:val="22"/>
        </w:rPr>
        <w:t>y</w:t>
      </w:r>
      <w:r w:rsidRPr="00D04A29">
        <w:rPr>
          <w:szCs w:val="22"/>
        </w:rPr>
        <w:t xml:space="preserve"> </w:t>
      </w:r>
      <w:r>
        <w:rPr>
          <w:szCs w:val="22"/>
        </w:rPr>
        <w:t xml:space="preserve">v </w:t>
      </w:r>
      <w:r w:rsidRPr="00D04A29">
        <w:rPr>
          <w:szCs w:val="22"/>
        </w:rPr>
        <w:t>cílové populac</w:t>
      </w:r>
      <w:r>
        <w:rPr>
          <w:szCs w:val="22"/>
        </w:rPr>
        <w:t>i</w:t>
      </w:r>
      <w:r w:rsidRPr="00D04A29">
        <w:rPr>
          <w:szCs w:val="22"/>
        </w:rPr>
        <w:t xml:space="preserve"> </w:t>
      </w:r>
      <w:r>
        <w:rPr>
          <w:szCs w:val="22"/>
        </w:rPr>
        <w:t>na úrovni farmy</w:t>
      </w:r>
      <w:r w:rsidRPr="00D04A29">
        <w:rPr>
          <w:szCs w:val="22"/>
        </w:rPr>
        <w:t xml:space="preserve">. </w:t>
      </w:r>
      <w:r w:rsidRPr="002E01AF">
        <w:rPr>
          <w:rFonts w:eastAsia="PMingLiU"/>
          <w:color w:val="000000"/>
          <w:szCs w:val="22"/>
          <w:lang w:eastAsia="de-DE"/>
        </w:rPr>
        <w:t>Ve stádech prasnic se doporučuje použít vakc</w:t>
      </w:r>
      <w:r>
        <w:rPr>
          <w:rFonts w:eastAsia="PMingLiU"/>
          <w:color w:val="000000"/>
          <w:szCs w:val="22"/>
          <w:lang w:eastAsia="de-DE"/>
        </w:rPr>
        <w:t>i</w:t>
      </w:r>
      <w:r w:rsidRPr="002E01AF">
        <w:rPr>
          <w:rFonts w:eastAsia="PMingLiU"/>
          <w:color w:val="000000"/>
          <w:szCs w:val="22"/>
          <w:lang w:eastAsia="de-DE"/>
        </w:rPr>
        <w:t>n</w:t>
      </w:r>
      <w:r>
        <w:rPr>
          <w:rFonts w:eastAsia="PMingLiU"/>
          <w:color w:val="000000"/>
          <w:szCs w:val="22"/>
          <w:lang w:eastAsia="de-DE"/>
        </w:rPr>
        <w:t>ační kmen</w:t>
      </w:r>
      <w:r w:rsidRPr="002E01AF">
        <w:rPr>
          <w:rFonts w:eastAsia="PMingLiU"/>
          <w:color w:val="000000"/>
          <w:szCs w:val="22"/>
          <w:lang w:eastAsia="de-DE"/>
        </w:rPr>
        <w:t xml:space="preserve"> schválen</w:t>
      </w:r>
      <w:r>
        <w:rPr>
          <w:rFonts w:eastAsia="PMingLiU"/>
          <w:color w:val="000000"/>
          <w:szCs w:val="22"/>
          <w:lang w:eastAsia="de-DE"/>
        </w:rPr>
        <w:t>ý</w:t>
      </w:r>
      <w:r w:rsidRPr="002E01AF">
        <w:rPr>
          <w:rFonts w:eastAsia="PMingLiU"/>
          <w:color w:val="000000"/>
          <w:szCs w:val="22"/>
          <w:lang w:eastAsia="de-DE"/>
        </w:rPr>
        <w:t xml:space="preserve"> k použití u prasnic.</w:t>
      </w:r>
    </w:p>
    <w:p w14:paraId="1D2AE531" w14:textId="77777777" w:rsidR="00EC7916" w:rsidRDefault="00EC7916" w:rsidP="00AE4CA6">
      <w:pPr>
        <w:pStyle w:val="Default"/>
        <w:suppressAutoHyphens/>
        <w:jc w:val="both"/>
        <w:rPr>
          <w:color w:val="auto"/>
          <w:sz w:val="22"/>
          <w:szCs w:val="22"/>
          <w:lang w:val="cs-CZ" w:eastAsia="en-US"/>
        </w:rPr>
      </w:pPr>
    </w:p>
    <w:p w14:paraId="11A7518F" w14:textId="15B3C40A" w:rsidR="00EC7916" w:rsidRPr="00106AA6" w:rsidRDefault="00EC7916" w:rsidP="00AE4CA6">
      <w:pPr>
        <w:pStyle w:val="BodytextAgency"/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 chovu n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e</w:t>
      </w:r>
      <w:r>
        <w:rPr>
          <w:rFonts w:ascii="Times New Roman" w:hAnsi="Times New Roman" w:cs="Times New Roman"/>
          <w:sz w:val="22"/>
          <w:szCs w:val="22"/>
          <w:lang w:val="cs-CZ"/>
        </w:rPr>
        <w:t>střídejte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rutinně 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dv</w:t>
      </w:r>
      <w:r>
        <w:rPr>
          <w:rFonts w:ascii="Times New Roman" w:hAnsi="Times New Roman" w:cs="Times New Roman"/>
          <w:sz w:val="22"/>
          <w:szCs w:val="22"/>
          <w:lang w:val="cs-CZ"/>
        </w:rPr>
        <w:t>ě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nebo více komerčních PRRS MLV vakcín </w:t>
      </w:r>
      <w:r>
        <w:rPr>
          <w:rFonts w:ascii="Times New Roman" w:hAnsi="Times New Roman" w:cs="Times New Roman"/>
          <w:sz w:val="22"/>
          <w:szCs w:val="22"/>
          <w:lang w:val="cs-CZ"/>
        </w:rPr>
        <w:t>založených na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různých kmen</w:t>
      </w:r>
      <w:r>
        <w:rPr>
          <w:rFonts w:ascii="Times New Roman" w:hAnsi="Times New Roman" w:cs="Times New Roman"/>
          <w:sz w:val="22"/>
          <w:szCs w:val="22"/>
          <w:lang w:val="cs-CZ"/>
        </w:rPr>
        <w:t>ec</w:t>
      </w:r>
      <w:r w:rsidRPr="00106AA6">
        <w:rPr>
          <w:rFonts w:ascii="Times New Roman" w:hAnsi="Times New Roman" w:cs="Times New Roman"/>
          <w:sz w:val="22"/>
          <w:szCs w:val="22"/>
          <w:lang w:val="cs-CZ"/>
        </w:rPr>
        <w:t xml:space="preserve">h viru. </w:t>
      </w:r>
      <w:r w:rsidRPr="00106AA6">
        <w:rPr>
          <w:rFonts w:ascii="Times New Roman" w:eastAsia="SimSun" w:hAnsi="Times New Roman" w:cs="Times New Roman"/>
          <w:sz w:val="22"/>
          <w:szCs w:val="22"/>
          <w:lang w:val="cs-CZ"/>
        </w:rPr>
        <w:t>Vakcínu proti PRRS založenou na stejném kmeni (kmen 94881) a registrovanou k imunizaci prasniček a prasnic lze využít na stejné farmě.</w:t>
      </w:r>
    </w:p>
    <w:p w14:paraId="5AF09CBC" w14:textId="77777777" w:rsidR="00EC7916" w:rsidRPr="00D04A29" w:rsidRDefault="00EC7916" w:rsidP="00AE4CA6">
      <w:pPr>
        <w:pStyle w:val="Default"/>
        <w:suppressAutoHyphens/>
        <w:jc w:val="both"/>
        <w:rPr>
          <w:rFonts w:eastAsia="SimSun" w:cs="Arial"/>
          <w:color w:val="auto"/>
          <w:sz w:val="22"/>
          <w:szCs w:val="22"/>
          <w:lang w:val="cs-CZ"/>
        </w:rPr>
      </w:pPr>
    </w:p>
    <w:p w14:paraId="5BB9C491" w14:textId="77777777" w:rsidR="00EC7916" w:rsidRPr="00867525" w:rsidRDefault="00EC7916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  <w:r>
        <w:rPr>
          <w:szCs w:val="22"/>
        </w:rPr>
        <w:t>S c</w:t>
      </w:r>
      <w:r w:rsidRPr="00D04A29">
        <w:rPr>
          <w:szCs w:val="22"/>
        </w:rPr>
        <w:t>ílem omezit potenciální riziko rekombinace PRRS MLV vakcinačních kmenů stejného genotypu</w:t>
      </w:r>
      <w:r>
        <w:rPr>
          <w:szCs w:val="22"/>
        </w:rPr>
        <w:t>,</w:t>
      </w:r>
      <w:r w:rsidRPr="00D04A29">
        <w:rPr>
          <w:szCs w:val="22"/>
        </w:rPr>
        <w:t xml:space="preserve"> neaplikujte různé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</w:t>
      </w:r>
      <w:r>
        <w:rPr>
          <w:szCs w:val="22"/>
        </w:rPr>
        <w:t>založené na různých kmenech</w:t>
      </w:r>
      <w:r w:rsidRPr="00D04A29">
        <w:rPr>
          <w:szCs w:val="22"/>
        </w:rPr>
        <w:t xml:space="preserve"> stejného genotypu ve stejném chovu a ve stejný čas. V případě přechodu z jednoho typu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na jiný typ </w:t>
      </w:r>
      <w:r>
        <w:rPr>
          <w:szCs w:val="22"/>
        </w:rPr>
        <w:t>j</w:t>
      </w:r>
      <w:r w:rsidRPr="00D04A29">
        <w:rPr>
          <w:szCs w:val="22"/>
        </w:rPr>
        <w:t xml:space="preserve">e </w:t>
      </w:r>
      <w:r>
        <w:rPr>
          <w:szCs w:val="22"/>
        </w:rPr>
        <w:t xml:space="preserve">třeba </w:t>
      </w:r>
      <w:r w:rsidRPr="00D04A29">
        <w:rPr>
          <w:szCs w:val="22"/>
        </w:rPr>
        <w:t xml:space="preserve">dodržet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mezi posledním podáním současné vakcíny a první aplikací nové vakcíny. Toto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</w:t>
      </w:r>
      <w:r>
        <w:rPr>
          <w:szCs w:val="22"/>
        </w:rPr>
        <w:t>musí</w:t>
      </w:r>
      <w:r w:rsidRPr="00D04A29">
        <w:rPr>
          <w:szCs w:val="22"/>
        </w:rPr>
        <w:t xml:space="preserve"> být delší, než je doba vylučování vakcinačního </w:t>
      </w:r>
      <w:r>
        <w:rPr>
          <w:szCs w:val="22"/>
        </w:rPr>
        <w:t xml:space="preserve">viru </w:t>
      </w:r>
      <w:r w:rsidRPr="00D04A29">
        <w:rPr>
          <w:szCs w:val="22"/>
        </w:rPr>
        <w:t>vakcíny podávané v současnosti.</w:t>
      </w:r>
    </w:p>
    <w:p w14:paraId="00B6DA94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de-DE"/>
        </w:rPr>
      </w:pPr>
    </w:p>
    <w:p w14:paraId="01EC0276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  <w:u w:val="single"/>
        </w:rPr>
        <w:t>Zvláštní opatření určené osobám, které podávají veterinární léčivý přípravek zvířatům</w:t>
      </w:r>
      <w:r w:rsidRPr="002E01AF">
        <w:rPr>
          <w:rFonts w:eastAsia="PMingLiU"/>
          <w:szCs w:val="22"/>
        </w:rPr>
        <w:t>:</w:t>
      </w:r>
    </w:p>
    <w:p w14:paraId="5627202A" w14:textId="77777777" w:rsidR="009B5AF4" w:rsidRPr="002E01AF" w:rsidRDefault="00B51A9C" w:rsidP="00AE4CA6">
      <w:pPr>
        <w:suppressAutoHyphens/>
        <w:ind w:left="0" w:firstLine="0"/>
        <w:jc w:val="both"/>
        <w:rPr>
          <w:rFonts w:eastAsia="PMingLiU"/>
        </w:rPr>
      </w:pPr>
      <w:r w:rsidRPr="00B51A9C">
        <w:rPr>
          <w:rFonts w:eastAsia="PMingLiU"/>
        </w:rPr>
        <w:t>V případě náhodného sebepoškození injekčně aplikovaným přípravkem, vyhledejte ihned lékařskou pomoc a ukažte příbalovou informaci nebo etiketu praktickému lékaři.</w:t>
      </w:r>
    </w:p>
    <w:p w14:paraId="3609D28C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31DF0393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  <w:u w:val="single"/>
        </w:rPr>
      </w:pPr>
      <w:r w:rsidRPr="002E01AF">
        <w:rPr>
          <w:rFonts w:eastAsia="PMingLiU"/>
          <w:u w:val="single"/>
        </w:rPr>
        <w:t>Březost a laktace</w:t>
      </w:r>
      <w:r w:rsidRPr="002E01AF">
        <w:rPr>
          <w:rFonts w:eastAsia="PMingLiU"/>
        </w:rPr>
        <w:t>:</w:t>
      </w:r>
    </w:p>
    <w:p w14:paraId="5398F984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Nebyla stanovena bezpečnost tohoto veterinárního léčivého přípravku pro použití během březosti nebo laktace.</w:t>
      </w:r>
    </w:p>
    <w:p w14:paraId="2EA91200" w14:textId="77777777" w:rsidR="002E01AF" w:rsidRPr="002E01AF" w:rsidRDefault="002E01AF" w:rsidP="00AE4CA6">
      <w:pPr>
        <w:tabs>
          <w:tab w:val="left" w:pos="567"/>
        </w:tabs>
        <w:suppressAutoHyphens/>
        <w:ind w:left="0" w:firstLine="0"/>
        <w:jc w:val="both"/>
        <w:rPr>
          <w:rFonts w:eastAsia="PMingLiU"/>
        </w:rPr>
      </w:pPr>
    </w:p>
    <w:p w14:paraId="272443B2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  <w:u w:val="single"/>
        </w:rPr>
      </w:pPr>
      <w:r w:rsidRPr="002E01AF">
        <w:rPr>
          <w:rFonts w:eastAsia="PMingLiU"/>
          <w:szCs w:val="22"/>
          <w:u w:val="single"/>
        </w:rPr>
        <w:t>Interakce (s dalšími léčivými přípravky a další formy interakce):</w:t>
      </w:r>
    </w:p>
    <w:p w14:paraId="3545D842" w14:textId="77777777" w:rsidR="00B51A9C" w:rsidRDefault="00B51A9C" w:rsidP="00AE4CA6">
      <w:pPr>
        <w:ind w:left="0" w:firstLine="0"/>
        <w:jc w:val="both"/>
        <w:rPr>
          <w:szCs w:val="22"/>
        </w:rPr>
      </w:pPr>
      <w:r w:rsidRPr="00646526">
        <w:t xml:space="preserve">Dostupné údaje o bezpečnosti a účinnosti dokládají, že vakcínu lze </w:t>
      </w:r>
      <w:r w:rsidRPr="00646526">
        <w:rPr>
          <w:szCs w:val="22"/>
        </w:rPr>
        <w:t xml:space="preserve">mísit s vakcínou </w:t>
      </w:r>
      <w:proofErr w:type="spellStart"/>
      <w:r w:rsidRPr="00646526">
        <w:rPr>
          <w:szCs w:val="22"/>
        </w:rPr>
        <w:t>Ingelvac</w:t>
      </w:r>
      <w:proofErr w:type="spellEnd"/>
      <w:r w:rsidRPr="00646526">
        <w:rPr>
          <w:szCs w:val="22"/>
        </w:rPr>
        <w:t xml:space="preserve"> </w:t>
      </w:r>
      <w:proofErr w:type="spellStart"/>
      <w:r>
        <w:rPr>
          <w:szCs w:val="22"/>
        </w:rPr>
        <w:t>Circo</w:t>
      </w:r>
      <w:r w:rsidRPr="00646526">
        <w:rPr>
          <w:szCs w:val="22"/>
        </w:rPr>
        <w:t>FLEX</w:t>
      </w:r>
      <w:proofErr w:type="spellEnd"/>
      <w:r w:rsidRPr="00646526">
        <w:rPr>
          <w:szCs w:val="22"/>
        </w:rPr>
        <w:t xml:space="preserve"> společnosti </w:t>
      </w:r>
      <w:proofErr w:type="spellStart"/>
      <w:r w:rsidRPr="00646526">
        <w:rPr>
          <w:szCs w:val="22"/>
        </w:rPr>
        <w:t>Boehringer</w:t>
      </w:r>
      <w:proofErr w:type="spellEnd"/>
      <w:r w:rsidRPr="00646526">
        <w:rPr>
          <w:szCs w:val="22"/>
        </w:rPr>
        <w:t xml:space="preserve"> </w:t>
      </w:r>
      <w:proofErr w:type="spellStart"/>
      <w:r w:rsidRPr="00646526">
        <w:rPr>
          <w:szCs w:val="22"/>
        </w:rPr>
        <w:t>Ingelheim</w:t>
      </w:r>
      <w:proofErr w:type="spellEnd"/>
      <w:r w:rsidRPr="00646526">
        <w:rPr>
          <w:szCs w:val="22"/>
        </w:rPr>
        <w:t xml:space="preserve"> a aplikovat v injekci na jedno místo.</w:t>
      </w:r>
    </w:p>
    <w:p w14:paraId="53863896" w14:textId="77777777" w:rsidR="00B51A9C" w:rsidRDefault="00B51A9C" w:rsidP="00AE4CA6">
      <w:pPr>
        <w:ind w:left="0" w:firstLine="0"/>
        <w:jc w:val="both"/>
        <w:rPr>
          <w:szCs w:val="22"/>
        </w:rPr>
      </w:pPr>
    </w:p>
    <w:p w14:paraId="5F35BFD0" w14:textId="0B485E89" w:rsidR="00B51A9C" w:rsidRDefault="00B51A9C" w:rsidP="00AE4CA6">
      <w:pPr>
        <w:ind w:left="0" w:firstLine="0"/>
        <w:jc w:val="both"/>
      </w:pPr>
      <w:r>
        <w:t xml:space="preserve">Před podáním je třeba </w:t>
      </w:r>
      <w:r w:rsidR="009159B5">
        <w:t>si přečíst informace k</w:t>
      </w:r>
      <w:r>
        <w:t xml:space="preserve"> přípravku </w:t>
      </w:r>
      <w:proofErr w:type="spellStart"/>
      <w:r>
        <w:t>Ingelvac</w:t>
      </w:r>
      <w:proofErr w:type="spellEnd"/>
      <w:r>
        <w:t xml:space="preserve"> </w:t>
      </w:r>
      <w:proofErr w:type="spellStart"/>
      <w:r>
        <w:t>CircoFLEX</w:t>
      </w:r>
      <w:proofErr w:type="spellEnd"/>
      <w:r>
        <w:t xml:space="preserve">. </w:t>
      </w:r>
      <w:r w:rsidRPr="008D706F">
        <w:t xml:space="preserve">Po podání </w:t>
      </w:r>
      <w:r>
        <w:t xml:space="preserve">směsi </w:t>
      </w:r>
      <w:r w:rsidRPr="008D706F">
        <w:t xml:space="preserve">stoupá u jednotlivých prasat teplota, toto zvýšení </w:t>
      </w:r>
      <w:r w:rsidR="009159B5">
        <w:t xml:space="preserve">vzácně </w:t>
      </w:r>
      <w:r w:rsidRPr="008D706F">
        <w:t>přesáhne 1,5</w:t>
      </w:r>
      <w:r w:rsidR="00AE4CA6">
        <w:t xml:space="preserve"> </w:t>
      </w:r>
      <w:r w:rsidRPr="008D706F">
        <w:t>°C</w:t>
      </w:r>
      <w:r w:rsidR="009159B5">
        <w:t xml:space="preserve">, ale </w:t>
      </w:r>
      <w:r w:rsidRPr="008D706F">
        <w:t>zůst</w:t>
      </w:r>
      <w:r w:rsidR="009159B5">
        <w:t>ane</w:t>
      </w:r>
      <w:r w:rsidRPr="008D706F">
        <w:t xml:space="preserve"> pod 2</w:t>
      </w:r>
      <w:r w:rsidR="00AE4CA6">
        <w:t xml:space="preserve"> </w:t>
      </w:r>
      <w:r w:rsidRPr="008D706F">
        <w:t>°C. Teplota</w:t>
      </w:r>
      <w:r>
        <w:t xml:space="preserve"> se vrátí na běžnou úroveň během 1 dne po pozorování maximální hodnoty. </w:t>
      </w:r>
      <w:r w:rsidRPr="007F7B09">
        <w:t xml:space="preserve">Přechodné lokální reakce v místě </w:t>
      </w:r>
      <w:r w:rsidR="009159B5">
        <w:t>vpichu</w:t>
      </w:r>
      <w:r w:rsidRPr="007F7B09">
        <w:t xml:space="preserve">, které jsou omezené na mírné zarudnutí, se mohou vzácně objevit bezprostředně po </w:t>
      </w:r>
      <w:r w:rsidR="009159B5">
        <w:t>vakcinaci</w:t>
      </w:r>
      <w:r w:rsidRPr="007F7B09">
        <w:t>.</w:t>
      </w:r>
      <w:r>
        <w:t xml:space="preserve"> Reakce vymizí během 1 dne. Po vakcinaci byly </w:t>
      </w:r>
      <w:r w:rsidR="009159B5">
        <w:t>často</w:t>
      </w:r>
      <w:r>
        <w:t xml:space="preserve"> pozorovány okamžité reakce podobné mírné hypersenzitivitě, vedoucí k přechodným klinickým příznakům jako je zvracení a rychlé dýchání, které vymizely bez léčby</w:t>
      </w:r>
      <w:r w:rsidRPr="00330BB2">
        <w:t xml:space="preserve"> </w:t>
      </w:r>
      <w:r>
        <w:t>během několika hodin. Neobvykle bylo pozorováno přechodné fialové zabarvení kůže, které vymizelo bez léčby.</w:t>
      </w:r>
      <w:r w:rsidRPr="006173AC">
        <w:t xml:space="preserve"> Vhodná opatření k minimalizaci stresu při manipulaci během podávání přípravku mohou snížit frekvenci</w:t>
      </w:r>
      <w:r>
        <w:t xml:space="preserve"> těchto hypersenzitivitě</w:t>
      </w:r>
      <w:r w:rsidRPr="006173AC">
        <w:t xml:space="preserve"> podobných</w:t>
      </w:r>
      <w:r w:rsidRPr="0078436B">
        <w:t xml:space="preserve"> </w:t>
      </w:r>
      <w:r w:rsidRPr="006173AC">
        <w:t>reakcí.</w:t>
      </w:r>
    </w:p>
    <w:p w14:paraId="2C0C68ED" w14:textId="77777777" w:rsidR="00B51A9C" w:rsidRDefault="00B51A9C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</w:rPr>
      </w:pPr>
    </w:p>
    <w:p w14:paraId="7322282F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  <w:szCs w:val="22"/>
          <w:lang w:eastAsia="fi-FI"/>
        </w:rPr>
      </w:pPr>
      <w:r w:rsidRPr="002E01AF">
        <w:rPr>
          <w:rFonts w:eastAsia="PMingLiU"/>
          <w:szCs w:val="22"/>
        </w:rPr>
        <w:t>Nejsou dostupné informace o bezpečnosti a účinnosti této vakcíny, pokud je podávána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006C75FC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5BF6EF08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4"/>
        </w:rPr>
      </w:pPr>
      <w:r w:rsidRPr="002E01AF">
        <w:rPr>
          <w:rFonts w:eastAsia="PMingLiU"/>
          <w:szCs w:val="22"/>
          <w:u w:val="single"/>
        </w:rPr>
        <w:t xml:space="preserve">Předávkování (symptomy, první pomoc, </w:t>
      </w:r>
      <w:proofErr w:type="spellStart"/>
      <w:r w:rsidRPr="002E01AF">
        <w:rPr>
          <w:rFonts w:eastAsia="PMingLiU"/>
          <w:szCs w:val="22"/>
          <w:u w:val="single"/>
        </w:rPr>
        <w:t>antidota</w:t>
      </w:r>
      <w:proofErr w:type="spellEnd"/>
      <w:r w:rsidRPr="002E01AF">
        <w:rPr>
          <w:rFonts w:eastAsia="PMingLiU"/>
          <w:szCs w:val="22"/>
          <w:u w:val="single"/>
        </w:rPr>
        <w:t>):</w:t>
      </w:r>
    </w:p>
    <w:p w14:paraId="2B3CDF60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Nebyly pozorovány žádné další negativní účinky po 10násobném předávkování dvoutýdenních selat, která se nikdy s PRRSV nesetkala, s ohledem na systémové a lokální reakce.</w:t>
      </w:r>
    </w:p>
    <w:p w14:paraId="5952202B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3EA8F799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4"/>
        </w:rPr>
      </w:pPr>
      <w:r w:rsidRPr="002E01AF">
        <w:rPr>
          <w:rFonts w:eastAsia="PMingLiU"/>
          <w:szCs w:val="22"/>
          <w:u w:val="single"/>
        </w:rPr>
        <w:t>Inkompatibility:</w:t>
      </w:r>
    </w:p>
    <w:p w14:paraId="732F8A96" w14:textId="77777777" w:rsidR="002E01AF" w:rsidRPr="002E01AF" w:rsidRDefault="002E01AF" w:rsidP="00AE4CA6">
      <w:pPr>
        <w:suppressAutoHyphens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Nemísit s jiným veterinárním léčivým přípravkem, vyjma rozpouštědla dodaného pro použití s veterinárním léčivým přípravkem</w:t>
      </w:r>
      <w:r w:rsidR="00EB4490" w:rsidRPr="00EB4490">
        <w:rPr>
          <w:szCs w:val="22"/>
        </w:rPr>
        <w:t xml:space="preserve"> </w:t>
      </w:r>
      <w:r w:rsidR="00EB4490">
        <w:rPr>
          <w:szCs w:val="22"/>
        </w:rPr>
        <w:t xml:space="preserve">nebo vakcínou </w:t>
      </w:r>
      <w:proofErr w:type="spellStart"/>
      <w:r w:rsidR="00EB4490">
        <w:rPr>
          <w:szCs w:val="22"/>
        </w:rPr>
        <w:t>Ingelvac</w:t>
      </w:r>
      <w:proofErr w:type="spellEnd"/>
      <w:r w:rsidR="00EB4490">
        <w:rPr>
          <w:szCs w:val="22"/>
        </w:rPr>
        <w:t xml:space="preserve"> </w:t>
      </w:r>
      <w:proofErr w:type="spellStart"/>
      <w:r w:rsidR="00EB4490">
        <w:rPr>
          <w:szCs w:val="22"/>
        </w:rPr>
        <w:t>CircoFLEX</w:t>
      </w:r>
      <w:proofErr w:type="spellEnd"/>
      <w:r w:rsidR="00EB4490">
        <w:rPr>
          <w:szCs w:val="22"/>
        </w:rPr>
        <w:t xml:space="preserve"> </w:t>
      </w:r>
      <w:r w:rsidR="00EB4490" w:rsidRPr="00646526">
        <w:rPr>
          <w:szCs w:val="22"/>
        </w:rPr>
        <w:t xml:space="preserve">společnosti </w:t>
      </w:r>
      <w:proofErr w:type="spellStart"/>
      <w:r w:rsidR="00EB4490" w:rsidRPr="00646526">
        <w:rPr>
          <w:szCs w:val="22"/>
        </w:rPr>
        <w:t>Boehringer</w:t>
      </w:r>
      <w:proofErr w:type="spellEnd"/>
      <w:r w:rsidR="00EB4490" w:rsidRPr="00646526">
        <w:rPr>
          <w:szCs w:val="22"/>
        </w:rPr>
        <w:t xml:space="preserve"> </w:t>
      </w:r>
      <w:proofErr w:type="spellStart"/>
      <w:r w:rsidR="00EB4490" w:rsidRPr="00646526">
        <w:rPr>
          <w:szCs w:val="22"/>
        </w:rPr>
        <w:t>Ingelheim</w:t>
      </w:r>
      <w:proofErr w:type="spellEnd"/>
      <w:r w:rsidR="00EB4490" w:rsidRPr="00646526">
        <w:rPr>
          <w:szCs w:val="22"/>
        </w:rPr>
        <w:t xml:space="preserve"> (</w:t>
      </w:r>
      <w:r w:rsidR="00EC7916">
        <w:rPr>
          <w:szCs w:val="22"/>
        </w:rPr>
        <w:t xml:space="preserve">ani jedna ze </w:t>
      </w:r>
      <w:r w:rsidR="00EB4490">
        <w:rPr>
          <w:szCs w:val="22"/>
        </w:rPr>
        <w:t>směs</w:t>
      </w:r>
      <w:r w:rsidR="00EC7916">
        <w:rPr>
          <w:szCs w:val="22"/>
        </w:rPr>
        <w:t>í</w:t>
      </w:r>
      <w:r w:rsidR="00EB4490">
        <w:rPr>
          <w:szCs w:val="22"/>
        </w:rPr>
        <w:t xml:space="preserve"> </w:t>
      </w:r>
      <w:r w:rsidR="00EB4490" w:rsidRPr="00646526">
        <w:t>není určen</w:t>
      </w:r>
      <w:r w:rsidR="00EB4490">
        <w:t>a</w:t>
      </w:r>
      <w:r w:rsidR="00EB4490" w:rsidRPr="00646526">
        <w:t xml:space="preserve"> pro použití u březích nebo </w:t>
      </w:r>
      <w:proofErr w:type="spellStart"/>
      <w:r w:rsidR="00EB4490" w:rsidRPr="00646526">
        <w:t>laktujících</w:t>
      </w:r>
      <w:proofErr w:type="spellEnd"/>
      <w:r w:rsidR="00EB4490" w:rsidRPr="00646526">
        <w:t xml:space="preserve"> prasnic)</w:t>
      </w:r>
      <w:r w:rsidRPr="002E01AF">
        <w:rPr>
          <w:rFonts w:eastAsia="PMingLiU"/>
          <w:szCs w:val="22"/>
        </w:rPr>
        <w:t>.</w:t>
      </w:r>
    </w:p>
    <w:p w14:paraId="01E48CD0" w14:textId="77777777" w:rsidR="002E01AF" w:rsidRPr="002E01AF" w:rsidRDefault="002E01AF" w:rsidP="00AE4CA6">
      <w:pPr>
        <w:tabs>
          <w:tab w:val="left" w:pos="567"/>
        </w:tabs>
        <w:suppressAutoHyphens/>
        <w:jc w:val="both"/>
        <w:rPr>
          <w:rFonts w:eastAsia="PMingLiU"/>
        </w:rPr>
      </w:pPr>
    </w:p>
    <w:p w14:paraId="37FAC5D4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2A842DB0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rPr>
          <w:rFonts w:eastAsia="PMingLiU"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13.</w:t>
      </w:r>
      <w:r w:rsidRPr="002E01AF">
        <w:rPr>
          <w:rFonts w:eastAsia="PMingLiU"/>
          <w:b/>
          <w:szCs w:val="24"/>
        </w:rPr>
        <w:tab/>
        <w:t>ZVLÁŠTNÍ OPATŘENÍ PRO ZNEŠKODŇOVÁNÍ NEPOUŽITÝCH PŘÍPRAVKŮ NEBO ODPADU, POKUD JE JICH TŘEBA</w:t>
      </w:r>
    </w:p>
    <w:p w14:paraId="2BD970FC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4FD0484A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2E01AF">
        <w:rPr>
          <w:rFonts w:eastAsia="PMingLiU"/>
          <w:szCs w:val="24"/>
        </w:rPr>
        <w:t>Léčivé přípravky se nesmí likvidovat prostřednictvím odpadní vody či domovního odpadu.</w:t>
      </w:r>
    </w:p>
    <w:p w14:paraId="0472296F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2E01AF">
        <w:rPr>
          <w:rFonts w:eastAsia="PMingLiU"/>
          <w:szCs w:val="24"/>
        </w:rPr>
        <w:t>O možnostech likvidace nepotřebných léčivých přípravků se poraďte s vaším veterinárním lékařem. Tato opatření napomáhají chránit životní prostředí.</w:t>
      </w:r>
    </w:p>
    <w:p w14:paraId="2AAC460A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2E07C8BF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7BAD1C6D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14.</w:t>
      </w:r>
      <w:r w:rsidRPr="002E01AF">
        <w:rPr>
          <w:rFonts w:eastAsia="PMingLiU"/>
          <w:b/>
          <w:szCs w:val="24"/>
        </w:rPr>
        <w:tab/>
        <w:t>DATUM POSLEDNÍ REVIZE PŘÍBALOVÉ INFORMACE</w:t>
      </w:r>
    </w:p>
    <w:p w14:paraId="3B288805" w14:textId="77777777" w:rsidR="002E01AF" w:rsidRP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1CF6FC90" w14:textId="0998C3DB" w:rsidR="002E01AF" w:rsidRDefault="00EC7916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>
        <w:rPr>
          <w:rFonts w:eastAsia="PMingLiU"/>
          <w:szCs w:val="24"/>
        </w:rPr>
        <w:t>1</w:t>
      </w:r>
      <w:r w:rsidR="00C50329">
        <w:rPr>
          <w:rFonts w:eastAsia="PMingLiU"/>
          <w:szCs w:val="24"/>
        </w:rPr>
        <w:t>1</w:t>
      </w:r>
      <w:r>
        <w:rPr>
          <w:rFonts w:eastAsia="PMingLiU"/>
          <w:szCs w:val="24"/>
        </w:rPr>
        <w:t>/2021</w:t>
      </w:r>
    </w:p>
    <w:p w14:paraId="4A43E47F" w14:textId="77777777" w:rsidR="002E01AF" w:rsidRDefault="002E01AF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29A1C137" w14:textId="77777777" w:rsidR="00733E60" w:rsidRPr="002E01AF" w:rsidRDefault="00733E60" w:rsidP="00836682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3D7E3618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b/>
          <w:szCs w:val="24"/>
        </w:rPr>
      </w:pPr>
      <w:r w:rsidRPr="004A1BFD">
        <w:rPr>
          <w:rFonts w:eastAsia="PMingLiU"/>
          <w:b/>
          <w:szCs w:val="24"/>
          <w:highlight w:val="lightGray"/>
        </w:rPr>
        <w:t>15.</w:t>
      </w:r>
      <w:r w:rsidRPr="002E01AF">
        <w:rPr>
          <w:rFonts w:eastAsia="PMingLiU"/>
          <w:b/>
          <w:szCs w:val="24"/>
        </w:rPr>
        <w:tab/>
        <w:t>DALŠÍ INFORMACE</w:t>
      </w:r>
    </w:p>
    <w:p w14:paraId="2DEE0BC4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b/>
          <w:szCs w:val="24"/>
        </w:rPr>
      </w:pPr>
    </w:p>
    <w:p w14:paraId="204617E6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Pouze pro zvířata.</w:t>
      </w:r>
      <w:bookmarkStart w:id="3" w:name="_GoBack"/>
      <w:bookmarkEnd w:id="3"/>
    </w:p>
    <w:p w14:paraId="3C0FA726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right="566" w:firstLine="0"/>
        <w:jc w:val="both"/>
        <w:rPr>
          <w:rFonts w:eastAsia="PMingLiU"/>
          <w:szCs w:val="22"/>
        </w:rPr>
      </w:pPr>
      <w:r w:rsidRPr="002E01AF">
        <w:rPr>
          <w:rFonts w:eastAsia="PMingLiU"/>
          <w:szCs w:val="22"/>
        </w:rPr>
        <w:t>Veterinární léčivý přípravek je vydáván pouze na předpis.</w:t>
      </w:r>
    </w:p>
    <w:p w14:paraId="3F8C396B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b/>
          <w:szCs w:val="24"/>
        </w:rPr>
      </w:pPr>
    </w:p>
    <w:p w14:paraId="018384D5" w14:textId="77777777" w:rsidR="002E01AF" w:rsidRPr="002E01AF" w:rsidRDefault="002E01AF" w:rsidP="00AE4CA6">
      <w:pPr>
        <w:tabs>
          <w:tab w:val="left" w:pos="567"/>
        </w:tabs>
        <w:suppressAutoHyphens/>
        <w:spacing w:line="260" w:lineRule="exact"/>
        <w:ind w:left="0" w:firstLine="0"/>
        <w:jc w:val="both"/>
        <w:rPr>
          <w:rFonts w:eastAsia="PMingLiU"/>
          <w:szCs w:val="24"/>
          <w:u w:val="single"/>
        </w:rPr>
      </w:pPr>
      <w:r w:rsidRPr="002E01AF">
        <w:rPr>
          <w:rFonts w:eastAsia="PMingLiU"/>
          <w:szCs w:val="24"/>
          <w:u w:val="single"/>
        </w:rPr>
        <w:t>Velikosti balení:</w:t>
      </w:r>
    </w:p>
    <w:p w14:paraId="2D8B9361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 xml:space="preserve">1 injekční lahvička s </w:t>
      </w:r>
      <w:proofErr w:type="spellStart"/>
      <w:r w:rsidRPr="002E01AF">
        <w:rPr>
          <w:rFonts w:eastAsia="PMingLiU"/>
        </w:rPr>
        <w:t>lyofilizátem</w:t>
      </w:r>
      <w:proofErr w:type="spellEnd"/>
      <w:r w:rsidRPr="002E01AF">
        <w:rPr>
          <w:rFonts w:eastAsia="PMingLiU"/>
        </w:rPr>
        <w:t xml:space="preserve"> o</w:t>
      </w:r>
      <w:r w:rsidR="004A1BFD">
        <w:rPr>
          <w:rFonts w:eastAsia="PMingLiU"/>
        </w:rPr>
        <w:t xml:space="preserve"> objemu</w:t>
      </w:r>
      <w:r w:rsidRPr="002E01AF">
        <w:rPr>
          <w:rFonts w:eastAsia="PMingLiU"/>
        </w:rPr>
        <w:t xml:space="preserve"> 10 ml (10 dávek), 50 ml (50 dávek), 100 ml (100 dávek) nebo 250 ml (250 dávek) a 1 lahvička s rozpouštědlem obsahující 10 ml, 50 ml, 100 ml nebo 250 ml zabalené v jedné papírové krabičce.</w:t>
      </w:r>
    </w:p>
    <w:p w14:paraId="5EA1CC53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</w:p>
    <w:p w14:paraId="00287A90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 xml:space="preserve">12 injekčních lahviček s </w:t>
      </w:r>
      <w:proofErr w:type="spellStart"/>
      <w:r w:rsidRPr="002E01AF">
        <w:rPr>
          <w:rFonts w:eastAsia="PMingLiU"/>
        </w:rPr>
        <w:t>lyofilizátem</w:t>
      </w:r>
      <w:proofErr w:type="spellEnd"/>
      <w:r w:rsidRPr="002E01AF">
        <w:rPr>
          <w:rFonts w:eastAsia="PMingLiU"/>
        </w:rPr>
        <w:t xml:space="preserve"> o</w:t>
      </w:r>
      <w:r w:rsidR="004A1BFD">
        <w:rPr>
          <w:rFonts w:eastAsia="PMingLiU"/>
        </w:rPr>
        <w:t xml:space="preserve"> objemu</w:t>
      </w:r>
      <w:r w:rsidRPr="002E01AF">
        <w:rPr>
          <w:rFonts w:eastAsia="PMingLiU"/>
        </w:rPr>
        <w:t xml:space="preserve"> 10 ml (10 dávek), 50 ml (50 dávek), 100 ml (100</w:t>
      </w:r>
      <w:r w:rsidR="00836682">
        <w:rPr>
          <w:rFonts w:eastAsia="PMingLiU"/>
        </w:rPr>
        <w:t> </w:t>
      </w:r>
      <w:r w:rsidRPr="002E01AF">
        <w:rPr>
          <w:rFonts w:eastAsia="PMingLiU"/>
        </w:rPr>
        <w:t>dávek) nebo 250 ml (250 dávek) zabalených v samostatné papírové krabičce.</w:t>
      </w:r>
    </w:p>
    <w:p w14:paraId="2BF29F69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</w:p>
    <w:p w14:paraId="15DA425C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 xml:space="preserve">25 injekčních lahviček s </w:t>
      </w:r>
      <w:proofErr w:type="spellStart"/>
      <w:r w:rsidRPr="002E01AF">
        <w:rPr>
          <w:rFonts w:eastAsia="PMingLiU"/>
        </w:rPr>
        <w:t>lyofilizátem</w:t>
      </w:r>
      <w:proofErr w:type="spellEnd"/>
      <w:r w:rsidRPr="002E01AF">
        <w:rPr>
          <w:rFonts w:eastAsia="PMingLiU"/>
        </w:rPr>
        <w:t xml:space="preserve"> o</w:t>
      </w:r>
      <w:r w:rsidR="004A1BFD">
        <w:rPr>
          <w:rFonts w:eastAsia="PMingLiU"/>
        </w:rPr>
        <w:t xml:space="preserve"> objemu</w:t>
      </w:r>
      <w:r w:rsidRPr="002E01AF">
        <w:rPr>
          <w:rFonts w:eastAsia="PMingLiU"/>
        </w:rPr>
        <w:t xml:space="preserve"> 10 ml (10 dávek), 50 ml (50 dávek), 100 ml (100</w:t>
      </w:r>
      <w:r w:rsidR="00836682">
        <w:rPr>
          <w:rFonts w:eastAsia="PMingLiU"/>
        </w:rPr>
        <w:t> </w:t>
      </w:r>
      <w:r w:rsidRPr="002E01AF">
        <w:rPr>
          <w:rFonts w:eastAsia="PMingLiU"/>
        </w:rPr>
        <w:t>dávek), nebo 250 ml (250 dávek) zabalených v samostatné papírové krabičce.</w:t>
      </w:r>
    </w:p>
    <w:p w14:paraId="713082A9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</w:rPr>
      </w:pPr>
    </w:p>
    <w:p w14:paraId="6D1172EC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</w:rPr>
        <w:t>12 injekčních lahviček s rozpouštědlem obsahujících 10 ml, 50 ml, 100 ml nebo 250 ml zabalených v samostatné papírové krabičce.</w:t>
      </w:r>
    </w:p>
    <w:p w14:paraId="5172A65E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  <w:szCs w:val="22"/>
          <w:lang w:eastAsia="de-DE"/>
        </w:rPr>
      </w:pPr>
    </w:p>
    <w:p w14:paraId="36654DE0" w14:textId="77777777" w:rsidR="002E01AF" w:rsidRPr="002E01AF" w:rsidRDefault="002E01AF" w:rsidP="00AE4CA6">
      <w:pPr>
        <w:tabs>
          <w:tab w:val="left" w:pos="567"/>
        </w:tabs>
        <w:suppressAutoHyphens/>
        <w:autoSpaceDE w:val="0"/>
        <w:autoSpaceDN w:val="0"/>
        <w:adjustRightInd w:val="0"/>
        <w:spacing w:line="260" w:lineRule="exact"/>
        <w:ind w:left="0" w:firstLine="0"/>
        <w:jc w:val="both"/>
        <w:rPr>
          <w:rFonts w:eastAsia="PMingLiU"/>
          <w:szCs w:val="22"/>
        </w:rPr>
      </w:pPr>
      <w:r w:rsidRPr="002E01AF">
        <w:rPr>
          <w:rFonts w:eastAsia="PMingLiU"/>
        </w:rPr>
        <w:t>25 injekčních lahviček s rozpouštědlem obsahujících 10 ml, 50 ml, 100 ml nebo 250 ml zabalených v samostatné papírové krabičce.</w:t>
      </w:r>
    </w:p>
    <w:p w14:paraId="6769492A" w14:textId="77777777" w:rsidR="002E01AF" w:rsidRPr="002E01AF" w:rsidRDefault="002E01AF" w:rsidP="00AE4CA6">
      <w:p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</w:p>
    <w:p w14:paraId="4D28B257" w14:textId="77777777" w:rsidR="002E01AF" w:rsidRPr="002E01AF" w:rsidRDefault="002E01AF" w:rsidP="00AE4CA6">
      <w:pPr>
        <w:tabs>
          <w:tab w:val="left" w:pos="0"/>
        </w:tabs>
        <w:suppressAutoHyphens/>
        <w:ind w:left="0" w:firstLine="0"/>
        <w:jc w:val="both"/>
        <w:rPr>
          <w:rFonts w:eastAsia="PMingLiU"/>
        </w:rPr>
      </w:pPr>
      <w:r w:rsidRPr="002E01AF">
        <w:rPr>
          <w:rFonts w:eastAsia="PMingLiU"/>
        </w:rPr>
        <w:t>Na trhu nemusí být všechny velikosti balení.</w:t>
      </w:r>
    </w:p>
    <w:p w14:paraId="2D4E8488" w14:textId="77777777" w:rsidR="002E01AF" w:rsidRPr="002E01AF" w:rsidRDefault="002E01AF" w:rsidP="00AE4CA6">
      <w:pPr>
        <w:tabs>
          <w:tab w:val="left" w:pos="0"/>
        </w:tabs>
        <w:suppressAutoHyphens/>
        <w:ind w:left="0" w:firstLine="0"/>
        <w:jc w:val="both"/>
        <w:rPr>
          <w:rFonts w:eastAsia="PMingLiU"/>
        </w:rPr>
      </w:pPr>
    </w:p>
    <w:p w14:paraId="383F0F7A" w14:textId="77777777" w:rsidR="002E01AF" w:rsidRPr="002E01AF" w:rsidRDefault="002E01AF" w:rsidP="00836682">
      <w:pPr>
        <w:tabs>
          <w:tab w:val="left" w:pos="0"/>
        </w:tabs>
        <w:suppressAutoHyphens/>
        <w:ind w:left="0" w:firstLine="0"/>
        <w:rPr>
          <w:rFonts w:eastAsia="PMingLiU"/>
        </w:rPr>
      </w:pPr>
    </w:p>
    <w:sectPr w:rsidR="002E01AF" w:rsidRPr="002E01AF" w:rsidSect="008835CE">
      <w:footerReference w:type="defaul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10D4" w14:textId="77777777" w:rsidR="00975998" w:rsidRDefault="00975998">
      <w:r>
        <w:separator/>
      </w:r>
    </w:p>
  </w:endnote>
  <w:endnote w:type="continuationSeparator" w:id="0">
    <w:p w14:paraId="3C53ADDE" w14:textId="77777777" w:rsidR="00975998" w:rsidRDefault="0097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3BC0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D1CF378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4D316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C004" w14:textId="77777777" w:rsidR="00990659" w:rsidRDefault="00990659">
    <w:pPr>
      <w:pStyle w:val="Zpat"/>
      <w:tabs>
        <w:tab w:val="clear" w:pos="8930"/>
        <w:tab w:val="right" w:pos="8931"/>
      </w:tabs>
    </w:pPr>
  </w:p>
  <w:p w14:paraId="0BB0133A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5E76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473E" w14:textId="77777777" w:rsidR="00975998" w:rsidRDefault="00975998">
      <w:r>
        <w:separator/>
      </w:r>
    </w:p>
  </w:footnote>
  <w:footnote w:type="continuationSeparator" w:id="0">
    <w:p w14:paraId="33910DF1" w14:textId="77777777" w:rsidR="00975998" w:rsidRDefault="0097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DD206C"/>
    <w:multiLevelType w:val="hybridMultilevel"/>
    <w:tmpl w:val="FCA8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B3C93"/>
    <w:multiLevelType w:val="hybridMultilevel"/>
    <w:tmpl w:val="2690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50C1C"/>
    <w:rsid w:val="000C2221"/>
    <w:rsid w:val="000C3664"/>
    <w:rsid w:val="000C384F"/>
    <w:rsid w:val="001727C2"/>
    <w:rsid w:val="00184F46"/>
    <w:rsid w:val="00213C8A"/>
    <w:rsid w:val="00242D0D"/>
    <w:rsid w:val="00245B69"/>
    <w:rsid w:val="002A0BAF"/>
    <w:rsid w:val="002E01AF"/>
    <w:rsid w:val="002F1A5E"/>
    <w:rsid w:val="00313464"/>
    <w:rsid w:val="00343672"/>
    <w:rsid w:val="00382E16"/>
    <w:rsid w:val="003A100E"/>
    <w:rsid w:val="003B42E6"/>
    <w:rsid w:val="003C7654"/>
    <w:rsid w:val="00480451"/>
    <w:rsid w:val="004A1BFD"/>
    <w:rsid w:val="004D316A"/>
    <w:rsid w:val="00504B97"/>
    <w:rsid w:val="00526809"/>
    <w:rsid w:val="0053068C"/>
    <w:rsid w:val="00590463"/>
    <w:rsid w:val="005A068D"/>
    <w:rsid w:val="005C556B"/>
    <w:rsid w:val="005E67AF"/>
    <w:rsid w:val="005E7669"/>
    <w:rsid w:val="005F4523"/>
    <w:rsid w:val="00601E6F"/>
    <w:rsid w:val="006249A1"/>
    <w:rsid w:val="006527AC"/>
    <w:rsid w:val="00653F8D"/>
    <w:rsid w:val="0066080B"/>
    <w:rsid w:val="006F514E"/>
    <w:rsid w:val="0071271F"/>
    <w:rsid w:val="007325CE"/>
    <w:rsid w:val="00733B0F"/>
    <w:rsid w:val="00733E60"/>
    <w:rsid w:val="007464C4"/>
    <w:rsid w:val="007758DC"/>
    <w:rsid w:val="007D1293"/>
    <w:rsid w:val="007D3CB3"/>
    <w:rsid w:val="00836682"/>
    <w:rsid w:val="00872A5B"/>
    <w:rsid w:val="0087303C"/>
    <w:rsid w:val="008835CA"/>
    <w:rsid w:val="008835CE"/>
    <w:rsid w:val="00890A4F"/>
    <w:rsid w:val="008C25AE"/>
    <w:rsid w:val="00904703"/>
    <w:rsid w:val="009159B5"/>
    <w:rsid w:val="00926FC3"/>
    <w:rsid w:val="00975998"/>
    <w:rsid w:val="00990659"/>
    <w:rsid w:val="009A75AD"/>
    <w:rsid w:val="009B5AF4"/>
    <w:rsid w:val="009D096B"/>
    <w:rsid w:val="009D7CC9"/>
    <w:rsid w:val="00A17AF3"/>
    <w:rsid w:val="00A82534"/>
    <w:rsid w:val="00A90943"/>
    <w:rsid w:val="00AA7793"/>
    <w:rsid w:val="00AC3D06"/>
    <w:rsid w:val="00AE4CA6"/>
    <w:rsid w:val="00AF5303"/>
    <w:rsid w:val="00B51A9C"/>
    <w:rsid w:val="00B7014F"/>
    <w:rsid w:val="00B93968"/>
    <w:rsid w:val="00BD0787"/>
    <w:rsid w:val="00BD6830"/>
    <w:rsid w:val="00C007CE"/>
    <w:rsid w:val="00C50329"/>
    <w:rsid w:val="00C7546F"/>
    <w:rsid w:val="00CC7C66"/>
    <w:rsid w:val="00D5452A"/>
    <w:rsid w:val="00E71162"/>
    <w:rsid w:val="00EB4490"/>
    <w:rsid w:val="00EC7916"/>
    <w:rsid w:val="00EE2998"/>
    <w:rsid w:val="00FB3643"/>
    <w:rsid w:val="00FD3704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29F2"/>
  <w15:chartTrackingRefBased/>
  <w15:docId w15:val="{7265641B-0C25-471A-8718-26286126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35CE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8835CE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835CE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835CE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835CE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835CE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835CE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835CE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35C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8835C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835CE"/>
    <w:pPr>
      <w:ind w:left="1760"/>
    </w:pPr>
  </w:style>
  <w:style w:type="character" w:styleId="Odkaznavysvtlivky">
    <w:name w:val="endnote reference"/>
    <w:rsid w:val="008835CE"/>
    <w:rPr>
      <w:vertAlign w:val="superscript"/>
    </w:rPr>
  </w:style>
  <w:style w:type="character" w:styleId="Znakapoznpodarou">
    <w:name w:val="footnote reference"/>
    <w:rsid w:val="008835CE"/>
    <w:rPr>
      <w:vertAlign w:val="superscript"/>
    </w:rPr>
  </w:style>
  <w:style w:type="paragraph" w:styleId="Textpoznpodarou">
    <w:name w:val="footnote text"/>
    <w:basedOn w:val="Normln"/>
    <w:rsid w:val="008835CE"/>
    <w:pPr>
      <w:jc w:val="both"/>
    </w:pPr>
    <w:rPr>
      <w:sz w:val="20"/>
    </w:rPr>
  </w:style>
  <w:style w:type="paragraph" w:styleId="Zkladntext">
    <w:name w:val="Body Text"/>
    <w:basedOn w:val="Normln"/>
    <w:rsid w:val="008835CE"/>
    <w:pPr>
      <w:jc w:val="both"/>
    </w:pPr>
  </w:style>
  <w:style w:type="paragraph" w:styleId="Textvbloku">
    <w:name w:val="Block Text"/>
    <w:basedOn w:val="Normln"/>
    <w:rsid w:val="008835CE"/>
    <w:pPr>
      <w:ind w:left="2268" w:right="1711"/>
    </w:pPr>
    <w:rPr>
      <w:b/>
    </w:rPr>
  </w:style>
  <w:style w:type="paragraph" w:styleId="Zkladntext2">
    <w:name w:val="Body Text 2"/>
    <w:basedOn w:val="Normln"/>
    <w:rsid w:val="008835CE"/>
    <w:rPr>
      <w:b/>
    </w:rPr>
  </w:style>
  <w:style w:type="paragraph" w:styleId="Zkladntext3">
    <w:name w:val="Body Text 3"/>
    <w:basedOn w:val="Normln"/>
    <w:rsid w:val="008835CE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8835CE"/>
  </w:style>
  <w:style w:type="character" w:styleId="Odkaznakoment">
    <w:name w:val="annotation reference"/>
    <w:rsid w:val="008835CE"/>
    <w:rPr>
      <w:sz w:val="16"/>
    </w:rPr>
  </w:style>
  <w:style w:type="paragraph" w:styleId="Zkladntextodsazen2">
    <w:name w:val="Body Text Indent 2"/>
    <w:basedOn w:val="Normln"/>
    <w:rsid w:val="008835CE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8835CE"/>
    <w:rPr>
      <w:sz w:val="20"/>
    </w:rPr>
  </w:style>
  <w:style w:type="paragraph" w:styleId="Zkladntextodsazen3">
    <w:name w:val="Body Text Indent 3"/>
    <w:basedOn w:val="Normln"/>
    <w:rsid w:val="008835CE"/>
  </w:style>
  <w:style w:type="paragraph" w:customStyle="1" w:styleId="Bullet">
    <w:name w:val="Bullet"/>
    <w:basedOn w:val="Normln"/>
    <w:rsid w:val="008835CE"/>
    <w:pPr>
      <w:numPr>
        <w:numId w:val="2"/>
      </w:numPr>
    </w:pPr>
  </w:style>
  <w:style w:type="paragraph" w:styleId="Textbubliny">
    <w:name w:val="Balloon Text"/>
    <w:basedOn w:val="Normln"/>
    <w:rsid w:val="008835CE"/>
    <w:rPr>
      <w:rFonts w:ascii="Tahoma" w:hAnsi="Tahoma" w:cs="Tahoma"/>
      <w:sz w:val="16"/>
      <w:szCs w:val="16"/>
    </w:rPr>
  </w:style>
  <w:style w:type="character" w:styleId="Hypertextovodkaz">
    <w:name w:val="Hyperlink"/>
    <w:rsid w:val="008835CE"/>
    <w:rPr>
      <w:color w:val="0000FF"/>
      <w:u w:val="single"/>
    </w:rPr>
  </w:style>
  <w:style w:type="paragraph" w:customStyle="1" w:styleId="AHeader1">
    <w:name w:val="AHeader 1"/>
    <w:basedOn w:val="Normln"/>
    <w:rsid w:val="008835CE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835CE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835CE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835CE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835CE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835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7D3CB3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7D3CB3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3C7654"/>
    <w:rPr>
      <w:b/>
      <w:bCs/>
    </w:rPr>
  </w:style>
  <w:style w:type="character" w:customStyle="1" w:styleId="TextkomenteChar">
    <w:name w:val="Text komentáře Char"/>
    <w:link w:val="Textkomente"/>
    <w:rsid w:val="003C7654"/>
    <w:rPr>
      <w:lang w:eastAsia="en-US"/>
    </w:rPr>
  </w:style>
  <w:style w:type="character" w:customStyle="1" w:styleId="PedmtkomenteChar">
    <w:name w:val="Předmět komentáře Char"/>
    <w:link w:val="Pedmtkomente"/>
    <w:rsid w:val="003C7654"/>
    <w:rPr>
      <w:b/>
      <w:bCs/>
      <w:lang w:eastAsia="en-US"/>
    </w:rPr>
  </w:style>
  <w:style w:type="paragraph" w:customStyle="1" w:styleId="BodytextAgency">
    <w:name w:val="Body text (Agency)"/>
    <w:basedOn w:val="Normln"/>
    <w:link w:val="BodytextAgencyChar"/>
    <w:qFormat/>
    <w:rsid w:val="00C7546F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C7546F"/>
    <w:rPr>
      <w:rFonts w:ascii="Verdana" w:eastAsia="Verdana" w:hAnsi="Verdana" w:cs="Verdan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8" ma:contentTypeDescription="Ein neues Dokument erstellen." ma:contentTypeScope="" ma:versionID="a43f3c3baa696ba65a19579f3ff58158">
  <xsd:schema xmlns:xsd="http://www.w3.org/2001/XMLSchema" xmlns:xs="http://www.w3.org/2001/XMLSchema" xmlns:p="http://schemas.microsoft.com/office/2006/metadata/properties" xmlns:ns2="475dbe14-e6e6-4e48-9d0c-f2238cd72264" xmlns:ns3="0fa7ed56-613c-4591-82d0-5d1e7e244400" targetNamespace="http://schemas.microsoft.com/office/2006/metadata/properties" ma:root="true" ma:fieldsID="625e178465752ee3e3a95c5fcdb993e3" ns2:_="" ns3:_="">
    <xsd:import namespace="475dbe14-e6e6-4e48-9d0c-f2238cd72264"/>
    <xsd:import namespace="0fa7ed56-613c-4591-82d0-5d1e7e24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9D06-CF28-41C4-8256-9810FB7BA0BF}">
  <ds:schemaRefs>
    <ds:schemaRef ds:uri="http://schemas.microsoft.com/office/2006/metadata/properties"/>
    <ds:schemaRef ds:uri="http://schemas.microsoft.com/office/infopath/2007/PartnerControls"/>
    <ds:schemaRef ds:uri="475dbe14-e6e6-4e48-9d0c-f2238cd72264"/>
  </ds:schemaRefs>
</ds:datastoreItem>
</file>

<file path=customXml/itemProps2.xml><?xml version="1.0" encoding="utf-8"?>
<ds:datastoreItem xmlns:ds="http://schemas.openxmlformats.org/officeDocument/2006/customXml" ds:itemID="{EF6041F7-7C11-4FAF-AACC-24068E8F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F87F3-6591-4C7F-B704-A40F26218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1623</Words>
  <Characters>9579</Characters>
  <Application>Microsoft Office Word</Application>
  <DocSecurity>0</DocSecurity>
  <Lines>79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Morávková Věra</dc:creator>
  <cp:keywords/>
  <cp:lastModifiedBy>Wojtylová Jana</cp:lastModifiedBy>
  <cp:revision>4</cp:revision>
  <cp:lastPrinted>2020-02-27T09:53:00Z</cp:lastPrinted>
  <dcterms:created xsi:type="dcterms:W3CDTF">2021-11-16T17:37:00Z</dcterms:created>
  <dcterms:modified xsi:type="dcterms:W3CDTF">2021-11-25T08:17:00Z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