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D4E5" w14:textId="77777777" w:rsidR="006F3355" w:rsidRPr="006F3355" w:rsidRDefault="006F3355" w:rsidP="006D16DB">
      <w:pPr>
        <w:widowControl w:val="0"/>
        <w:rPr>
          <w:rFonts w:eastAsia="PMingLiU"/>
          <w:b/>
        </w:rPr>
      </w:pPr>
    </w:p>
    <w:p w14:paraId="56AC35A0" w14:textId="77777777" w:rsidR="006F3355" w:rsidRPr="006F3355" w:rsidRDefault="006F3355" w:rsidP="006D16DB">
      <w:pPr>
        <w:widowControl w:val="0"/>
        <w:ind w:left="0" w:firstLine="0"/>
        <w:rPr>
          <w:rFonts w:eastAsia="PMingLiU"/>
          <w:b/>
        </w:rPr>
      </w:pPr>
    </w:p>
    <w:p w14:paraId="27920C33" w14:textId="77777777" w:rsidR="006F3355" w:rsidRPr="006F3355" w:rsidRDefault="006F3355" w:rsidP="006D16DB">
      <w:pPr>
        <w:widowControl w:val="0"/>
        <w:ind w:left="0" w:firstLine="0"/>
        <w:rPr>
          <w:rFonts w:eastAsia="PMingLiU"/>
          <w:b/>
        </w:rPr>
      </w:pPr>
    </w:p>
    <w:p w14:paraId="28EAC889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21BF899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61CF4B4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FE45F2D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27242D9F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31F6F25F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9BCF68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14ABF50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7B9A15DC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14582CB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42B798E9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8720374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8FB46B0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AD3CE12" w14:textId="77777777" w:rsid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7A952CE0" w14:textId="77777777" w:rsidR="00390848" w:rsidRDefault="00390848" w:rsidP="006D16DB">
      <w:pPr>
        <w:widowControl w:val="0"/>
        <w:tabs>
          <w:tab w:val="left" w:pos="567"/>
        </w:tabs>
        <w:rPr>
          <w:rFonts w:eastAsia="PMingLiU"/>
        </w:rPr>
      </w:pPr>
    </w:p>
    <w:p w14:paraId="47E79140" w14:textId="77777777" w:rsidR="00390848" w:rsidRPr="006F3355" w:rsidRDefault="00390848" w:rsidP="006D16DB">
      <w:pPr>
        <w:widowControl w:val="0"/>
        <w:tabs>
          <w:tab w:val="left" w:pos="567"/>
        </w:tabs>
        <w:rPr>
          <w:rFonts w:eastAsia="PMingLiU"/>
        </w:rPr>
      </w:pPr>
    </w:p>
    <w:p w14:paraId="19BC121A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F0F3EB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6E5F96D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F9EA99C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24DD8570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jc w:val="center"/>
        <w:outlineLvl w:val="0"/>
        <w:rPr>
          <w:rFonts w:eastAsia="PMingLiU"/>
          <w:b/>
          <w:szCs w:val="24"/>
        </w:rPr>
      </w:pPr>
      <w:r w:rsidRPr="006F3355">
        <w:rPr>
          <w:rFonts w:eastAsia="PMingLiU"/>
          <w:b/>
          <w:szCs w:val="24"/>
        </w:rPr>
        <w:t>B. PŘÍBALOVÁ INFORMACE</w:t>
      </w:r>
    </w:p>
    <w:p w14:paraId="6154E344" w14:textId="77777777" w:rsidR="006F3355" w:rsidRPr="006F3355" w:rsidRDefault="006F3355" w:rsidP="006D16DB">
      <w:pPr>
        <w:widowControl w:val="0"/>
        <w:ind w:left="0" w:firstLine="0"/>
        <w:jc w:val="center"/>
        <w:rPr>
          <w:rFonts w:eastAsia="PMingLiU"/>
          <w:b/>
          <w:szCs w:val="24"/>
        </w:rPr>
      </w:pPr>
      <w:r w:rsidRPr="006F3355">
        <w:rPr>
          <w:rFonts w:eastAsia="PMingLiU"/>
        </w:rPr>
        <w:br w:type="page"/>
      </w:r>
      <w:r w:rsidRPr="006F3355">
        <w:rPr>
          <w:rFonts w:eastAsia="PMingLiU"/>
          <w:b/>
          <w:szCs w:val="24"/>
        </w:rPr>
        <w:lastRenderedPageBreak/>
        <w:t>PŘÍBALOVÁ INFORMACE:</w:t>
      </w:r>
    </w:p>
    <w:p w14:paraId="109F8FC8" w14:textId="77777777" w:rsidR="006F3355" w:rsidRPr="006F3355" w:rsidRDefault="006F3355" w:rsidP="006D16DB">
      <w:pPr>
        <w:widowControl w:val="0"/>
        <w:tabs>
          <w:tab w:val="left" w:pos="567"/>
        </w:tabs>
        <w:jc w:val="center"/>
        <w:rPr>
          <w:rFonts w:eastAsia="PMingLiU"/>
          <w:b/>
          <w:bCs/>
        </w:rPr>
      </w:pPr>
      <w:proofErr w:type="spellStart"/>
      <w:r w:rsidRPr="006F3355">
        <w:rPr>
          <w:rFonts w:eastAsia="PMingLiU"/>
          <w:b/>
          <w:bCs/>
        </w:rPr>
        <w:t>ReproCyc</w:t>
      </w:r>
      <w:proofErr w:type="spellEnd"/>
      <w:r w:rsidRPr="006F3355">
        <w:rPr>
          <w:rFonts w:eastAsia="PMingLiU"/>
          <w:b/>
          <w:bCs/>
        </w:rPr>
        <w:t xml:space="preserve"> PRRS EU </w:t>
      </w:r>
      <w:proofErr w:type="spellStart"/>
      <w:r w:rsidRPr="006F3355">
        <w:rPr>
          <w:rFonts w:eastAsia="PMingLiU"/>
          <w:b/>
          <w:bCs/>
        </w:rPr>
        <w:t>lyofilizát</w:t>
      </w:r>
      <w:proofErr w:type="spellEnd"/>
      <w:r w:rsidRPr="006F3355">
        <w:rPr>
          <w:rFonts w:eastAsia="PMingLiU"/>
          <w:b/>
          <w:bCs/>
        </w:rPr>
        <w:t xml:space="preserve"> a rozpouštědlo pro injekční suspenzi pro prasata</w:t>
      </w:r>
    </w:p>
    <w:p w14:paraId="545BAA9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BAC793C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1.</w:t>
      </w:r>
      <w:r w:rsidRPr="006F3355">
        <w:rPr>
          <w:rFonts w:eastAsia="PMingLiU"/>
          <w:b/>
          <w:szCs w:val="24"/>
        </w:rPr>
        <w:tab/>
        <w:t>JMÉNO A ADRESA DRŽITELE ROZHODNUTÍ O REGISTRACI A DRŽITELE POVOLENÍ K VÝROBĚ ODPOVĚDNÉHO ZA UVOLNĚNÍ ŠARŽE, POKUD SE NESHODUJE</w:t>
      </w:r>
    </w:p>
    <w:p w14:paraId="02B3E1D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49EBD64A" w14:textId="77777777" w:rsidR="006F3355" w:rsidRPr="006F3355" w:rsidRDefault="006F3355" w:rsidP="006D16DB">
      <w:pPr>
        <w:tabs>
          <w:tab w:val="left" w:pos="567"/>
        </w:tabs>
        <w:spacing w:line="260" w:lineRule="exact"/>
        <w:ind w:left="0" w:firstLine="0"/>
        <w:rPr>
          <w:rFonts w:eastAsia="PMingLiU"/>
          <w:iCs/>
        </w:rPr>
      </w:pPr>
      <w:r w:rsidRPr="006F3355">
        <w:rPr>
          <w:rFonts w:eastAsia="PMingLiU"/>
          <w:iCs/>
          <w:u w:val="single"/>
        </w:rPr>
        <w:t>Držitel rozhodnutí o registraci a výrobce odpovědný za uvolnění šarže:</w:t>
      </w:r>
    </w:p>
    <w:p w14:paraId="77889EE9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proofErr w:type="spellStart"/>
      <w:r w:rsidRPr="006F3355">
        <w:rPr>
          <w:rFonts w:eastAsia="PMingLiU"/>
          <w:szCs w:val="24"/>
        </w:rPr>
        <w:t>Boehringer</w:t>
      </w:r>
      <w:proofErr w:type="spellEnd"/>
      <w:r w:rsidRPr="006F3355">
        <w:rPr>
          <w:rFonts w:eastAsia="PMingLiU"/>
          <w:szCs w:val="24"/>
        </w:rPr>
        <w:t xml:space="preserve"> </w:t>
      </w:r>
      <w:proofErr w:type="spellStart"/>
      <w:r w:rsidRPr="006F3355">
        <w:rPr>
          <w:rFonts w:eastAsia="PMingLiU"/>
          <w:szCs w:val="24"/>
        </w:rPr>
        <w:t>Ingelheim</w:t>
      </w:r>
      <w:proofErr w:type="spellEnd"/>
      <w:r w:rsidRPr="006F3355">
        <w:rPr>
          <w:rFonts w:eastAsia="PMingLiU"/>
          <w:szCs w:val="24"/>
        </w:rPr>
        <w:t xml:space="preserve"> </w:t>
      </w:r>
      <w:proofErr w:type="spellStart"/>
      <w:r w:rsidRPr="006F3355">
        <w:rPr>
          <w:rFonts w:eastAsia="PMingLiU"/>
          <w:szCs w:val="24"/>
        </w:rPr>
        <w:t>Vetmedica</w:t>
      </w:r>
      <w:proofErr w:type="spellEnd"/>
      <w:r w:rsidRPr="006F3355">
        <w:rPr>
          <w:rFonts w:eastAsia="PMingLiU"/>
          <w:szCs w:val="24"/>
        </w:rPr>
        <w:t xml:space="preserve"> </w:t>
      </w:r>
      <w:proofErr w:type="spellStart"/>
      <w:r w:rsidRPr="006F3355">
        <w:rPr>
          <w:rFonts w:eastAsia="PMingLiU"/>
          <w:szCs w:val="24"/>
        </w:rPr>
        <w:t>GmbH</w:t>
      </w:r>
      <w:proofErr w:type="spellEnd"/>
    </w:p>
    <w:p w14:paraId="4F45532B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 xml:space="preserve">55216 </w:t>
      </w:r>
      <w:proofErr w:type="spellStart"/>
      <w:r w:rsidRPr="006F3355">
        <w:rPr>
          <w:rFonts w:eastAsia="PMingLiU"/>
          <w:szCs w:val="24"/>
        </w:rPr>
        <w:t>Ingelheim</w:t>
      </w:r>
      <w:proofErr w:type="spellEnd"/>
      <w:r w:rsidRPr="006F3355">
        <w:rPr>
          <w:rFonts w:eastAsia="PMingLiU"/>
          <w:szCs w:val="24"/>
        </w:rPr>
        <w:t>/</w:t>
      </w:r>
      <w:proofErr w:type="spellStart"/>
      <w:r w:rsidRPr="006F3355">
        <w:rPr>
          <w:rFonts w:eastAsia="PMingLiU"/>
          <w:szCs w:val="24"/>
        </w:rPr>
        <w:t>Rhein</w:t>
      </w:r>
      <w:proofErr w:type="spellEnd"/>
    </w:p>
    <w:p w14:paraId="319482A5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Německo</w:t>
      </w:r>
    </w:p>
    <w:p w14:paraId="2964CE9B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/>
        </w:rPr>
      </w:pPr>
    </w:p>
    <w:p w14:paraId="1B56E1E8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/>
        </w:rPr>
      </w:pPr>
    </w:p>
    <w:p w14:paraId="6F2553B3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2.</w:t>
      </w:r>
      <w:r w:rsidRPr="006F3355">
        <w:rPr>
          <w:rFonts w:eastAsia="PMingLiU"/>
          <w:b/>
          <w:szCs w:val="24"/>
        </w:rPr>
        <w:tab/>
        <w:t>NÁZEV VETERINÁRNÍHO LÉČIVÉHO PŘÍPRAVKU</w:t>
      </w:r>
    </w:p>
    <w:p w14:paraId="0608F2BE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</w:p>
    <w:p w14:paraId="2055081D" w14:textId="77777777" w:rsidR="006F3355" w:rsidRPr="006F3355" w:rsidRDefault="006F3355" w:rsidP="006D16DB">
      <w:pPr>
        <w:widowControl w:val="0"/>
        <w:tabs>
          <w:tab w:val="left" w:pos="0"/>
        </w:tabs>
        <w:ind w:left="0" w:firstLine="0"/>
        <w:rPr>
          <w:rFonts w:eastAsia="PMingLiU"/>
        </w:rPr>
      </w:pPr>
      <w:proofErr w:type="spellStart"/>
      <w:r w:rsidRPr="006F3355">
        <w:rPr>
          <w:rFonts w:eastAsia="PMingLiU"/>
        </w:rPr>
        <w:t>ReproCyc</w:t>
      </w:r>
      <w:proofErr w:type="spellEnd"/>
      <w:r w:rsidRPr="006F3355">
        <w:rPr>
          <w:rFonts w:eastAsia="PMingLiU"/>
        </w:rPr>
        <w:t xml:space="preserve"> PRRS EU </w:t>
      </w:r>
      <w:proofErr w:type="spellStart"/>
      <w:r w:rsidRPr="006F3355">
        <w:rPr>
          <w:rFonts w:eastAsia="PMingLiU"/>
        </w:rPr>
        <w:t>lyofilizát</w:t>
      </w:r>
      <w:proofErr w:type="spellEnd"/>
      <w:r w:rsidRPr="006F3355">
        <w:rPr>
          <w:rFonts w:eastAsia="PMingLiU"/>
        </w:rPr>
        <w:t xml:space="preserve"> a rozpouštědlo pro injekční suspenzi pro prasata</w:t>
      </w:r>
    </w:p>
    <w:p w14:paraId="79251700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EF04C5E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3AE853F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3.</w:t>
      </w:r>
      <w:r w:rsidRPr="006F3355">
        <w:rPr>
          <w:rFonts w:eastAsia="PMingLiU"/>
          <w:b/>
          <w:szCs w:val="24"/>
        </w:rPr>
        <w:tab/>
        <w:t>OBSAH LÉČIVÝCH A OSTATNÍCH LÁTEK</w:t>
      </w:r>
    </w:p>
    <w:p w14:paraId="593A863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353C055C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r w:rsidRPr="006F3355">
        <w:rPr>
          <w:rFonts w:eastAsia="PMingLiU"/>
        </w:rPr>
        <w:t>Každá dávka (2 ml) obsahuje:</w:t>
      </w:r>
    </w:p>
    <w:p w14:paraId="5AA66D4B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r w:rsidRPr="006F3355">
        <w:rPr>
          <w:rFonts w:eastAsia="PMingLiU"/>
        </w:rPr>
        <w:t xml:space="preserve">Živý </w:t>
      </w:r>
      <w:proofErr w:type="spellStart"/>
      <w:r w:rsidRPr="006F3355">
        <w:rPr>
          <w:rFonts w:eastAsia="PMingLiU"/>
        </w:rPr>
        <w:t>atenuovaný</w:t>
      </w:r>
      <w:proofErr w:type="spellEnd"/>
      <w:r w:rsidRPr="006F3355">
        <w:rPr>
          <w:rFonts w:eastAsia="PMingLiU"/>
        </w:rPr>
        <w:t xml:space="preserve"> virus reprodukčního a respiratorního syndromu prasat (PRRSV), kmen 94881 (genotyp 1): 10</w:t>
      </w:r>
      <w:r w:rsidRPr="006F3355">
        <w:rPr>
          <w:rFonts w:eastAsia="PMingLiU"/>
          <w:position w:val="4"/>
          <w:szCs w:val="22"/>
          <w:vertAlign w:val="superscript"/>
        </w:rPr>
        <w:t>3,</w:t>
      </w:r>
      <w:proofErr w:type="gramStart"/>
      <w:r w:rsidRPr="006F3355">
        <w:rPr>
          <w:rFonts w:eastAsia="PMingLiU"/>
          <w:position w:val="4"/>
          <w:szCs w:val="22"/>
          <w:vertAlign w:val="superscript"/>
        </w:rPr>
        <w:t xml:space="preserve">9 </w:t>
      </w:r>
      <w:r w:rsidRPr="006F3355">
        <w:rPr>
          <w:rFonts w:eastAsia="PMingLiU"/>
          <w:szCs w:val="22"/>
        </w:rPr>
        <w:t xml:space="preserve"> -</w:t>
      </w:r>
      <w:proofErr w:type="gramEnd"/>
      <w:r w:rsidRPr="006F3355">
        <w:rPr>
          <w:rFonts w:eastAsia="PMingLiU"/>
          <w:szCs w:val="22"/>
        </w:rPr>
        <w:t xml:space="preserve"> 10</w:t>
      </w:r>
      <w:r w:rsidRPr="006F3355">
        <w:rPr>
          <w:rFonts w:eastAsia="PMingLiU"/>
          <w:position w:val="4"/>
          <w:szCs w:val="22"/>
          <w:vertAlign w:val="superscript"/>
        </w:rPr>
        <w:t xml:space="preserve">7,0 </w:t>
      </w:r>
      <w:r w:rsidRPr="006F3355">
        <w:rPr>
          <w:rFonts w:eastAsia="PMingLiU"/>
          <w:szCs w:val="22"/>
        </w:rPr>
        <w:t>TCID</w:t>
      </w:r>
      <w:r w:rsidRPr="006F3355">
        <w:rPr>
          <w:rFonts w:eastAsia="PMingLiU"/>
          <w:position w:val="-4"/>
          <w:szCs w:val="22"/>
          <w:vertAlign w:val="subscript"/>
        </w:rPr>
        <w:t>50</w:t>
      </w:r>
      <w:r w:rsidRPr="006F3355">
        <w:rPr>
          <w:rFonts w:eastAsia="PMingLiU"/>
          <w:position w:val="-4"/>
          <w:szCs w:val="22"/>
          <w:vertAlign w:val="superscript"/>
        </w:rPr>
        <w:t>*</w:t>
      </w:r>
    </w:p>
    <w:p w14:paraId="3DBBAC0A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r w:rsidRPr="006F3355">
        <w:rPr>
          <w:rFonts w:eastAsia="PMingLiU"/>
        </w:rPr>
        <w:t>*</w:t>
      </w:r>
      <w:proofErr w:type="gramStart"/>
      <w:r w:rsidRPr="006F3355">
        <w:rPr>
          <w:rFonts w:eastAsia="PMingLiU"/>
        </w:rPr>
        <w:t>50%</w:t>
      </w:r>
      <w:proofErr w:type="gramEnd"/>
      <w:r w:rsidRPr="006F3355">
        <w:rPr>
          <w:rFonts w:eastAsia="PMingLiU"/>
        </w:rPr>
        <w:t xml:space="preserve"> infekční dávka pro tkáňovou kulturu</w:t>
      </w:r>
    </w:p>
    <w:p w14:paraId="63C3D4A5" w14:textId="77777777" w:rsidR="006F3355" w:rsidRPr="006F3355" w:rsidRDefault="006F3355" w:rsidP="006D16DB">
      <w:pPr>
        <w:widowControl w:val="0"/>
        <w:ind w:left="0" w:firstLine="0"/>
        <w:rPr>
          <w:rFonts w:eastAsia="PMingLiU"/>
          <w:szCs w:val="22"/>
        </w:rPr>
      </w:pPr>
    </w:p>
    <w:p w14:paraId="6AC1B60D" w14:textId="77777777" w:rsidR="006F3355" w:rsidRPr="006F3355" w:rsidRDefault="006F3355" w:rsidP="006D16DB">
      <w:pPr>
        <w:widowControl w:val="0"/>
        <w:tabs>
          <w:tab w:val="left" w:pos="3402"/>
        </w:tabs>
        <w:ind w:left="0" w:firstLine="0"/>
        <w:rPr>
          <w:rFonts w:eastAsia="PMingLiU"/>
          <w:szCs w:val="22"/>
          <w:vertAlign w:val="superscript"/>
        </w:rPr>
      </w:pPr>
      <w:r w:rsidRPr="006F3355">
        <w:rPr>
          <w:rFonts w:eastAsia="PMingLiU"/>
        </w:rPr>
        <w:t xml:space="preserve">Adjuvans: </w:t>
      </w:r>
      <w:proofErr w:type="spellStart"/>
      <w:r w:rsidRPr="006F3355">
        <w:rPr>
          <w:rFonts w:eastAsia="PMingLiU"/>
        </w:rPr>
        <w:t>Karbomer</w:t>
      </w:r>
      <w:r w:rsidR="00AF2A25">
        <w:rPr>
          <w:rFonts w:eastAsia="PMingLiU"/>
        </w:rPr>
        <w:t>y</w:t>
      </w:r>
      <w:proofErr w:type="spellEnd"/>
      <w:r w:rsidRPr="006F3355">
        <w:rPr>
          <w:rFonts w:eastAsia="PMingLiU"/>
        </w:rPr>
        <w:t xml:space="preserve"> 2,0 mg</w:t>
      </w:r>
    </w:p>
    <w:p w14:paraId="2471F115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</w:p>
    <w:p w14:paraId="423A7CBC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proofErr w:type="spellStart"/>
      <w:r w:rsidRPr="006F3355">
        <w:rPr>
          <w:rFonts w:eastAsia="PMingLiU"/>
        </w:rPr>
        <w:t>Lyofilizát</w:t>
      </w:r>
      <w:proofErr w:type="spellEnd"/>
      <w:r w:rsidRPr="006F3355">
        <w:rPr>
          <w:rFonts w:eastAsia="PMingLiU"/>
        </w:rPr>
        <w:t>: špinavě bílý až mléčně šedý</w:t>
      </w:r>
    </w:p>
    <w:p w14:paraId="58D0046C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r w:rsidRPr="006F3355">
        <w:rPr>
          <w:rFonts w:eastAsia="PMingLiU"/>
        </w:rPr>
        <w:t>Rozpouštědlo: čirý, bezbarvý roztok</w:t>
      </w:r>
    </w:p>
    <w:p w14:paraId="3F46920E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</w:p>
    <w:p w14:paraId="115DEF5E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</w:p>
    <w:p w14:paraId="5BB4992D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4.</w:t>
      </w:r>
      <w:r w:rsidRPr="006F3355">
        <w:rPr>
          <w:rFonts w:eastAsia="PMingLiU"/>
          <w:b/>
          <w:szCs w:val="24"/>
        </w:rPr>
        <w:tab/>
        <w:t>INDIKACE</w:t>
      </w:r>
    </w:p>
    <w:p w14:paraId="3A653DBF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8FE9F87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K aktivní imunizaci chovných prasnic a prasniček z farem, na kterých se vyskytuje evropský subtyp viru reprodukčního a respiratorního syndromu prasat (PRRSV, genotyp 1), za účelem snížení doby trvání virémie, podílu viremických prasniček/prasnic a virové zátěže v krvi po expozici PRRSV, jak bylo prokázáno v experimentálních podmínkách.</w:t>
      </w:r>
    </w:p>
    <w:p w14:paraId="3B3AE166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5CE5DA59" w14:textId="77777777" w:rsidR="006F3355" w:rsidRPr="006F3355" w:rsidRDefault="006F3355" w:rsidP="00746747">
      <w:pPr>
        <w:widowControl w:val="0"/>
        <w:tabs>
          <w:tab w:val="left" w:pos="2835"/>
        </w:tabs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Nástup imunity:</w:t>
      </w:r>
      <w:r w:rsidRPr="006F3355">
        <w:rPr>
          <w:rFonts w:eastAsia="PMingLiU"/>
        </w:rPr>
        <w:tab/>
        <w:t>4 týdny</w:t>
      </w:r>
    </w:p>
    <w:p w14:paraId="78F66F6E" w14:textId="77777777" w:rsidR="006F3355" w:rsidRPr="006F3355" w:rsidRDefault="006F3355" w:rsidP="00746747">
      <w:pPr>
        <w:widowControl w:val="0"/>
        <w:tabs>
          <w:tab w:val="left" w:pos="2835"/>
        </w:tabs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Doba trvání imunity:</w:t>
      </w:r>
      <w:r w:rsidRPr="006F3355">
        <w:rPr>
          <w:rFonts w:eastAsia="PMingLiU"/>
        </w:rPr>
        <w:tab/>
        <w:t>17 týdnů</w:t>
      </w:r>
    </w:p>
    <w:p w14:paraId="211DCCC5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0F455425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Vakcinace chovných prasnic a prasniček dle doporučeného schématu popsaného v bodě „Dávkování a způsob podání“ snižuje nepříznivé reprodukční poruchy spojené s PRRSV.</w:t>
      </w:r>
    </w:p>
    <w:p w14:paraId="71B9DA38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01F57AD4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V experimentálních podmínkách bylo kromě toho prokázáno snížení přestupu viru přes placentu po vystavení infekci. U selat od vakcinovaných prasnic bylo dále v průběhu prvních 20 dní života prokázáno snížení negativního dopadu infekce virem PRRS (mortalita, klinické znaky a hmotnostní přírůstek).</w:t>
      </w:r>
    </w:p>
    <w:p w14:paraId="4175BA75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5C7EF11F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</w:p>
    <w:p w14:paraId="0CF52235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5.</w:t>
      </w:r>
      <w:r w:rsidRPr="006F3355">
        <w:rPr>
          <w:rFonts w:eastAsia="PMingLiU"/>
          <w:b/>
          <w:szCs w:val="24"/>
        </w:rPr>
        <w:tab/>
        <w:t xml:space="preserve">KONTRAINDIKACE </w:t>
      </w:r>
    </w:p>
    <w:p w14:paraId="332E0CF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8B4450A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Nepoužívat v případě přecitlivělosti na léčivou látku, nebo na některou z pomocných látek.</w:t>
      </w:r>
    </w:p>
    <w:p w14:paraId="06C933EE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Nepoužívat u kanců, kteří produkují semeno pro stáda, ve kterých se nikdy PRRS neobjevil, protože PRRSV se může vylučovat semenem.</w:t>
      </w:r>
    </w:p>
    <w:p w14:paraId="6FD9D3C7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  <w:szCs w:val="24"/>
        </w:rPr>
        <w:t xml:space="preserve">Nepoužívat ve stádech, ve kterých se </w:t>
      </w:r>
      <w:r w:rsidRPr="006F3355">
        <w:rPr>
          <w:rFonts w:eastAsia="PMingLiU"/>
        </w:rPr>
        <w:t xml:space="preserve">nikdy </w:t>
      </w:r>
      <w:r w:rsidRPr="006F3355">
        <w:rPr>
          <w:rFonts w:eastAsia="PMingLiU"/>
          <w:szCs w:val="24"/>
        </w:rPr>
        <w:t xml:space="preserve">PRRS neobjevil a ve kterých nebyla přítomnost PRRSV </w:t>
      </w:r>
      <w:r w:rsidRPr="006F3355">
        <w:rPr>
          <w:rFonts w:eastAsia="PMingLiU"/>
          <w:szCs w:val="24"/>
        </w:rPr>
        <w:lastRenderedPageBreak/>
        <w:t>prokázána za použití spolehlivých diagnostických metod.</w:t>
      </w:r>
    </w:p>
    <w:p w14:paraId="129E5A7A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001C46C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3ED955BA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6.</w:t>
      </w:r>
      <w:r w:rsidRPr="006F3355">
        <w:rPr>
          <w:rFonts w:eastAsia="PMingLiU"/>
          <w:b/>
          <w:szCs w:val="24"/>
        </w:rPr>
        <w:tab/>
        <w:t>NEŽÁDOUCÍ ÚČINKY</w:t>
      </w:r>
    </w:p>
    <w:p w14:paraId="32BA8907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</w:p>
    <w:p w14:paraId="39279DD2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Až 5 dní po vakcinaci se často objevuje přechodné zvýšení tělesné teploty (až o 2 °C nad fyziologické rozmezí). Teploty se vrací do normálního rozmezí bez další léčby během 1 až 4 dnů po zaznamenání maximálního teplotního nárůstu.</w:t>
      </w:r>
    </w:p>
    <w:p w14:paraId="3FDE57AF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4FD6989C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 xml:space="preserve">Po vakcinaci může být často pozorováno snížení chuti k příjmu potravy. </w:t>
      </w:r>
    </w:p>
    <w:p w14:paraId="76A96FCF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5D3361EA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 xml:space="preserve">Často může být pozorován velmi minimální otok nebo zarudnutí kůže v místě injekce. Tyto příznaky (o velikosti až </w:t>
      </w:r>
      <w:r w:rsidR="009D6DD1">
        <w:rPr>
          <w:rFonts w:eastAsia="PMingLiU"/>
        </w:rPr>
        <w:t>10,5</w:t>
      </w:r>
      <w:r w:rsidRPr="006F3355">
        <w:rPr>
          <w:rFonts w:eastAsia="PMingLiU"/>
        </w:rPr>
        <w:t xml:space="preserve"> cm, ale obvykle </w:t>
      </w:r>
      <w:proofErr w:type="gramStart"/>
      <w:r w:rsidRPr="006F3355">
        <w:rPr>
          <w:rFonts w:eastAsia="PMingLiU"/>
        </w:rPr>
        <w:t>&lt; 2</w:t>
      </w:r>
      <w:proofErr w:type="gramEnd"/>
      <w:r w:rsidRPr="006F3355">
        <w:rPr>
          <w:rFonts w:eastAsia="PMingLiU"/>
        </w:rPr>
        <w:t xml:space="preserve"> cm) jsou přechodné a vymizí během krátké doby (maximálně do 5 dnů, ale obvykle do 2 dnů) bez léčby. </w:t>
      </w:r>
    </w:p>
    <w:p w14:paraId="174048D1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1836489A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Neobvykle může být v den vakcinace pozorováno polehávání a zrychlené dýchání. Tyto příznaky vymizí spontánně bez léčby.</w:t>
      </w:r>
    </w:p>
    <w:p w14:paraId="758C0B24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1894640F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Četnost nežádoucích účinků je charakterizována podle následujících pravidel:</w:t>
      </w:r>
    </w:p>
    <w:p w14:paraId="0FCF5038" w14:textId="77777777" w:rsidR="006F3355" w:rsidRPr="006F3355" w:rsidRDefault="006D16DB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>
        <w:rPr>
          <w:rFonts w:eastAsia="PMingLiU"/>
          <w:szCs w:val="22"/>
        </w:rPr>
        <w:t xml:space="preserve">- </w:t>
      </w:r>
      <w:r w:rsidR="006F3355" w:rsidRPr="006F3355">
        <w:rPr>
          <w:rFonts w:eastAsia="PMingLiU"/>
          <w:szCs w:val="22"/>
        </w:rPr>
        <w:t>velmi časté (nežádoucí účinky se projevily u více než 1 z 10 ošetřených zvířat)</w:t>
      </w:r>
    </w:p>
    <w:p w14:paraId="1F4533BC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-</w:t>
      </w:r>
      <w:r w:rsidR="006D16DB">
        <w:rPr>
          <w:rFonts w:eastAsia="PMingLiU"/>
          <w:szCs w:val="22"/>
        </w:rPr>
        <w:t xml:space="preserve"> </w:t>
      </w:r>
      <w:r w:rsidRPr="006F3355">
        <w:rPr>
          <w:rFonts w:eastAsia="PMingLiU"/>
          <w:szCs w:val="22"/>
        </w:rPr>
        <w:t>časté (u více než 1, ale méně než 10 ze 100 ošetřených zvířat)</w:t>
      </w:r>
    </w:p>
    <w:p w14:paraId="3CDE8066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-</w:t>
      </w:r>
      <w:r w:rsidR="006D16DB">
        <w:rPr>
          <w:rFonts w:eastAsia="PMingLiU"/>
          <w:szCs w:val="22"/>
        </w:rPr>
        <w:t xml:space="preserve"> </w:t>
      </w:r>
      <w:r w:rsidRPr="006F3355">
        <w:rPr>
          <w:rFonts w:eastAsia="PMingLiU"/>
          <w:szCs w:val="22"/>
        </w:rPr>
        <w:t>neobvyklé (u více než 1, ale méně než 10 z 1000 ošetřených zvířat)</w:t>
      </w:r>
    </w:p>
    <w:p w14:paraId="3EF09F5F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-</w:t>
      </w:r>
      <w:r w:rsidR="006D16DB">
        <w:rPr>
          <w:rFonts w:eastAsia="PMingLiU"/>
          <w:szCs w:val="22"/>
        </w:rPr>
        <w:t xml:space="preserve"> </w:t>
      </w:r>
      <w:r w:rsidRPr="006F3355">
        <w:rPr>
          <w:rFonts w:eastAsia="PMingLiU"/>
          <w:szCs w:val="22"/>
        </w:rPr>
        <w:t>vzácné (u více než 1, ale méně než 10 z 10000 ošetřených zvířat)</w:t>
      </w:r>
    </w:p>
    <w:p w14:paraId="301EE2F1" w14:textId="77777777" w:rsidR="006F3355" w:rsidRPr="006F3355" w:rsidRDefault="006F3355" w:rsidP="00746747">
      <w:pPr>
        <w:widowControl w:val="0"/>
        <w:tabs>
          <w:tab w:val="left" w:pos="567"/>
        </w:tabs>
        <w:ind w:left="0" w:firstLine="0"/>
        <w:jc w:val="both"/>
        <w:rPr>
          <w:rFonts w:eastAsia="PMingLiU"/>
        </w:rPr>
      </w:pPr>
      <w:r w:rsidRPr="006F3355">
        <w:rPr>
          <w:rFonts w:eastAsia="PMingLiU"/>
          <w:szCs w:val="22"/>
        </w:rPr>
        <w:t>-</w:t>
      </w:r>
      <w:r w:rsidR="006D16DB">
        <w:rPr>
          <w:rFonts w:eastAsia="PMingLiU"/>
          <w:szCs w:val="22"/>
        </w:rPr>
        <w:t xml:space="preserve"> </w:t>
      </w:r>
      <w:r w:rsidRPr="006F3355">
        <w:rPr>
          <w:rFonts w:eastAsia="PMingLiU"/>
          <w:szCs w:val="22"/>
        </w:rPr>
        <w:t>velmi vzácné (u méně než 1 z 10000 ošetřených zvířat, včetně ojedinělých hlášení).</w:t>
      </w:r>
    </w:p>
    <w:p w14:paraId="2BF512D1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73DF988A" w14:textId="77777777" w:rsidR="006F3355" w:rsidRPr="006F3355" w:rsidRDefault="006F3355" w:rsidP="00746747">
      <w:pPr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14:paraId="63EBE44F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BA2A667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9D6B959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7.</w:t>
      </w:r>
      <w:r w:rsidRPr="006F3355">
        <w:rPr>
          <w:rFonts w:eastAsia="PMingLiU"/>
          <w:b/>
          <w:szCs w:val="24"/>
        </w:rPr>
        <w:tab/>
        <w:t>CÍLOVÝ DRUH ZVÍŘAT</w:t>
      </w:r>
    </w:p>
    <w:p w14:paraId="1D9175F5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7066FDAF" w14:textId="77777777" w:rsidR="006F3355" w:rsidRPr="006F3355" w:rsidRDefault="006F3355" w:rsidP="006D16DB">
      <w:pPr>
        <w:widowControl w:val="0"/>
        <w:ind w:left="0" w:firstLine="0"/>
        <w:rPr>
          <w:rFonts w:eastAsia="PMingLiU"/>
        </w:rPr>
      </w:pPr>
      <w:r w:rsidRPr="006F3355">
        <w:rPr>
          <w:rFonts w:eastAsia="PMingLiU"/>
        </w:rPr>
        <w:t xml:space="preserve">Prasata </w:t>
      </w:r>
    </w:p>
    <w:p w14:paraId="3A1F1FEE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718C2F4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BFBEE25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8.</w:t>
      </w:r>
      <w:r w:rsidRPr="006F3355">
        <w:rPr>
          <w:rFonts w:eastAsia="PMingLiU"/>
          <w:b/>
          <w:szCs w:val="24"/>
        </w:rPr>
        <w:tab/>
        <w:t xml:space="preserve">DÁVKOVÁNÍ PRO KAŽDÝ DRUH, CESTA(Y) A ZPŮSOB PODÁNÍ </w:t>
      </w:r>
    </w:p>
    <w:p w14:paraId="3AEBE3AC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  <w:u w:val="single"/>
        </w:rPr>
      </w:pPr>
    </w:p>
    <w:p w14:paraId="068A1C6C" w14:textId="77777777" w:rsidR="006F3355" w:rsidRP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  <w:u w:val="single"/>
        </w:rPr>
      </w:pPr>
      <w:r w:rsidRPr="006F3355">
        <w:rPr>
          <w:rFonts w:eastAsia="PMingLiU"/>
          <w:u w:val="single"/>
        </w:rPr>
        <w:t>Dávkování a způsob podání:</w:t>
      </w:r>
    </w:p>
    <w:p w14:paraId="7B711407" w14:textId="77777777" w:rsidR="006F3355" w:rsidRDefault="006F3355" w:rsidP="00746747">
      <w:pPr>
        <w:widowControl w:val="0"/>
        <w:tabs>
          <w:tab w:val="left" w:pos="567"/>
        </w:tabs>
        <w:jc w:val="both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>Jedna intramuskulární injekce jedné dávky (2 ml) bez ohledu na tělesnou hmotnost.</w:t>
      </w:r>
    </w:p>
    <w:p w14:paraId="3C1A449C" w14:textId="77777777" w:rsidR="00A0294E" w:rsidRPr="006F3355" w:rsidRDefault="00A0294E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56C6D615" w14:textId="77777777" w:rsidR="006F3355" w:rsidRPr="006F3355" w:rsidRDefault="006F3355" w:rsidP="00746747">
      <w:pPr>
        <w:widowControl w:val="0"/>
        <w:tabs>
          <w:tab w:val="left" w:pos="567"/>
        </w:tabs>
        <w:ind w:left="0" w:firstLine="0"/>
        <w:jc w:val="both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 xml:space="preserve">Pro rekonstituci přelijte celý obsah injekční lahvičky s rozpouštědlem do injekční lahvičky obsahující </w:t>
      </w:r>
      <w:proofErr w:type="spellStart"/>
      <w:r w:rsidRPr="006F3355">
        <w:rPr>
          <w:rFonts w:eastAsia="PMingLiU" w:cs="Arial"/>
          <w:szCs w:val="22"/>
        </w:rPr>
        <w:t>lyofilizát</w:t>
      </w:r>
      <w:proofErr w:type="spellEnd"/>
      <w:r w:rsidRPr="006F3355">
        <w:rPr>
          <w:rFonts w:eastAsia="PMingLiU" w:cs="Arial"/>
          <w:szCs w:val="22"/>
        </w:rPr>
        <w:t xml:space="preserve"> a rekonstituujte </w:t>
      </w:r>
      <w:proofErr w:type="spellStart"/>
      <w:r w:rsidRPr="006F3355">
        <w:rPr>
          <w:rFonts w:eastAsia="PMingLiU" w:cs="Arial"/>
          <w:szCs w:val="22"/>
        </w:rPr>
        <w:t>lyofilizát</w:t>
      </w:r>
      <w:proofErr w:type="spellEnd"/>
      <w:r w:rsidRPr="006F3355">
        <w:rPr>
          <w:rFonts w:eastAsia="PMingLiU" w:cs="Arial"/>
          <w:szCs w:val="22"/>
        </w:rPr>
        <w:t xml:space="preserve"> následovně: 10 dávek ve 20 ml, 50 dávek ve 100 ml a 100 dávek ve 200 ml rozpouštědla.</w:t>
      </w:r>
    </w:p>
    <w:p w14:paraId="250FD36D" w14:textId="77777777" w:rsidR="006F3355" w:rsidRDefault="006F3355" w:rsidP="00746747">
      <w:pPr>
        <w:widowControl w:val="0"/>
        <w:tabs>
          <w:tab w:val="left" w:pos="567"/>
        </w:tabs>
        <w:ind w:left="0" w:firstLine="0"/>
        <w:jc w:val="both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 xml:space="preserve">Zajistěte, aby se </w:t>
      </w:r>
      <w:proofErr w:type="spellStart"/>
      <w:r w:rsidRPr="006F3355">
        <w:rPr>
          <w:rFonts w:eastAsia="PMingLiU" w:cs="Arial"/>
          <w:szCs w:val="22"/>
        </w:rPr>
        <w:t>lyofilizát</w:t>
      </w:r>
      <w:proofErr w:type="spellEnd"/>
      <w:r w:rsidRPr="006F3355">
        <w:rPr>
          <w:rFonts w:eastAsia="PMingLiU" w:cs="Arial"/>
          <w:szCs w:val="22"/>
        </w:rPr>
        <w:t xml:space="preserve"> před podáním zcela rekonstituoval.</w:t>
      </w:r>
    </w:p>
    <w:p w14:paraId="6B2EB05F" w14:textId="77777777" w:rsidR="00A0294E" w:rsidRPr="00A0294E" w:rsidRDefault="00A0294E" w:rsidP="00746747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Vizuální vzhled po rekonstituci: čir</w:t>
      </w:r>
      <w:r w:rsidR="00073464">
        <w:rPr>
          <w:rFonts w:cs="Arial"/>
          <w:szCs w:val="22"/>
        </w:rPr>
        <w:t>á</w:t>
      </w:r>
      <w:r>
        <w:rPr>
          <w:rFonts w:cs="Arial"/>
          <w:szCs w:val="22"/>
        </w:rPr>
        <w:t>, bezbarv</w:t>
      </w:r>
      <w:r w:rsidR="00073464">
        <w:rPr>
          <w:rFonts w:cs="Arial"/>
          <w:szCs w:val="22"/>
        </w:rPr>
        <w:t>á suspenze</w:t>
      </w:r>
      <w:r>
        <w:rPr>
          <w:rFonts w:cs="Arial"/>
          <w:szCs w:val="22"/>
        </w:rPr>
        <w:t>.</w:t>
      </w:r>
    </w:p>
    <w:p w14:paraId="79311A0E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</w:p>
    <w:p w14:paraId="6BC17A81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  <w:u w:val="single"/>
        </w:rPr>
      </w:pPr>
      <w:r w:rsidRPr="006F3355">
        <w:rPr>
          <w:rFonts w:eastAsia="PMingLiU"/>
          <w:u w:val="single"/>
        </w:rPr>
        <w:t>Vakcinační schéma:</w:t>
      </w:r>
    </w:p>
    <w:p w14:paraId="78858498" w14:textId="77777777" w:rsidR="006F3355" w:rsidRPr="006F3355" w:rsidRDefault="006F3355" w:rsidP="00746747">
      <w:pPr>
        <w:widowControl w:val="0"/>
        <w:ind w:left="1701" w:hanging="1701"/>
        <w:jc w:val="both"/>
        <w:rPr>
          <w:rFonts w:eastAsia="PMingLiU"/>
        </w:rPr>
      </w:pPr>
      <w:r w:rsidRPr="006F3355">
        <w:rPr>
          <w:rFonts w:eastAsia="PMingLiU"/>
          <w:u w:val="single"/>
        </w:rPr>
        <w:t>Prasničky</w:t>
      </w:r>
      <w:r w:rsidRPr="006F3355">
        <w:rPr>
          <w:rFonts w:eastAsia="PMingLiU"/>
        </w:rPr>
        <w:t xml:space="preserve">: </w:t>
      </w:r>
      <w:r w:rsidRPr="006F3355">
        <w:rPr>
          <w:rFonts w:eastAsia="PMingLiU"/>
        </w:rPr>
        <w:tab/>
        <w:t>vakcinace k ochraně před PRRSV během březosti se doporučuje před začleněním do stáda prasnic v době 2 až 5 týdnů před inseminací. Prasničky je potom možné vakcinovat ve stejném vakcinačním programu jako stádo prasnic.</w:t>
      </w:r>
    </w:p>
    <w:p w14:paraId="353CC46A" w14:textId="137087A2" w:rsidR="006F3355" w:rsidRPr="006F3355" w:rsidRDefault="006F3355" w:rsidP="00746747">
      <w:pPr>
        <w:widowControl w:val="0"/>
        <w:ind w:left="1701" w:hanging="1701"/>
        <w:jc w:val="both"/>
        <w:rPr>
          <w:rFonts w:eastAsia="PMingLiU"/>
        </w:rPr>
      </w:pPr>
      <w:r w:rsidRPr="006F3355">
        <w:rPr>
          <w:rFonts w:eastAsia="PMingLiU"/>
          <w:u w:val="single"/>
        </w:rPr>
        <w:t>Prasnice</w:t>
      </w:r>
      <w:r w:rsidRPr="006F3355">
        <w:rPr>
          <w:rFonts w:eastAsia="PMingLiU"/>
        </w:rPr>
        <w:t xml:space="preserve">: </w:t>
      </w:r>
      <w:r w:rsidRPr="006F3355">
        <w:rPr>
          <w:rFonts w:eastAsia="PMingLiU"/>
        </w:rPr>
        <w:tab/>
      </w:r>
      <w:r w:rsidR="003E7C3A" w:rsidRPr="003E7C3A">
        <w:rPr>
          <w:rFonts w:eastAsia="PMingLiU"/>
        </w:rPr>
        <w:t>je doporučeno vakcinovat březí i jalové prasnice každé 3 až 4 měsíce.</w:t>
      </w:r>
    </w:p>
    <w:p w14:paraId="7747E076" w14:textId="77777777" w:rsid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1B7AF36C" w14:textId="77777777" w:rsidR="0027335C" w:rsidRPr="007B0465" w:rsidRDefault="0027335C" w:rsidP="00746747">
      <w:pPr>
        <w:widowControl w:val="0"/>
        <w:ind w:left="1695" w:hanging="1695"/>
        <w:jc w:val="both"/>
        <w:rPr>
          <w:u w:val="single"/>
        </w:rPr>
      </w:pPr>
      <w:r w:rsidRPr="007B0465">
        <w:rPr>
          <w:u w:val="single"/>
        </w:rPr>
        <w:t xml:space="preserve">Mísení s přípravkem </w:t>
      </w:r>
      <w:proofErr w:type="spellStart"/>
      <w:r w:rsidRPr="008B5C44">
        <w:rPr>
          <w:szCs w:val="22"/>
          <w:u w:val="single"/>
        </w:rPr>
        <w:t>ReproCyc</w:t>
      </w:r>
      <w:proofErr w:type="spellEnd"/>
      <w:r w:rsidRPr="008B5C44">
        <w:rPr>
          <w:szCs w:val="22"/>
          <w:u w:val="single"/>
        </w:rPr>
        <w:t xml:space="preserve"> </w:t>
      </w:r>
      <w:proofErr w:type="spellStart"/>
      <w:r w:rsidRPr="008B5C44">
        <w:rPr>
          <w:szCs w:val="22"/>
          <w:u w:val="single"/>
        </w:rPr>
        <w:t>ParvoFLEX</w:t>
      </w:r>
      <w:proofErr w:type="spellEnd"/>
      <w:r w:rsidRPr="008B5C44">
        <w:rPr>
          <w:szCs w:val="22"/>
          <w:u w:val="single"/>
        </w:rPr>
        <w:t>:</w:t>
      </w:r>
    </w:p>
    <w:p w14:paraId="56D94715" w14:textId="77777777" w:rsidR="0025416E" w:rsidRDefault="0025416E" w:rsidP="00746747">
      <w:pPr>
        <w:widowControl w:val="0"/>
        <w:ind w:left="0" w:firstLine="0"/>
        <w:jc w:val="both"/>
      </w:pPr>
      <w:r>
        <w:t xml:space="preserve">K rekonstituci </w:t>
      </w:r>
      <w:proofErr w:type="spellStart"/>
      <w:r>
        <w:t>lyofilizátu</w:t>
      </w:r>
      <w:proofErr w:type="spellEnd"/>
      <w:r>
        <w:t xml:space="preserve"> z jedné injekční lahvičky přípravku </w:t>
      </w:r>
      <w:proofErr w:type="spellStart"/>
      <w:r>
        <w:t>ReproCyc</w:t>
      </w:r>
      <w:proofErr w:type="spellEnd"/>
      <w:r>
        <w:t xml:space="preserve"> PRRS EU </w:t>
      </w:r>
      <w:r w:rsidR="00DC2C93">
        <w:t>je třeba</w:t>
      </w:r>
      <w:r>
        <w:t xml:space="preserve"> použít celý obsah jedné injekční lahvičky přípravku </w:t>
      </w:r>
      <w:proofErr w:type="spellStart"/>
      <w:r>
        <w:t>ReproCyc</w:t>
      </w:r>
      <w:proofErr w:type="spellEnd"/>
      <w:r>
        <w:t xml:space="preserve"> </w:t>
      </w:r>
      <w:proofErr w:type="spellStart"/>
      <w:r>
        <w:t>ParvoFLEX</w:t>
      </w:r>
      <w:proofErr w:type="spellEnd"/>
      <w:r>
        <w:t xml:space="preserve">. Přípravek </w:t>
      </w:r>
      <w:proofErr w:type="spellStart"/>
      <w:r>
        <w:t>ReproCyc</w:t>
      </w:r>
      <w:proofErr w:type="spellEnd"/>
      <w:r>
        <w:t xml:space="preserve"> </w:t>
      </w:r>
      <w:proofErr w:type="spellStart"/>
      <w:r>
        <w:t>ParvoFLEX</w:t>
      </w:r>
      <w:proofErr w:type="spellEnd"/>
      <w:r>
        <w:t xml:space="preserve"> nahrazuje rozpouštědlo </w:t>
      </w:r>
      <w:proofErr w:type="spellStart"/>
      <w:r>
        <w:t>ReproCyc</w:t>
      </w:r>
      <w:proofErr w:type="spellEnd"/>
      <w:r>
        <w:t xml:space="preserve"> PRRS EU.</w:t>
      </w:r>
    </w:p>
    <w:p w14:paraId="6888CA17" w14:textId="77777777" w:rsidR="0025416E" w:rsidRDefault="0025416E" w:rsidP="00746747">
      <w:pPr>
        <w:widowControl w:val="0"/>
        <w:jc w:val="both"/>
      </w:pPr>
      <w:r>
        <w:t xml:space="preserve">Před použitím se ujistěte, že je </w:t>
      </w:r>
      <w:proofErr w:type="spellStart"/>
      <w:r>
        <w:t>lyofilizát</w:t>
      </w:r>
      <w:proofErr w:type="spellEnd"/>
      <w:r>
        <w:t xml:space="preserve"> zcela rekonstituován.</w:t>
      </w:r>
    </w:p>
    <w:p w14:paraId="62BDCFE9" w14:textId="77777777" w:rsidR="0025416E" w:rsidRDefault="00DC2C93" w:rsidP="006D16DB">
      <w:pPr>
        <w:widowControl w:val="0"/>
      </w:pPr>
      <w:r>
        <w:lastRenderedPageBreak/>
        <w:t>Podejte intramuskulárně j</w:t>
      </w:r>
      <w:r w:rsidR="0025416E">
        <w:t>ednu dávku (2 ml) sm</w:t>
      </w:r>
      <w:r w:rsidR="001B7234">
        <w:t>íchaného přípravku</w:t>
      </w:r>
      <w:r w:rsidR="0025416E">
        <w:t>.</w:t>
      </w:r>
    </w:p>
    <w:p w14:paraId="26DE0BA4" w14:textId="77777777" w:rsidR="0025416E" w:rsidRDefault="0025416E" w:rsidP="006D16DB">
      <w:pPr>
        <w:widowControl w:val="0"/>
      </w:pPr>
    </w:p>
    <w:p w14:paraId="2F715EEE" w14:textId="77777777" w:rsidR="0027335C" w:rsidRDefault="0025416E" w:rsidP="006D16DB">
      <w:pPr>
        <w:widowControl w:val="0"/>
      </w:pPr>
      <w:r w:rsidRPr="008B5C44">
        <w:t xml:space="preserve">Lze kombinovat následující odpovídající </w:t>
      </w:r>
      <w:r>
        <w:t>balení</w:t>
      </w:r>
      <w:r w:rsidRPr="008B5C44">
        <w:t xml:space="preserve"> (dávky)</w:t>
      </w:r>
      <w:r w:rsidR="0027335C" w:rsidRPr="008B5C44">
        <w:t>:</w:t>
      </w:r>
    </w:p>
    <w:p w14:paraId="2B53ADD3" w14:textId="77777777" w:rsidR="0027335C" w:rsidRDefault="0027335C" w:rsidP="006D16DB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480"/>
      </w:tblGrid>
      <w:tr w:rsidR="0027335C" w:rsidRPr="00D06B09" w14:paraId="205570A3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791" w14:textId="77777777" w:rsidR="0027335C" w:rsidRPr="00D06B09" w:rsidRDefault="0027335C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  <w:lang w:val="de-DE"/>
              </w:rPr>
            </w:pP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ReproCyc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 xml:space="preserve"> PRRS EU (</w:t>
            </w: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lyofilizát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)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D31" w14:textId="77777777" w:rsidR="0027335C" w:rsidRPr="00D06B09" w:rsidRDefault="0027335C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  <w:lang w:val="de-DE"/>
              </w:rPr>
            </w:pP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ReproCyc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ParvoFLEX</w:t>
            </w:r>
            <w:proofErr w:type="spellEnd"/>
          </w:p>
        </w:tc>
      </w:tr>
      <w:tr w:rsidR="0027335C" w:rsidRPr="00D06B09" w14:paraId="3E73EAEA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DCFC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2C4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(20 ml)</w:t>
            </w:r>
          </w:p>
        </w:tc>
      </w:tr>
      <w:tr w:rsidR="0027335C" w:rsidRPr="00D06B09" w14:paraId="145879D3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F851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50 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F5B8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50 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(100 ml)</w:t>
            </w:r>
          </w:p>
        </w:tc>
      </w:tr>
      <w:tr w:rsidR="0027335C" w:rsidRPr="00D06B09" w14:paraId="692F20F7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EF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0907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(200 ml)</w:t>
            </w:r>
          </w:p>
        </w:tc>
      </w:tr>
    </w:tbl>
    <w:p w14:paraId="50109240" w14:textId="77777777" w:rsidR="0027335C" w:rsidRDefault="0027335C" w:rsidP="006D16DB">
      <w:pPr>
        <w:widowControl w:val="0"/>
      </w:pPr>
    </w:p>
    <w:p w14:paraId="26C77805" w14:textId="77777777" w:rsidR="0027335C" w:rsidRDefault="0027335C" w:rsidP="006D16DB">
      <w:pPr>
        <w:widowControl w:val="0"/>
        <w:ind w:left="0" w:firstLine="0"/>
      </w:pPr>
      <w:r w:rsidRPr="00667921">
        <w:t>Před podáním sm</w:t>
      </w:r>
      <w:r w:rsidR="001B7234">
        <w:t>íchaného</w:t>
      </w:r>
      <w:r w:rsidRPr="00667921">
        <w:t xml:space="preserve"> přípravk</w:t>
      </w:r>
      <w:r>
        <w:t>u</w:t>
      </w:r>
      <w:r w:rsidRPr="00667921">
        <w:t xml:space="preserve"> je třeba </w:t>
      </w:r>
      <w:r w:rsidR="001B7234">
        <w:t xml:space="preserve">si </w:t>
      </w:r>
      <w:r w:rsidRPr="00667921">
        <w:t xml:space="preserve">rovněž </w:t>
      </w:r>
      <w:r>
        <w:t>přečíst</w:t>
      </w:r>
      <w:r w:rsidRPr="00667921">
        <w:t xml:space="preserve"> příbalovou informaci přípravku </w:t>
      </w:r>
      <w:proofErr w:type="spellStart"/>
      <w:r w:rsidRPr="00667921">
        <w:t>ReproCyc</w:t>
      </w:r>
      <w:proofErr w:type="spellEnd"/>
      <w:r w:rsidRPr="00667921">
        <w:t xml:space="preserve"> </w:t>
      </w:r>
      <w:proofErr w:type="spellStart"/>
      <w:r w:rsidRPr="00667921">
        <w:t>ParvoFLEX</w:t>
      </w:r>
      <w:proofErr w:type="spellEnd"/>
      <w:r w:rsidRPr="00667921">
        <w:t>.</w:t>
      </w:r>
    </w:p>
    <w:p w14:paraId="4D541854" w14:textId="77777777" w:rsidR="0027335C" w:rsidRPr="006F3355" w:rsidRDefault="0027335C" w:rsidP="006D16DB">
      <w:pPr>
        <w:widowControl w:val="0"/>
        <w:tabs>
          <w:tab w:val="left" w:pos="567"/>
        </w:tabs>
        <w:rPr>
          <w:rFonts w:eastAsia="PMingLiU"/>
        </w:rPr>
      </w:pPr>
    </w:p>
    <w:p w14:paraId="2E36376B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70F8C2BC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9.</w:t>
      </w:r>
      <w:r w:rsidRPr="006F3355">
        <w:rPr>
          <w:rFonts w:eastAsia="PMingLiU"/>
          <w:b/>
          <w:szCs w:val="24"/>
        </w:rPr>
        <w:tab/>
        <w:t>POKYNY PRO SPRÁVNÉ PODÁNÍ</w:t>
      </w:r>
    </w:p>
    <w:p w14:paraId="12538F59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 w:cs="Arial"/>
          <w:szCs w:val="22"/>
        </w:rPr>
      </w:pPr>
    </w:p>
    <w:p w14:paraId="2AAF1649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>Při používání zabraňte kontaminaci.</w:t>
      </w:r>
    </w:p>
    <w:p w14:paraId="19F6B6E7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>Používejte sterilní vybavení.</w:t>
      </w:r>
    </w:p>
    <w:p w14:paraId="28D3813A" w14:textId="77777777" w:rsidR="006F3355" w:rsidRPr="006F3355" w:rsidRDefault="006F3355" w:rsidP="006D16DB">
      <w:pPr>
        <w:widowControl w:val="0"/>
        <w:tabs>
          <w:tab w:val="left" w:pos="567"/>
        </w:tabs>
        <w:ind w:left="0" w:firstLine="0"/>
        <w:rPr>
          <w:rFonts w:eastAsia="PMingLiU" w:cs="Arial"/>
          <w:szCs w:val="22"/>
        </w:rPr>
      </w:pPr>
      <w:r w:rsidRPr="006F3355">
        <w:rPr>
          <w:rFonts w:eastAsia="PMingLiU" w:cs="Arial"/>
          <w:szCs w:val="22"/>
        </w:rPr>
        <w:t>Vyhněte se opakovanému propichování, např. použitím automatických injektorů.</w:t>
      </w:r>
    </w:p>
    <w:p w14:paraId="55116895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7E60628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6E86E0D4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10.</w:t>
      </w:r>
      <w:r w:rsidRPr="006F3355">
        <w:rPr>
          <w:rFonts w:eastAsia="PMingLiU"/>
          <w:b/>
          <w:szCs w:val="24"/>
        </w:rPr>
        <w:tab/>
        <w:t>OCHRANNÁ LHŮTA</w:t>
      </w:r>
    </w:p>
    <w:p w14:paraId="476C1CFA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</w:p>
    <w:p w14:paraId="19A07552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Bez ochranných lhůt.</w:t>
      </w:r>
    </w:p>
    <w:p w14:paraId="3BC17DBE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901A949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1FC7FF08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11.</w:t>
      </w:r>
      <w:r w:rsidRPr="006F3355">
        <w:rPr>
          <w:rFonts w:eastAsia="PMingLiU"/>
          <w:b/>
          <w:szCs w:val="24"/>
        </w:rPr>
        <w:tab/>
        <w:t xml:space="preserve">ZVLÁŠTNÍ OPATŘENÍ PRO UCHOVÁVÁNÍ </w:t>
      </w:r>
    </w:p>
    <w:p w14:paraId="568FA182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F33DCA1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Uchovávat mimo dohled a dosah dětí.</w:t>
      </w:r>
    </w:p>
    <w:p w14:paraId="63A3F59C" w14:textId="5F10136A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Uchovávejte a přepravujte chlazené</w:t>
      </w:r>
      <w:r w:rsidR="003C7169">
        <w:rPr>
          <w:rFonts w:eastAsia="PMingLiU"/>
          <w:szCs w:val="24"/>
        </w:rPr>
        <w:t xml:space="preserve"> </w:t>
      </w:r>
      <w:r w:rsidRPr="006F3355">
        <w:rPr>
          <w:rFonts w:eastAsia="PMingLiU"/>
          <w:szCs w:val="24"/>
        </w:rPr>
        <w:t>(2</w:t>
      </w:r>
      <w:r w:rsidR="003C7169">
        <w:rPr>
          <w:rFonts w:eastAsia="PMingLiU"/>
          <w:szCs w:val="24"/>
        </w:rPr>
        <w:t xml:space="preserve"> </w:t>
      </w:r>
      <w:r w:rsidRPr="006F3355">
        <w:rPr>
          <w:rFonts w:eastAsia="PMingLiU"/>
          <w:szCs w:val="24"/>
        </w:rPr>
        <w:t>°– 8</w:t>
      </w:r>
      <w:r w:rsidR="003C7169">
        <w:rPr>
          <w:rFonts w:eastAsia="PMingLiU"/>
          <w:szCs w:val="24"/>
        </w:rPr>
        <w:t xml:space="preserve"> </w:t>
      </w:r>
      <w:r w:rsidRPr="006F3355">
        <w:rPr>
          <w:rFonts w:eastAsia="PMingLiU"/>
          <w:szCs w:val="24"/>
        </w:rPr>
        <w:t>°C).</w:t>
      </w:r>
    </w:p>
    <w:p w14:paraId="24125BCF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Chraňte před mrazem.</w:t>
      </w:r>
    </w:p>
    <w:p w14:paraId="6F58CA85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Chraňte před světlem.</w:t>
      </w:r>
    </w:p>
    <w:p w14:paraId="3C5E449B" w14:textId="77777777" w:rsidR="006F3355" w:rsidRPr="006F3355" w:rsidRDefault="006F3355" w:rsidP="006D16DB">
      <w:pPr>
        <w:widowControl w:val="0"/>
        <w:ind w:left="0" w:right="-318" w:firstLine="0"/>
        <w:rPr>
          <w:rFonts w:eastAsia="PMingLiU"/>
          <w:szCs w:val="22"/>
        </w:rPr>
      </w:pPr>
      <w:r w:rsidRPr="006F3355">
        <w:rPr>
          <w:rFonts w:eastAsia="PMingLiU"/>
          <w:szCs w:val="24"/>
        </w:rPr>
        <w:t>Doba použitelnosti po rekonstituci podle návodu: spotřebujte do 8 hodin.</w:t>
      </w:r>
    </w:p>
    <w:p w14:paraId="077AC48E" w14:textId="77777777" w:rsidR="001E63E5" w:rsidRDefault="001E63E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</w:p>
    <w:p w14:paraId="0BD331B0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Nepoužívejte tento veterinární léčivý přípravek po uplynutí doby použitelnost uvedené na etiketě po EXP.</w:t>
      </w:r>
    </w:p>
    <w:p w14:paraId="4025E5F5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8F3CA9D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BB09E03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12.</w:t>
      </w:r>
      <w:r w:rsidRPr="006F3355">
        <w:rPr>
          <w:rFonts w:eastAsia="PMingLiU"/>
          <w:b/>
          <w:szCs w:val="24"/>
        </w:rPr>
        <w:tab/>
        <w:t>ZVLÁŠTNÍ UPOZORNĚNÍ</w:t>
      </w:r>
    </w:p>
    <w:p w14:paraId="11AA9CAE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59496C8B" w14:textId="77777777" w:rsidR="001E63E5" w:rsidRDefault="001E63E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szCs w:val="22"/>
          <w:u w:val="single"/>
        </w:rPr>
      </w:pPr>
      <w:r w:rsidRPr="00F30D3F">
        <w:rPr>
          <w:szCs w:val="22"/>
          <w:u w:val="single"/>
        </w:rPr>
        <w:t>Zvláštní upozornění pro každý cílov</w:t>
      </w:r>
      <w:r>
        <w:rPr>
          <w:szCs w:val="22"/>
          <w:u w:val="single"/>
        </w:rPr>
        <w:t>ý druh</w:t>
      </w:r>
      <w:r w:rsidRPr="00F30D3F">
        <w:rPr>
          <w:szCs w:val="22"/>
          <w:u w:val="single"/>
        </w:rPr>
        <w:t>:</w:t>
      </w:r>
    </w:p>
    <w:p w14:paraId="70D5E636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Vakcinovat pouze zdravá zvířata.</w:t>
      </w:r>
    </w:p>
    <w:p w14:paraId="58ED9E07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Je nutné přijmout taková opatření, aby se zabránilo přenosu vakcinačního viru v rámci stáda, např. z pozitivních zvířat na zvířata, která se s PRRSV nikdy nesetkala.</w:t>
      </w:r>
    </w:p>
    <w:p w14:paraId="2ED4487D" w14:textId="77777777" w:rsidR="006F3355" w:rsidRP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20EDA400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  <w:u w:val="single"/>
        </w:rPr>
        <w:t>Zvláštní opatření pro použití u zvířat</w:t>
      </w:r>
      <w:r w:rsidRPr="006F3355">
        <w:rPr>
          <w:rFonts w:eastAsia="PMingLiU"/>
          <w:szCs w:val="22"/>
        </w:rPr>
        <w:t>:</w:t>
      </w:r>
    </w:p>
    <w:p w14:paraId="57B95D81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>Vakcinační kmen se může šířit kontaktem až 5 týdnů po vakcinaci na nevakcinovaná zvířata, avšak bez jakýchkoli klinických následků. Vakcinovaná zvířata mohou vylučovat vakcinační kmen výkaly. Potenciální vylučování vakcinačního kmenu v moči vakcinovaných zvířat nebylo hodnoceno.</w:t>
      </w:r>
    </w:p>
    <w:p w14:paraId="7D44FEF8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5AF65984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>Vakcinační kmen byl zjištěn u novorozených selat (ve vzorcích krve a plicních tkání) prasniček, které se s PRRSV nikdy nesetkaly a byly vakcinovány během poslední třetiny březosti, avšak bez jakýchkoli klinických následků.</w:t>
      </w:r>
    </w:p>
    <w:p w14:paraId="37D50CAC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0353F5A9" w14:textId="77777777" w:rsid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>Je nutné dbát na to, aby se zamezilo šíření vakcinačního viru z vakcinovaných zvířat na nevakcinovaná zvířata, která mají zůstat prostá PRRSV.</w:t>
      </w:r>
    </w:p>
    <w:p w14:paraId="4703F956" w14:textId="77777777" w:rsidR="008A219D" w:rsidRDefault="008A219D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7E8120C6" w14:textId="77777777" w:rsidR="008A219D" w:rsidRDefault="008A219D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D04A29">
        <w:rPr>
          <w:szCs w:val="22"/>
        </w:rPr>
        <w:t>Cílem vakcinace je dos</w:t>
      </w:r>
      <w:r>
        <w:rPr>
          <w:szCs w:val="22"/>
        </w:rPr>
        <w:t>ažení</w:t>
      </w:r>
      <w:r w:rsidRPr="00D04A29">
        <w:rPr>
          <w:szCs w:val="22"/>
        </w:rPr>
        <w:t xml:space="preserve"> homogenní imunit</w:t>
      </w:r>
      <w:r>
        <w:rPr>
          <w:szCs w:val="22"/>
        </w:rPr>
        <w:t>y</w:t>
      </w:r>
      <w:r w:rsidRPr="00D04A29">
        <w:rPr>
          <w:szCs w:val="22"/>
        </w:rPr>
        <w:t xml:space="preserve"> </w:t>
      </w:r>
      <w:r>
        <w:rPr>
          <w:szCs w:val="22"/>
        </w:rPr>
        <w:t xml:space="preserve">v </w:t>
      </w:r>
      <w:r w:rsidRPr="00D04A29">
        <w:rPr>
          <w:szCs w:val="22"/>
        </w:rPr>
        <w:t>cílové populac</w:t>
      </w:r>
      <w:r>
        <w:rPr>
          <w:szCs w:val="22"/>
        </w:rPr>
        <w:t>i</w:t>
      </w:r>
      <w:r w:rsidRPr="00D04A29">
        <w:rPr>
          <w:szCs w:val="22"/>
        </w:rPr>
        <w:t xml:space="preserve"> </w:t>
      </w:r>
      <w:r>
        <w:rPr>
          <w:szCs w:val="22"/>
        </w:rPr>
        <w:t>na úrovni farmy</w:t>
      </w:r>
      <w:r w:rsidRPr="00D04A29">
        <w:rPr>
          <w:szCs w:val="22"/>
        </w:rPr>
        <w:t>.</w:t>
      </w:r>
    </w:p>
    <w:p w14:paraId="3AD3362E" w14:textId="77777777" w:rsidR="008A219D" w:rsidRDefault="008A219D" w:rsidP="006D16DB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14:paraId="53D24C11" w14:textId="77777777" w:rsidR="008A219D" w:rsidRPr="00D04A29" w:rsidRDefault="008A219D" w:rsidP="00746747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Chovná </w:t>
      </w:r>
      <w:r>
        <w:rPr>
          <w:rFonts w:ascii="Times New Roman" w:hAnsi="Times New Roman" w:cs="Times New Roman"/>
          <w:sz w:val="22"/>
          <w:szCs w:val="22"/>
          <w:lang w:val="cs-CZ"/>
        </w:rPr>
        <w:t>zvířata</w:t>
      </w:r>
      <w:r w:rsidR="00663111">
        <w:rPr>
          <w:rFonts w:ascii="Times New Roman" w:hAnsi="Times New Roman" w:cs="Times New Roman"/>
          <w:sz w:val="22"/>
          <w:szCs w:val="22"/>
          <w:lang w:val="cs-CZ"/>
        </w:rPr>
        <w:t>, která se s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vir</w:t>
      </w:r>
      <w:r w:rsidR="00663111">
        <w:rPr>
          <w:rFonts w:ascii="Times New Roman" w:hAnsi="Times New Roman" w:cs="Times New Roman"/>
          <w:sz w:val="22"/>
          <w:szCs w:val="22"/>
          <w:lang w:val="cs-CZ"/>
        </w:rPr>
        <w:t>em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PRRS</w:t>
      </w:r>
      <w:r w:rsidR="00663111">
        <w:rPr>
          <w:rFonts w:ascii="Times New Roman" w:hAnsi="Times New Roman" w:cs="Times New Roman"/>
          <w:sz w:val="22"/>
          <w:szCs w:val="22"/>
          <w:lang w:val="cs-CZ"/>
        </w:rPr>
        <w:t xml:space="preserve"> nikdy nesetkala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(tzn. prasničky určené na obnovu stáda z chovů PRRS prostých), </w:t>
      </w:r>
      <w:r w:rsidR="00663111">
        <w:rPr>
          <w:rFonts w:ascii="Times New Roman" w:hAnsi="Times New Roman" w:cs="Times New Roman"/>
          <w:sz w:val="22"/>
          <w:szCs w:val="22"/>
          <w:lang w:val="cs-CZ"/>
        </w:rPr>
        <w:t xml:space="preserve">a 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která jsou zařazena do chovů infikovaných virem PRRS</w:t>
      </w:r>
      <w:r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je nutno vakcinovat před první inseminací. Vakcinaci je doporučeno provést </w:t>
      </w:r>
      <w:r>
        <w:rPr>
          <w:rFonts w:ascii="Times New Roman" w:hAnsi="Times New Roman" w:cs="Times New Roman"/>
          <w:sz w:val="22"/>
          <w:szCs w:val="22"/>
          <w:lang w:val="cs-CZ"/>
        </w:rPr>
        <w:t>odděleně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v karanténním kotci. </w:t>
      </w:r>
      <w:r>
        <w:rPr>
          <w:rFonts w:ascii="Times New Roman" w:hAnsi="Times New Roman" w:cs="Times New Roman"/>
          <w:sz w:val="22"/>
          <w:szCs w:val="22"/>
          <w:lang w:val="cs-CZ"/>
        </w:rPr>
        <w:t>J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e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třeba 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dodržet </w:t>
      </w:r>
      <w:r>
        <w:rPr>
          <w:rFonts w:ascii="Times New Roman" w:hAnsi="Times New Roman" w:cs="Times New Roman"/>
          <w:sz w:val="22"/>
          <w:szCs w:val="22"/>
          <w:lang w:val="cs-CZ"/>
        </w:rPr>
        <w:t>přechodné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období mezi vakcinací a přesunem </w:t>
      </w:r>
      <w:r>
        <w:rPr>
          <w:rFonts w:ascii="Times New Roman" w:hAnsi="Times New Roman" w:cs="Times New Roman"/>
          <w:sz w:val="22"/>
          <w:szCs w:val="22"/>
          <w:lang w:val="cs-CZ"/>
        </w:rPr>
        <w:t>zvířat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do chovného </w:t>
      </w:r>
      <w:r>
        <w:rPr>
          <w:rFonts w:ascii="Times New Roman" w:hAnsi="Times New Roman" w:cs="Times New Roman"/>
          <w:sz w:val="22"/>
          <w:szCs w:val="22"/>
          <w:lang w:val="cs-CZ"/>
        </w:rPr>
        <w:t>kotce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cs-CZ"/>
        </w:rPr>
        <w:t>Toto přechodné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období </w:t>
      </w:r>
      <w:r>
        <w:rPr>
          <w:rFonts w:ascii="Times New Roman" w:hAnsi="Times New Roman" w:cs="Times New Roman"/>
          <w:sz w:val="22"/>
          <w:szCs w:val="22"/>
          <w:lang w:val="cs-CZ"/>
        </w:rPr>
        <w:t>musí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být delší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, než je doba vylučování PRRS MLV vakcinačního viru po vakcinaci.</w:t>
      </w:r>
    </w:p>
    <w:p w14:paraId="45BCFB59" w14:textId="77777777" w:rsidR="008A219D" w:rsidRPr="006F3355" w:rsidRDefault="008A219D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7E0350A2" w14:textId="434DE010" w:rsidR="008A219D" w:rsidRPr="00663111" w:rsidRDefault="008A219D" w:rsidP="00746747">
      <w:pPr>
        <w:ind w:left="0" w:firstLine="0"/>
        <w:jc w:val="both"/>
        <w:rPr>
          <w:lang w:eastAsia="de-DE"/>
        </w:rPr>
      </w:pPr>
      <w:r>
        <w:rPr>
          <w:szCs w:val="22"/>
        </w:rPr>
        <w:t>V chovu n</w:t>
      </w:r>
      <w:r w:rsidRPr="00D04A29">
        <w:rPr>
          <w:szCs w:val="22"/>
        </w:rPr>
        <w:t>e</w:t>
      </w:r>
      <w:r>
        <w:rPr>
          <w:szCs w:val="22"/>
        </w:rPr>
        <w:t>střídejte</w:t>
      </w:r>
      <w:r w:rsidRPr="00D04A29">
        <w:rPr>
          <w:szCs w:val="22"/>
        </w:rPr>
        <w:t xml:space="preserve"> </w:t>
      </w:r>
      <w:r>
        <w:rPr>
          <w:szCs w:val="22"/>
        </w:rPr>
        <w:t xml:space="preserve">rutinně </w:t>
      </w:r>
      <w:r w:rsidRPr="00D04A29">
        <w:rPr>
          <w:szCs w:val="22"/>
        </w:rPr>
        <w:t>dv</w:t>
      </w:r>
      <w:r>
        <w:rPr>
          <w:szCs w:val="22"/>
        </w:rPr>
        <w:t>ě</w:t>
      </w:r>
      <w:r w:rsidRPr="00D04A29">
        <w:rPr>
          <w:szCs w:val="22"/>
        </w:rPr>
        <w:t xml:space="preserve"> nebo více komerčních PRRS MLV vakcín </w:t>
      </w:r>
      <w:r>
        <w:rPr>
          <w:szCs w:val="22"/>
        </w:rPr>
        <w:t>založených na</w:t>
      </w:r>
      <w:r w:rsidRPr="00D04A29">
        <w:rPr>
          <w:szCs w:val="22"/>
        </w:rPr>
        <w:t xml:space="preserve"> různých kmen</w:t>
      </w:r>
      <w:r>
        <w:rPr>
          <w:szCs w:val="22"/>
        </w:rPr>
        <w:t>ech</w:t>
      </w:r>
      <w:r w:rsidRPr="00D04A29">
        <w:rPr>
          <w:szCs w:val="22"/>
        </w:rPr>
        <w:t xml:space="preserve"> viru. </w:t>
      </w:r>
      <w:r w:rsidR="00663111" w:rsidRPr="00D04A29">
        <w:rPr>
          <w:rFonts w:eastAsia="SimSun" w:cs="Arial"/>
          <w:szCs w:val="22"/>
        </w:rPr>
        <w:t>Vakcín</w:t>
      </w:r>
      <w:r w:rsidR="00663111">
        <w:rPr>
          <w:rFonts w:eastAsia="SimSun" w:cs="Arial"/>
          <w:szCs w:val="22"/>
        </w:rPr>
        <w:t>u</w:t>
      </w:r>
      <w:r w:rsidR="00663111" w:rsidRPr="00D04A29">
        <w:rPr>
          <w:rFonts w:eastAsia="SimSun" w:cs="Arial"/>
          <w:szCs w:val="22"/>
        </w:rPr>
        <w:t xml:space="preserve"> proti PRRS </w:t>
      </w:r>
      <w:r w:rsidR="00663111">
        <w:rPr>
          <w:rFonts w:eastAsia="SimSun" w:cs="Arial"/>
          <w:szCs w:val="22"/>
        </w:rPr>
        <w:t>založenou na stejném</w:t>
      </w:r>
      <w:r w:rsidR="00663111" w:rsidRPr="00D04A29">
        <w:rPr>
          <w:rFonts w:eastAsia="SimSun" w:cs="Arial"/>
          <w:szCs w:val="22"/>
        </w:rPr>
        <w:t xml:space="preserve"> kmen</w:t>
      </w:r>
      <w:r w:rsidR="00663111">
        <w:rPr>
          <w:rFonts w:eastAsia="SimSun" w:cs="Arial"/>
          <w:szCs w:val="22"/>
        </w:rPr>
        <w:t>i</w:t>
      </w:r>
      <w:r w:rsidR="00663111" w:rsidRPr="00D04A29">
        <w:rPr>
          <w:rFonts w:eastAsia="SimSun" w:cs="Arial"/>
          <w:szCs w:val="22"/>
        </w:rPr>
        <w:t xml:space="preserve"> (kmen 94881) a registrovan</w:t>
      </w:r>
      <w:r w:rsidR="00663111">
        <w:rPr>
          <w:rFonts w:eastAsia="SimSun" w:cs="Arial"/>
          <w:szCs w:val="22"/>
        </w:rPr>
        <w:t>ou</w:t>
      </w:r>
      <w:r w:rsidR="00663111" w:rsidRPr="00D04A29">
        <w:rPr>
          <w:rFonts w:eastAsia="SimSun" w:cs="Arial"/>
          <w:szCs w:val="22"/>
        </w:rPr>
        <w:t xml:space="preserve"> k </w:t>
      </w:r>
      <w:r w:rsidR="00663111">
        <w:rPr>
          <w:rFonts w:eastAsia="SimSun" w:cs="Arial"/>
          <w:szCs w:val="22"/>
        </w:rPr>
        <w:t>imunizaci</w:t>
      </w:r>
      <w:r w:rsidR="00663111" w:rsidRPr="00D04A29">
        <w:rPr>
          <w:rFonts w:eastAsia="SimSun" w:cs="Arial"/>
          <w:szCs w:val="22"/>
        </w:rPr>
        <w:t xml:space="preserve"> </w:t>
      </w:r>
      <w:r w:rsidR="002B503C" w:rsidRPr="002B503C">
        <w:rPr>
          <w:rFonts w:eastAsia="SimSun" w:cs="Arial"/>
          <w:szCs w:val="22"/>
        </w:rPr>
        <w:t>prasat od 17 dne věku do konce výkrmu a starších,</w:t>
      </w:r>
      <w:r w:rsidR="00663111" w:rsidRPr="00D04A29">
        <w:rPr>
          <w:rFonts w:eastAsia="SimSun" w:cs="Arial"/>
          <w:szCs w:val="22"/>
        </w:rPr>
        <w:t xml:space="preserve"> </w:t>
      </w:r>
      <w:r w:rsidR="00663111">
        <w:rPr>
          <w:rFonts w:eastAsia="SimSun" w:cs="Arial"/>
          <w:szCs w:val="22"/>
        </w:rPr>
        <w:t>lze využít</w:t>
      </w:r>
      <w:r w:rsidR="00663111" w:rsidRPr="00D04A29">
        <w:rPr>
          <w:rFonts w:eastAsia="SimSun" w:cs="Arial"/>
          <w:szCs w:val="22"/>
        </w:rPr>
        <w:t xml:space="preserve"> </w:t>
      </w:r>
      <w:r w:rsidR="00663111">
        <w:rPr>
          <w:rFonts w:eastAsia="SimSun" w:cs="Arial"/>
          <w:szCs w:val="22"/>
        </w:rPr>
        <w:t>na stejné farmě</w:t>
      </w:r>
      <w:r w:rsidR="00663111" w:rsidRPr="00D04A29">
        <w:rPr>
          <w:rFonts w:eastAsia="SimSun" w:cs="Arial"/>
          <w:szCs w:val="22"/>
        </w:rPr>
        <w:t xml:space="preserve">. </w:t>
      </w:r>
    </w:p>
    <w:p w14:paraId="603945BE" w14:textId="77777777" w:rsid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103583A3" w14:textId="77777777" w:rsidR="008A219D" w:rsidRPr="00F3568D" w:rsidRDefault="008A219D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Verdana"/>
          <w:szCs w:val="22"/>
          <w:lang w:eastAsia="de-DE"/>
        </w:rPr>
      </w:pPr>
      <w:r>
        <w:rPr>
          <w:szCs w:val="22"/>
        </w:rPr>
        <w:t>S c</w:t>
      </w:r>
      <w:r w:rsidRPr="00D04A29">
        <w:rPr>
          <w:szCs w:val="22"/>
        </w:rPr>
        <w:t>ílem omezit potenciální riziko rekombinace PRRS MLV vakcinačních kmenů stejného genotypu</w:t>
      </w:r>
      <w:r>
        <w:rPr>
          <w:szCs w:val="22"/>
        </w:rPr>
        <w:t>,</w:t>
      </w:r>
      <w:r w:rsidRPr="00D04A29">
        <w:rPr>
          <w:szCs w:val="22"/>
        </w:rPr>
        <w:t xml:space="preserve"> neaplikujte různé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</w:t>
      </w:r>
      <w:r>
        <w:rPr>
          <w:szCs w:val="22"/>
        </w:rPr>
        <w:t>založené na různých kmenech</w:t>
      </w:r>
      <w:r w:rsidRPr="00D04A29">
        <w:rPr>
          <w:szCs w:val="22"/>
        </w:rPr>
        <w:t xml:space="preserve"> stejného genotypu ve stejném chovu a ve stejný čas. V případě přechodu z jednoho typu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na jiný typ </w:t>
      </w:r>
      <w:r>
        <w:rPr>
          <w:szCs w:val="22"/>
        </w:rPr>
        <w:t>j</w:t>
      </w:r>
      <w:r w:rsidRPr="00D04A29">
        <w:rPr>
          <w:szCs w:val="22"/>
        </w:rPr>
        <w:t xml:space="preserve">e </w:t>
      </w:r>
      <w:r>
        <w:rPr>
          <w:szCs w:val="22"/>
        </w:rPr>
        <w:t xml:space="preserve">třeba </w:t>
      </w:r>
      <w:r w:rsidRPr="00D04A29">
        <w:rPr>
          <w:szCs w:val="22"/>
        </w:rPr>
        <w:t xml:space="preserve">dodržet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mezi posledním podáním současné vakcíny a první aplikací nové vakcíny. Toto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</w:t>
      </w:r>
      <w:r>
        <w:rPr>
          <w:szCs w:val="22"/>
        </w:rPr>
        <w:t>musí</w:t>
      </w:r>
      <w:r w:rsidRPr="00D04A29">
        <w:rPr>
          <w:szCs w:val="22"/>
        </w:rPr>
        <w:t xml:space="preserve"> být delší, než je doba vylučování vakcinačního </w:t>
      </w:r>
      <w:r>
        <w:rPr>
          <w:szCs w:val="22"/>
        </w:rPr>
        <w:t xml:space="preserve">viru </w:t>
      </w:r>
      <w:r w:rsidRPr="00D04A29">
        <w:rPr>
          <w:szCs w:val="22"/>
        </w:rPr>
        <w:t>vakcíny podávané v současnosti.</w:t>
      </w:r>
    </w:p>
    <w:p w14:paraId="68FDCEC4" w14:textId="77777777" w:rsidR="006F3355" w:rsidRP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6BF2345B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  <w:u w:val="single"/>
        </w:rPr>
        <w:t>Zvláštní opatření určené osobám, které podávají veterinární léčivý přípravek zvířatům</w:t>
      </w:r>
      <w:r w:rsidRPr="006F3355">
        <w:rPr>
          <w:rFonts w:eastAsia="PMingLiU"/>
          <w:szCs w:val="22"/>
        </w:rPr>
        <w:t>:</w:t>
      </w:r>
    </w:p>
    <w:p w14:paraId="45CF6A43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V případě, že se po náhodném sebepoškození injekčně aplikovaným přípravkem rozvinou nežádoucí účinky, vyhledejte lékařskou pomoc a ukažte příbalovou informaci nebo etiketu praktickému lékaři.</w:t>
      </w:r>
    </w:p>
    <w:p w14:paraId="412C7910" w14:textId="77777777" w:rsidR="006F3355" w:rsidRP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622D23CA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  <w:u w:val="single"/>
        </w:rPr>
      </w:pPr>
      <w:r w:rsidRPr="006F3355">
        <w:rPr>
          <w:rFonts w:eastAsia="PMingLiU"/>
          <w:u w:val="single"/>
        </w:rPr>
        <w:t>Březost a laktace</w:t>
      </w:r>
      <w:r w:rsidRPr="006F3355">
        <w:rPr>
          <w:rFonts w:eastAsia="PMingLiU"/>
        </w:rPr>
        <w:t>:</w:t>
      </w:r>
    </w:p>
    <w:p w14:paraId="78C2F96F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Lze použít během březosti a laktace.</w:t>
      </w:r>
    </w:p>
    <w:p w14:paraId="6AE81D98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Vakcína se nemá podávat březím prasničkám, které se s PRRSV nikdy nesetkaly.</w:t>
      </w:r>
    </w:p>
    <w:p w14:paraId="65C43D3D" w14:textId="77777777" w:rsidR="006F3355" w:rsidRPr="006F3355" w:rsidRDefault="006F3355" w:rsidP="00746747">
      <w:pPr>
        <w:widowControl w:val="0"/>
        <w:tabs>
          <w:tab w:val="left" w:pos="567"/>
        </w:tabs>
        <w:ind w:left="0" w:firstLine="0"/>
        <w:jc w:val="both"/>
        <w:rPr>
          <w:rFonts w:eastAsia="PMingLiU"/>
        </w:rPr>
      </w:pPr>
    </w:p>
    <w:p w14:paraId="346E3217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  <w:u w:val="single"/>
        </w:rPr>
      </w:pPr>
      <w:r w:rsidRPr="006F3355">
        <w:rPr>
          <w:rFonts w:eastAsia="PMingLiU"/>
          <w:szCs w:val="22"/>
          <w:u w:val="single"/>
        </w:rPr>
        <w:t>Interakce (s dalšími léčivými přípravky a další formy interakce):</w:t>
      </w:r>
    </w:p>
    <w:p w14:paraId="02846989" w14:textId="77777777" w:rsidR="0027335C" w:rsidRDefault="001B7234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</w:rPr>
      </w:pPr>
      <w:r>
        <w:rPr>
          <w:szCs w:val="22"/>
        </w:rPr>
        <w:t>Dostupné ú</w:t>
      </w:r>
      <w:r w:rsidR="0027335C" w:rsidRPr="00902528">
        <w:rPr>
          <w:szCs w:val="22"/>
        </w:rPr>
        <w:t>daje o bezpečnosti a účinnosti</w:t>
      </w:r>
      <w:r>
        <w:rPr>
          <w:szCs w:val="22"/>
        </w:rPr>
        <w:t xml:space="preserve"> dokládají</w:t>
      </w:r>
      <w:r w:rsidR="0027335C" w:rsidRPr="00902528">
        <w:rPr>
          <w:szCs w:val="22"/>
        </w:rPr>
        <w:t>, že t</w:t>
      </w:r>
      <w:r w:rsidR="0027335C">
        <w:rPr>
          <w:szCs w:val="22"/>
        </w:rPr>
        <w:t>uto</w:t>
      </w:r>
      <w:r w:rsidR="0027335C" w:rsidRPr="00902528">
        <w:rPr>
          <w:szCs w:val="22"/>
        </w:rPr>
        <w:t xml:space="preserve"> vakcín</w:t>
      </w:r>
      <w:r w:rsidR="0027335C">
        <w:rPr>
          <w:szCs w:val="22"/>
        </w:rPr>
        <w:t>u lze</w:t>
      </w:r>
      <w:r w:rsidR="0027335C" w:rsidRPr="00902528">
        <w:rPr>
          <w:szCs w:val="22"/>
        </w:rPr>
        <w:t xml:space="preserve"> </w:t>
      </w:r>
      <w:r>
        <w:rPr>
          <w:szCs w:val="22"/>
        </w:rPr>
        <w:t>mísit</w:t>
      </w:r>
      <w:r w:rsidR="0027335C" w:rsidRPr="00902528">
        <w:rPr>
          <w:szCs w:val="22"/>
        </w:rPr>
        <w:t xml:space="preserve"> s přípravkem </w:t>
      </w:r>
      <w:proofErr w:type="spellStart"/>
      <w:r w:rsidR="0027335C" w:rsidRPr="00902528">
        <w:rPr>
          <w:szCs w:val="22"/>
        </w:rPr>
        <w:t>ReproCyc</w:t>
      </w:r>
      <w:proofErr w:type="spellEnd"/>
      <w:r w:rsidR="0027335C" w:rsidRPr="00902528">
        <w:rPr>
          <w:szCs w:val="22"/>
        </w:rPr>
        <w:t xml:space="preserve"> </w:t>
      </w:r>
      <w:proofErr w:type="spellStart"/>
      <w:r w:rsidR="0027335C" w:rsidRPr="00902528">
        <w:rPr>
          <w:szCs w:val="22"/>
        </w:rPr>
        <w:t>ParvoFLEX</w:t>
      </w:r>
      <w:proofErr w:type="spellEnd"/>
      <w:r w:rsidR="0027335C" w:rsidRPr="00902528">
        <w:rPr>
          <w:szCs w:val="22"/>
        </w:rPr>
        <w:t xml:space="preserve"> a podáv</w:t>
      </w:r>
      <w:r w:rsidR="0027335C">
        <w:rPr>
          <w:szCs w:val="22"/>
        </w:rPr>
        <w:t>at je společně na</w:t>
      </w:r>
      <w:r w:rsidR="0027335C" w:rsidRPr="00902528">
        <w:rPr>
          <w:szCs w:val="22"/>
        </w:rPr>
        <w:t xml:space="preserve"> jedno </w:t>
      </w:r>
      <w:r w:rsidR="0027335C">
        <w:rPr>
          <w:szCs w:val="22"/>
        </w:rPr>
        <w:t xml:space="preserve">injekční </w:t>
      </w:r>
      <w:r w:rsidR="0027335C" w:rsidRPr="00902528">
        <w:rPr>
          <w:szCs w:val="22"/>
        </w:rPr>
        <w:t>míst</w:t>
      </w:r>
      <w:r>
        <w:rPr>
          <w:szCs w:val="22"/>
        </w:rPr>
        <w:t>o</w:t>
      </w:r>
      <w:r w:rsidR="0027335C">
        <w:rPr>
          <w:szCs w:val="22"/>
        </w:rPr>
        <w:t>.</w:t>
      </w:r>
      <w:r w:rsidR="0027335C" w:rsidRPr="006F3355">
        <w:rPr>
          <w:rFonts w:eastAsia="PMingLiU"/>
          <w:szCs w:val="22"/>
        </w:rPr>
        <w:t xml:space="preserve"> </w:t>
      </w:r>
    </w:p>
    <w:p w14:paraId="2CD163B2" w14:textId="77777777" w:rsidR="006D7540" w:rsidRDefault="006D7540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</w:rPr>
      </w:pPr>
    </w:p>
    <w:p w14:paraId="77EA5C9C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fi-FI"/>
        </w:rPr>
      </w:pPr>
      <w:r w:rsidRPr="006F3355">
        <w:rPr>
          <w:rFonts w:eastAsia="PMingLiU"/>
          <w:szCs w:val="22"/>
        </w:rPr>
        <w:t>Nejsou dostupné informace o bezpečnosti a účinnosti této vakcíny, pokud je podávána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74EFBF4F" w14:textId="77777777" w:rsidR="006F3355" w:rsidRPr="006F3355" w:rsidRDefault="006F3355" w:rsidP="00746747">
      <w:pPr>
        <w:widowControl w:val="0"/>
        <w:tabs>
          <w:tab w:val="left" w:pos="567"/>
        </w:tabs>
        <w:jc w:val="both"/>
        <w:rPr>
          <w:rFonts w:eastAsia="PMingLiU"/>
        </w:rPr>
      </w:pPr>
    </w:p>
    <w:p w14:paraId="2C8B369B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2"/>
          <w:u w:val="single"/>
        </w:rPr>
        <w:t xml:space="preserve">Předávkování (symptomy, první pomoc, </w:t>
      </w:r>
      <w:proofErr w:type="spellStart"/>
      <w:r w:rsidRPr="006F3355">
        <w:rPr>
          <w:rFonts w:eastAsia="PMingLiU"/>
          <w:szCs w:val="22"/>
          <w:u w:val="single"/>
        </w:rPr>
        <w:t>antidota</w:t>
      </w:r>
      <w:proofErr w:type="spellEnd"/>
      <w:r w:rsidRPr="006F3355">
        <w:rPr>
          <w:rFonts w:eastAsia="PMingLiU"/>
          <w:szCs w:val="22"/>
          <w:u w:val="single"/>
        </w:rPr>
        <w:t>):</w:t>
      </w:r>
    </w:p>
    <w:p w14:paraId="73BAAA5A" w14:textId="77777777" w:rsidR="006F3355" w:rsidRPr="006F3355" w:rsidRDefault="006F3355" w:rsidP="00746747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Po 10násobném předávkování v jedné dávce nebyly pozorovány žádné další nežádoucí účinky kromě těch, které jsou zmíněny v části „Nežádoucí účinky“.</w:t>
      </w:r>
    </w:p>
    <w:p w14:paraId="5B263AED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2"/>
          <w:u w:val="single"/>
        </w:rPr>
      </w:pPr>
    </w:p>
    <w:p w14:paraId="64AF763B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2"/>
          <w:u w:val="single"/>
        </w:rPr>
        <w:t>Inkompatibility:</w:t>
      </w:r>
    </w:p>
    <w:p w14:paraId="3A5790FF" w14:textId="77777777" w:rsidR="006F3355" w:rsidRPr="006F3355" w:rsidRDefault="006F3355" w:rsidP="00746747">
      <w:pPr>
        <w:widowControl w:val="0"/>
        <w:ind w:left="0" w:firstLine="0"/>
        <w:jc w:val="both"/>
        <w:rPr>
          <w:rFonts w:eastAsia="PMingLiU"/>
          <w:szCs w:val="22"/>
        </w:rPr>
      </w:pPr>
      <w:r w:rsidRPr="006F3355">
        <w:rPr>
          <w:rFonts w:eastAsia="PMingLiU"/>
          <w:szCs w:val="22"/>
        </w:rPr>
        <w:t>Nemísit s jiným veterinárním léčivým přípravkem, vyjma rozpouštědla dodaného pro použití s veterinárním léčivým přípravkem</w:t>
      </w:r>
      <w:r w:rsidR="008E295D">
        <w:rPr>
          <w:rFonts w:eastAsia="PMingLiU"/>
          <w:szCs w:val="22"/>
        </w:rPr>
        <w:t xml:space="preserve"> </w:t>
      </w:r>
      <w:r w:rsidR="00620F53">
        <w:rPr>
          <w:rFonts w:eastAsia="PMingLiU"/>
          <w:szCs w:val="22"/>
        </w:rPr>
        <w:t>nebo</w:t>
      </w:r>
      <w:r w:rsidR="008E295D">
        <w:rPr>
          <w:rFonts w:eastAsia="PMingLiU"/>
          <w:szCs w:val="22"/>
        </w:rPr>
        <w:t xml:space="preserve"> přípravk</w:t>
      </w:r>
      <w:r w:rsidR="001B7234">
        <w:rPr>
          <w:rFonts w:eastAsia="PMingLiU"/>
          <w:szCs w:val="22"/>
        </w:rPr>
        <w:t>u</w:t>
      </w:r>
      <w:r w:rsidR="008E295D">
        <w:rPr>
          <w:rFonts w:eastAsia="PMingLiU"/>
          <w:szCs w:val="22"/>
        </w:rPr>
        <w:t xml:space="preserve"> </w:t>
      </w:r>
      <w:proofErr w:type="spellStart"/>
      <w:r w:rsidR="008E295D">
        <w:t>ReproCyc</w:t>
      </w:r>
      <w:proofErr w:type="spellEnd"/>
      <w:r w:rsidR="008E295D">
        <w:t xml:space="preserve"> </w:t>
      </w:r>
      <w:proofErr w:type="spellStart"/>
      <w:r w:rsidR="008E295D">
        <w:t>ParvoFLEX</w:t>
      </w:r>
      <w:proofErr w:type="spellEnd"/>
      <w:r w:rsidRPr="006F3355">
        <w:rPr>
          <w:rFonts w:eastAsia="PMingLiU"/>
          <w:szCs w:val="22"/>
        </w:rPr>
        <w:t>.</w:t>
      </w:r>
    </w:p>
    <w:p w14:paraId="4C625F20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74E83C51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0C5EECA2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rPr>
          <w:rFonts w:eastAsia="PMingLiU"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13.</w:t>
      </w:r>
      <w:r w:rsidRPr="006F3355">
        <w:rPr>
          <w:rFonts w:eastAsia="PMingLiU"/>
          <w:b/>
          <w:szCs w:val="24"/>
        </w:rPr>
        <w:tab/>
        <w:t>ZVLÁŠTNÍ OPATŘENÍ PRO ZNEŠKODŇOVÁNÍ NEPOUŽITÝCH PŘÍPRAVKŮ NEBO ODPADU, POKUD JE JICH TŘEBA</w:t>
      </w:r>
    </w:p>
    <w:p w14:paraId="30A8CA69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rPr>
          <w:rFonts w:eastAsia="PMingLiU"/>
          <w:b/>
          <w:szCs w:val="24"/>
        </w:rPr>
      </w:pPr>
    </w:p>
    <w:p w14:paraId="5669E387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6F3355">
        <w:rPr>
          <w:rFonts w:eastAsia="PMingLiU"/>
          <w:szCs w:val="24"/>
        </w:rPr>
        <w:t>Léčivé přípravky se nesmí likvidovat prostřednictvím odpadní vody či domovního odpadu. O možnostech likvidace nepotřebných léčivých přípravků se poraďte s vaším veterinárním lékařem. Tato opatření napomáhají chránit životní prostředí.</w:t>
      </w:r>
    </w:p>
    <w:p w14:paraId="374A9387" w14:textId="77777777" w:rsidR="006F3355" w:rsidRPr="006F3355" w:rsidRDefault="006F3355" w:rsidP="006D16DB">
      <w:pPr>
        <w:widowControl w:val="0"/>
        <w:tabs>
          <w:tab w:val="left" w:pos="567"/>
        </w:tabs>
        <w:rPr>
          <w:rFonts w:eastAsia="PMingLiU"/>
        </w:rPr>
      </w:pPr>
    </w:p>
    <w:p w14:paraId="430A6195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</w:p>
    <w:p w14:paraId="004E6C2C" w14:textId="77777777" w:rsidR="006F3355" w:rsidRPr="006F3355" w:rsidRDefault="006F3355" w:rsidP="005A212C">
      <w:pPr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14.</w:t>
      </w:r>
      <w:r w:rsidRPr="006F3355">
        <w:rPr>
          <w:rFonts w:eastAsia="PMingLiU"/>
          <w:b/>
          <w:szCs w:val="24"/>
        </w:rPr>
        <w:tab/>
        <w:t>DATUM POSLEDNÍ REVIZE PŘÍBALOVÉ INFORMACE</w:t>
      </w:r>
    </w:p>
    <w:p w14:paraId="5B987BB2" w14:textId="77777777" w:rsidR="006F3355" w:rsidRPr="006F3355" w:rsidRDefault="006F3355" w:rsidP="005A212C">
      <w:pPr>
        <w:tabs>
          <w:tab w:val="left" w:pos="567"/>
        </w:tabs>
        <w:spacing w:line="260" w:lineRule="exact"/>
        <w:ind w:left="0" w:firstLine="0"/>
        <w:rPr>
          <w:rFonts w:eastAsia="PMingLiU"/>
          <w:szCs w:val="24"/>
        </w:rPr>
      </w:pPr>
    </w:p>
    <w:p w14:paraId="03CE3FD9" w14:textId="412B9DA6" w:rsidR="00DF3D82" w:rsidRDefault="00393489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>
        <w:rPr>
          <w:rFonts w:eastAsia="PMingLiU"/>
          <w:szCs w:val="24"/>
        </w:rPr>
        <w:t>1</w:t>
      </w:r>
      <w:r w:rsidR="00D360F0">
        <w:rPr>
          <w:rFonts w:eastAsia="PMingLiU"/>
          <w:szCs w:val="24"/>
        </w:rPr>
        <w:t>1</w:t>
      </w:r>
      <w:r>
        <w:rPr>
          <w:rFonts w:eastAsia="PMingLiU"/>
          <w:szCs w:val="24"/>
        </w:rPr>
        <w:t>/2021</w:t>
      </w:r>
    </w:p>
    <w:p w14:paraId="1A742414" w14:textId="77777777" w:rsidR="006D16DB" w:rsidRDefault="006D16DB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</w:p>
    <w:p w14:paraId="7498C83D" w14:textId="77777777" w:rsidR="005A212C" w:rsidRPr="006F3355" w:rsidRDefault="005A212C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</w:p>
    <w:p w14:paraId="2446B61C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  <w:r w:rsidRPr="000E012F">
        <w:rPr>
          <w:rFonts w:eastAsia="PMingLiU"/>
          <w:b/>
          <w:szCs w:val="24"/>
          <w:highlight w:val="lightGray"/>
        </w:rPr>
        <w:t>15.</w:t>
      </w:r>
      <w:r w:rsidRPr="006F3355">
        <w:rPr>
          <w:rFonts w:eastAsia="PMingLiU"/>
          <w:b/>
          <w:szCs w:val="24"/>
        </w:rPr>
        <w:tab/>
        <w:t>DALŠÍ INFORMACE</w:t>
      </w:r>
    </w:p>
    <w:p w14:paraId="47C52404" w14:textId="77777777" w:rsidR="006F3355" w:rsidRPr="006F3355" w:rsidRDefault="006F3355" w:rsidP="006D16DB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4"/>
        </w:rPr>
      </w:pPr>
    </w:p>
    <w:p w14:paraId="7103911B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Pouze pro zvířata.</w:t>
      </w:r>
    </w:p>
    <w:p w14:paraId="30E2A8FA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4"/>
        </w:rPr>
      </w:pPr>
      <w:r w:rsidRPr="006F3355">
        <w:rPr>
          <w:rFonts w:eastAsia="PMingLiU"/>
          <w:szCs w:val="24"/>
        </w:rPr>
        <w:t>Veterinární léčivý přípravek je vydáván pouze na předpis.</w:t>
      </w:r>
    </w:p>
    <w:p w14:paraId="02795584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b/>
          <w:szCs w:val="24"/>
        </w:rPr>
      </w:pPr>
    </w:p>
    <w:p w14:paraId="03D26281" w14:textId="77777777" w:rsidR="006F3355" w:rsidRPr="006F3355" w:rsidRDefault="006F3355" w:rsidP="00746747">
      <w:pPr>
        <w:widowControl w:val="0"/>
        <w:tabs>
          <w:tab w:val="left" w:pos="567"/>
        </w:tabs>
        <w:spacing w:line="260" w:lineRule="exact"/>
        <w:ind w:left="0" w:firstLine="0"/>
        <w:jc w:val="both"/>
        <w:rPr>
          <w:rFonts w:eastAsia="PMingLiU"/>
          <w:szCs w:val="24"/>
          <w:u w:val="single"/>
        </w:rPr>
      </w:pPr>
      <w:r w:rsidRPr="006F3355">
        <w:rPr>
          <w:rFonts w:eastAsia="PMingLiU"/>
          <w:szCs w:val="24"/>
          <w:u w:val="single"/>
        </w:rPr>
        <w:t>Velikosti balení:</w:t>
      </w:r>
    </w:p>
    <w:p w14:paraId="39198F29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1 injekční lahvičku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 ml a 1 injekční lahvičku s rozpouštědlem 20 ml (10 dávek).</w:t>
      </w:r>
    </w:p>
    <w:p w14:paraId="2495ED61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1 injekční lahvičku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100 ml a 1 injekční lahvičku s rozpouštědlem 100 ml (50 dávek).</w:t>
      </w:r>
    </w:p>
    <w:p w14:paraId="26C07676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1 injekční lahvičku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200 ml a 1 injekční lahvičku s rozpouštědlem 200 ml (100 dávek).</w:t>
      </w:r>
    </w:p>
    <w:p w14:paraId="408D46A3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</w:p>
    <w:p w14:paraId="06DBB6C8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12 injekčních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 ml a papírová krabička obsahující 12 injekčních lahviček s rozpouštědlem 20 ml (10 dávek).</w:t>
      </w:r>
    </w:p>
    <w:p w14:paraId="35FFC8C9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>Papírová krabička obsahující 12 in</w:t>
      </w:r>
      <w:bookmarkStart w:id="0" w:name="_GoBack"/>
      <w:bookmarkEnd w:id="0"/>
      <w:r w:rsidRPr="006F3355">
        <w:rPr>
          <w:rFonts w:eastAsia="PMingLiU"/>
          <w:szCs w:val="22"/>
          <w:lang w:eastAsia="de-DE"/>
        </w:rPr>
        <w:t xml:space="preserve">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100 ml a papírová krabička obsahující 12 injekčních lahviček s rozpouštědlem 100 ml (50 dávek).</w:t>
      </w:r>
    </w:p>
    <w:p w14:paraId="30C68E5A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12 injekčních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200 ml a papírová krabička obsahující 12 injekčních lahviček s rozpouštědlem 200 ml (100 dávek).</w:t>
      </w:r>
    </w:p>
    <w:p w14:paraId="4C4FE989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</w:p>
    <w:p w14:paraId="30BF1A9E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25 injekčních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 ml a papírová krabička obsahující 25 injekčních lahviček s rozpouštědlem 20 ml (10 dávek).</w:t>
      </w:r>
    </w:p>
    <w:p w14:paraId="2E6CDDD1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25 injekčních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100 ml a papírová krabička obsahující 25 injekčních lahviček s rozpouštědlem 100 ml (50 dávek).</w:t>
      </w:r>
    </w:p>
    <w:p w14:paraId="21865A2B" w14:textId="77777777" w:rsidR="006F3355" w:rsidRPr="006F3355" w:rsidRDefault="006F3355" w:rsidP="00746747">
      <w:pPr>
        <w:widowControl w:val="0"/>
        <w:tabs>
          <w:tab w:val="left" w:pos="708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  <w:r w:rsidRPr="006F3355">
        <w:rPr>
          <w:rFonts w:eastAsia="PMingLiU"/>
          <w:szCs w:val="22"/>
          <w:lang w:eastAsia="de-DE"/>
        </w:rPr>
        <w:t xml:space="preserve">Papírová krabička obsahující 25 injekčních lahviček s </w:t>
      </w:r>
      <w:proofErr w:type="spellStart"/>
      <w:r w:rsidRPr="006F3355">
        <w:rPr>
          <w:rFonts w:eastAsia="PMingLiU"/>
          <w:szCs w:val="22"/>
          <w:lang w:eastAsia="de-DE"/>
        </w:rPr>
        <w:t>lyofilizátem</w:t>
      </w:r>
      <w:proofErr w:type="spellEnd"/>
      <w:r w:rsidRPr="006F3355">
        <w:rPr>
          <w:rFonts w:eastAsia="PMingLiU"/>
          <w:szCs w:val="22"/>
          <w:lang w:eastAsia="de-DE"/>
        </w:rPr>
        <w:t xml:space="preserve"> 200 ml a papírová krabička obsahující 25 injekčních lahviček s rozpouštědlem 200 ml (100 dávek).</w:t>
      </w:r>
    </w:p>
    <w:p w14:paraId="3A3DE2C9" w14:textId="77777777" w:rsidR="00DC2C93" w:rsidRDefault="00DC2C93" w:rsidP="00746747">
      <w:pPr>
        <w:widowControl w:val="0"/>
        <w:tabs>
          <w:tab w:val="left" w:pos="0"/>
        </w:tabs>
        <w:ind w:left="0" w:firstLine="0"/>
        <w:jc w:val="both"/>
        <w:rPr>
          <w:rFonts w:eastAsia="PMingLiU"/>
        </w:rPr>
      </w:pPr>
    </w:p>
    <w:p w14:paraId="73321794" w14:textId="77777777" w:rsidR="006F3355" w:rsidRPr="006F3355" w:rsidRDefault="006F3355" w:rsidP="00746747">
      <w:pPr>
        <w:widowControl w:val="0"/>
        <w:tabs>
          <w:tab w:val="left" w:pos="0"/>
        </w:tabs>
        <w:ind w:left="0" w:firstLine="0"/>
        <w:jc w:val="both"/>
        <w:rPr>
          <w:rFonts w:eastAsia="PMingLiU"/>
        </w:rPr>
      </w:pPr>
      <w:r w:rsidRPr="006F3355">
        <w:rPr>
          <w:rFonts w:eastAsia="PMingLiU"/>
        </w:rPr>
        <w:t>Na trhu nemusí být všechny velikosti balení.</w:t>
      </w:r>
    </w:p>
    <w:p w14:paraId="63BF6B72" w14:textId="77777777" w:rsidR="006F3355" w:rsidRDefault="006F3355" w:rsidP="00746747">
      <w:pPr>
        <w:widowControl w:val="0"/>
        <w:tabs>
          <w:tab w:val="left" w:pos="0"/>
        </w:tabs>
        <w:ind w:left="0" w:firstLine="0"/>
        <w:jc w:val="both"/>
        <w:rPr>
          <w:rFonts w:eastAsia="PMingLiU"/>
        </w:rPr>
      </w:pPr>
    </w:p>
    <w:p w14:paraId="4189D6CC" w14:textId="77777777" w:rsidR="00E64E8C" w:rsidRDefault="00E64E8C" w:rsidP="00746747">
      <w:pPr>
        <w:tabs>
          <w:tab w:val="left" w:pos="0"/>
        </w:tabs>
        <w:jc w:val="both"/>
        <w:rPr>
          <w:highlight w:val="lightGray"/>
        </w:rPr>
      </w:pPr>
      <w:proofErr w:type="spellStart"/>
      <w:r w:rsidRPr="00E64E8C">
        <w:rPr>
          <w:highlight w:val="lightGray"/>
        </w:rPr>
        <w:t>ReproCyc</w:t>
      </w:r>
      <w:proofErr w:type="spellEnd"/>
      <w:r w:rsidRPr="00E64E8C">
        <w:rPr>
          <w:highlight w:val="lightGray"/>
        </w:rPr>
        <w:t xml:space="preserve">® PRRS EU je registrovaná ochranná známka společnosti </w:t>
      </w:r>
      <w:proofErr w:type="spellStart"/>
      <w:r w:rsidRPr="00E64E8C">
        <w:rPr>
          <w:highlight w:val="lightGray"/>
        </w:rPr>
        <w:t>Boehringer</w:t>
      </w:r>
      <w:proofErr w:type="spellEnd"/>
      <w:r w:rsidRPr="00E64E8C">
        <w:rPr>
          <w:highlight w:val="lightGray"/>
        </w:rPr>
        <w:t xml:space="preserve"> </w:t>
      </w:r>
      <w:proofErr w:type="spellStart"/>
      <w:r w:rsidRPr="00E64E8C">
        <w:rPr>
          <w:highlight w:val="lightGray"/>
        </w:rPr>
        <w:t>Ingelheim</w:t>
      </w:r>
      <w:proofErr w:type="spellEnd"/>
      <w:r w:rsidRPr="00E64E8C">
        <w:rPr>
          <w:highlight w:val="lightGray"/>
        </w:rPr>
        <w:t xml:space="preserve"> </w:t>
      </w:r>
      <w:proofErr w:type="spellStart"/>
      <w:r w:rsidRPr="00E64E8C">
        <w:rPr>
          <w:highlight w:val="lightGray"/>
        </w:rPr>
        <w:t>Vetmedica</w:t>
      </w:r>
      <w:proofErr w:type="spellEnd"/>
      <w:r w:rsidRPr="00E64E8C">
        <w:rPr>
          <w:highlight w:val="lightGray"/>
        </w:rPr>
        <w:t xml:space="preserve"> </w:t>
      </w:r>
    </w:p>
    <w:p w14:paraId="6002168A" w14:textId="77777777" w:rsidR="00E64E8C" w:rsidRDefault="00E64E8C" w:rsidP="00746747">
      <w:pPr>
        <w:tabs>
          <w:tab w:val="left" w:pos="0"/>
        </w:tabs>
        <w:jc w:val="both"/>
        <w:rPr>
          <w:highlight w:val="lightGray"/>
        </w:rPr>
      </w:pPr>
      <w:proofErr w:type="spellStart"/>
      <w:r w:rsidRPr="00E64E8C">
        <w:rPr>
          <w:highlight w:val="lightGray"/>
        </w:rPr>
        <w:t>GmbH</w:t>
      </w:r>
      <w:proofErr w:type="spellEnd"/>
      <w:r w:rsidRPr="00E64E8C">
        <w:rPr>
          <w:highlight w:val="lightGray"/>
        </w:rPr>
        <w:t>, používaná na základě licence.</w:t>
      </w:r>
    </w:p>
    <w:p w14:paraId="4B27A272" w14:textId="77777777" w:rsidR="00E64E8C" w:rsidRPr="00E64E8C" w:rsidRDefault="00E64E8C" w:rsidP="00746747">
      <w:pPr>
        <w:tabs>
          <w:tab w:val="left" w:pos="0"/>
        </w:tabs>
        <w:jc w:val="both"/>
        <w:rPr>
          <w:highlight w:val="lightGray"/>
        </w:rPr>
      </w:pPr>
    </w:p>
    <w:p w14:paraId="4A8FC1FC" w14:textId="77777777" w:rsidR="00DC2C93" w:rsidRPr="006F3355" w:rsidRDefault="00E64E8C" w:rsidP="00746747">
      <w:pPr>
        <w:widowControl w:val="0"/>
        <w:tabs>
          <w:tab w:val="left" w:pos="0"/>
        </w:tabs>
        <w:ind w:left="0" w:firstLine="0"/>
        <w:jc w:val="both"/>
        <w:rPr>
          <w:rFonts w:eastAsia="PMingLiU"/>
        </w:rPr>
      </w:pPr>
      <w:r w:rsidRPr="00E64E8C">
        <w:rPr>
          <w:szCs w:val="24"/>
          <w:highlight w:val="lightGray"/>
        </w:rPr>
        <w:t>Pokud chcete získat informace o tomto veterinárním léčivé</w:t>
      </w:r>
      <w:r>
        <w:rPr>
          <w:szCs w:val="24"/>
          <w:highlight w:val="lightGray"/>
        </w:rPr>
        <w:t xml:space="preserve">m přípravku, kontaktujte prosím </w:t>
      </w:r>
      <w:r w:rsidRPr="00E64E8C">
        <w:rPr>
          <w:szCs w:val="24"/>
          <w:highlight w:val="lightGray"/>
        </w:rPr>
        <w:t>příslušného místního zástupce držitele rozhodnutí o registraci.</w:t>
      </w:r>
    </w:p>
    <w:sectPr w:rsidR="00DC2C93" w:rsidRPr="006F3355" w:rsidSect="002F72E8">
      <w:footerReference w:type="defaul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A6F6" w14:textId="77777777" w:rsidR="00C1573F" w:rsidRDefault="00C1573F">
      <w:r>
        <w:separator/>
      </w:r>
    </w:p>
  </w:endnote>
  <w:endnote w:type="continuationSeparator" w:id="0">
    <w:p w14:paraId="5140A881" w14:textId="77777777" w:rsidR="00C1573F" w:rsidRDefault="00C1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973E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5A2C5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5738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3D4E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0C4B" w14:textId="77777777" w:rsidR="00C1573F" w:rsidRDefault="00C1573F">
      <w:r>
        <w:separator/>
      </w:r>
    </w:p>
  </w:footnote>
  <w:footnote w:type="continuationSeparator" w:id="0">
    <w:p w14:paraId="5FCA5177" w14:textId="77777777" w:rsidR="00C1573F" w:rsidRDefault="00C1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NLY0MTEzMrI0MTJT0lEKTi0uzszPAykwqgUAZ1CrSywAAAA="/>
    <w:docVar w:name="Registered" w:val="-1"/>
    <w:docVar w:name="Version" w:val="0"/>
  </w:docVars>
  <w:rsids>
    <w:rsidRoot w:val="00A82534"/>
    <w:rsid w:val="00001727"/>
    <w:rsid w:val="000643B7"/>
    <w:rsid w:val="00073464"/>
    <w:rsid w:val="000A740D"/>
    <w:rsid w:val="000C2905"/>
    <w:rsid w:val="000E012F"/>
    <w:rsid w:val="001002C3"/>
    <w:rsid w:val="001A49C0"/>
    <w:rsid w:val="001B1CBB"/>
    <w:rsid w:val="001B7234"/>
    <w:rsid w:val="001C67D6"/>
    <w:rsid w:val="001E63E5"/>
    <w:rsid w:val="00252FA7"/>
    <w:rsid w:val="0025416E"/>
    <w:rsid w:val="0027335C"/>
    <w:rsid w:val="00296723"/>
    <w:rsid w:val="002A0BAF"/>
    <w:rsid w:val="002A4A78"/>
    <w:rsid w:val="002B28AC"/>
    <w:rsid w:val="002B503C"/>
    <w:rsid w:val="002F315B"/>
    <w:rsid w:val="002F72E8"/>
    <w:rsid w:val="003135E9"/>
    <w:rsid w:val="00317A0F"/>
    <w:rsid w:val="00390848"/>
    <w:rsid w:val="00393489"/>
    <w:rsid w:val="003C7169"/>
    <w:rsid w:val="003D4EF3"/>
    <w:rsid w:val="003E7C3A"/>
    <w:rsid w:val="004167C4"/>
    <w:rsid w:val="004928DB"/>
    <w:rsid w:val="004A1929"/>
    <w:rsid w:val="004A3639"/>
    <w:rsid w:val="004D3385"/>
    <w:rsid w:val="004F6131"/>
    <w:rsid w:val="005031FB"/>
    <w:rsid w:val="00503303"/>
    <w:rsid w:val="00506CA9"/>
    <w:rsid w:val="005A212C"/>
    <w:rsid w:val="005A2C54"/>
    <w:rsid w:val="005B79BA"/>
    <w:rsid w:val="005E119E"/>
    <w:rsid w:val="00620F53"/>
    <w:rsid w:val="0063537E"/>
    <w:rsid w:val="00663111"/>
    <w:rsid w:val="0066708F"/>
    <w:rsid w:val="00667921"/>
    <w:rsid w:val="006A1EB4"/>
    <w:rsid w:val="006B7452"/>
    <w:rsid w:val="006D16DB"/>
    <w:rsid w:val="006D7540"/>
    <w:rsid w:val="006E3FDB"/>
    <w:rsid w:val="006F3355"/>
    <w:rsid w:val="00746747"/>
    <w:rsid w:val="00747169"/>
    <w:rsid w:val="007A7B9C"/>
    <w:rsid w:val="00804A4C"/>
    <w:rsid w:val="00886DEA"/>
    <w:rsid w:val="008A219D"/>
    <w:rsid w:val="008B5C44"/>
    <w:rsid w:val="008E295D"/>
    <w:rsid w:val="00902528"/>
    <w:rsid w:val="00903449"/>
    <w:rsid w:val="009316DC"/>
    <w:rsid w:val="00961AAC"/>
    <w:rsid w:val="00990659"/>
    <w:rsid w:val="009C677D"/>
    <w:rsid w:val="009D68BF"/>
    <w:rsid w:val="009D6DD1"/>
    <w:rsid w:val="00A0294E"/>
    <w:rsid w:val="00A63501"/>
    <w:rsid w:val="00A76B10"/>
    <w:rsid w:val="00A82534"/>
    <w:rsid w:val="00A84937"/>
    <w:rsid w:val="00A90943"/>
    <w:rsid w:val="00AE16B9"/>
    <w:rsid w:val="00AF2A25"/>
    <w:rsid w:val="00B07FA1"/>
    <w:rsid w:val="00B331F2"/>
    <w:rsid w:val="00B50850"/>
    <w:rsid w:val="00B90529"/>
    <w:rsid w:val="00BB7288"/>
    <w:rsid w:val="00BC5D1A"/>
    <w:rsid w:val="00BF1F1D"/>
    <w:rsid w:val="00C1573F"/>
    <w:rsid w:val="00C3450A"/>
    <w:rsid w:val="00C458B1"/>
    <w:rsid w:val="00CA7073"/>
    <w:rsid w:val="00CD2DAB"/>
    <w:rsid w:val="00CE1CBA"/>
    <w:rsid w:val="00D06B09"/>
    <w:rsid w:val="00D360F0"/>
    <w:rsid w:val="00DC2C93"/>
    <w:rsid w:val="00DD047D"/>
    <w:rsid w:val="00DF3D82"/>
    <w:rsid w:val="00E35966"/>
    <w:rsid w:val="00E57260"/>
    <w:rsid w:val="00E64E8C"/>
    <w:rsid w:val="00E65327"/>
    <w:rsid w:val="00E71162"/>
    <w:rsid w:val="00E872F3"/>
    <w:rsid w:val="00ED44B1"/>
    <w:rsid w:val="00F04294"/>
    <w:rsid w:val="00F2477F"/>
    <w:rsid w:val="00F3568D"/>
    <w:rsid w:val="00F56131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76547"/>
  <w15:chartTrackingRefBased/>
  <w15:docId w15:val="{1631714B-6158-4DCB-AC4B-1CAF4E1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F72E8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2F72E8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72E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72E8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72E8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72E8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72E8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72E8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F72E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F72E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F72E8"/>
    <w:pPr>
      <w:ind w:left="1760"/>
    </w:pPr>
  </w:style>
  <w:style w:type="character" w:styleId="Odkaznavysvtlivky">
    <w:name w:val="endnote reference"/>
    <w:rsid w:val="002F72E8"/>
    <w:rPr>
      <w:vertAlign w:val="superscript"/>
    </w:rPr>
  </w:style>
  <w:style w:type="character" w:styleId="Znakapoznpodarou">
    <w:name w:val="footnote reference"/>
    <w:rsid w:val="002F72E8"/>
    <w:rPr>
      <w:vertAlign w:val="superscript"/>
    </w:rPr>
  </w:style>
  <w:style w:type="paragraph" w:styleId="Textpoznpodarou">
    <w:name w:val="footnote text"/>
    <w:basedOn w:val="Normln"/>
    <w:rsid w:val="002F72E8"/>
    <w:pPr>
      <w:jc w:val="both"/>
    </w:pPr>
    <w:rPr>
      <w:sz w:val="20"/>
    </w:rPr>
  </w:style>
  <w:style w:type="paragraph" w:styleId="Zkladntext">
    <w:name w:val="Body Text"/>
    <w:basedOn w:val="Normln"/>
    <w:rsid w:val="002F72E8"/>
    <w:pPr>
      <w:jc w:val="both"/>
    </w:pPr>
  </w:style>
  <w:style w:type="paragraph" w:styleId="Textvbloku">
    <w:name w:val="Block Text"/>
    <w:basedOn w:val="Normln"/>
    <w:rsid w:val="002F72E8"/>
    <w:pPr>
      <w:ind w:left="2268" w:right="1711"/>
    </w:pPr>
    <w:rPr>
      <w:b/>
    </w:rPr>
  </w:style>
  <w:style w:type="paragraph" w:styleId="Zkladntext2">
    <w:name w:val="Body Text 2"/>
    <w:basedOn w:val="Normln"/>
    <w:rsid w:val="002F72E8"/>
    <w:rPr>
      <w:b/>
    </w:rPr>
  </w:style>
  <w:style w:type="paragraph" w:styleId="Zkladntext3">
    <w:name w:val="Body Text 3"/>
    <w:basedOn w:val="Normln"/>
    <w:rsid w:val="002F72E8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F72E8"/>
  </w:style>
  <w:style w:type="character" w:styleId="Odkaznakoment">
    <w:name w:val="annotation reference"/>
    <w:rsid w:val="002F72E8"/>
    <w:rPr>
      <w:sz w:val="16"/>
    </w:rPr>
  </w:style>
  <w:style w:type="paragraph" w:styleId="Zkladntextodsazen2">
    <w:name w:val="Body Text Indent 2"/>
    <w:basedOn w:val="Normln"/>
    <w:rsid w:val="002F72E8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F72E8"/>
    <w:rPr>
      <w:sz w:val="20"/>
    </w:rPr>
  </w:style>
  <w:style w:type="paragraph" w:styleId="Zkladntextodsazen3">
    <w:name w:val="Body Text Indent 3"/>
    <w:basedOn w:val="Normln"/>
    <w:rsid w:val="002F72E8"/>
  </w:style>
  <w:style w:type="paragraph" w:customStyle="1" w:styleId="Bullet">
    <w:name w:val="Bullet"/>
    <w:basedOn w:val="Normln"/>
    <w:rsid w:val="002F72E8"/>
    <w:pPr>
      <w:numPr>
        <w:numId w:val="2"/>
      </w:numPr>
    </w:pPr>
  </w:style>
  <w:style w:type="paragraph" w:styleId="Textbubliny">
    <w:name w:val="Balloon Text"/>
    <w:basedOn w:val="Normln"/>
    <w:rsid w:val="002F72E8"/>
    <w:rPr>
      <w:rFonts w:ascii="Tahoma" w:hAnsi="Tahoma" w:cs="Tahoma"/>
      <w:sz w:val="16"/>
      <w:szCs w:val="16"/>
    </w:rPr>
  </w:style>
  <w:style w:type="character" w:styleId="Hypertextovodkaz">
    <w:name w:val="Hyperlink"/>
    <w:rsid w:val="002F72E8"/>
    <w:rPr>
      <w:color w:val="0000FF"/>
      <w:u w:val="single"/>
    </w:rPr>
  </w:style>
  <w:style w:type="paragraph" w:customStyle="1" w:styleId="AHeader1">
    <w:name w:val="AHeader 1"/>
    <w:basedOn w:val="Normln"/>
    <w:rsid w:val="002F72E8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F72E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72E8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F72E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72E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72E8"/>
    <w:rPr>
      <w:color w:val="800080"/>
      <w:u w:val="single"/>
    </w:rPr>
  </w:style>
  <w:style w:type="paragraph" w:styleId="Odstavecseseznamem">
    <w:name w:val="List Paragraph"/>
    <w:basedOn w:val="Normln"/>
    <w:qFormat/>
    <w:rsid w:val="00E57260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E57260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Revize">
    <w:name w:val="Revision"/>
    <w:hidden/>
    <w:rsid w:val="008B5C44"/>
    <w:rPr>
      <w:sz w:val="22"/>
      <w:lang w:val="cs-CZ"/>
    </w:rPr>
  </w:style>
  <w:style w:type="table" w:styleId="Mkatabulky">
    <w:name w:val="Table Grid"/>
    <w:basedOn w:val="Normlntabulka"/>
    <w:uiPriority w:val="59"/>
    <w:rsid w:val="00667921"/>
    <w:rPr>
      <w:rFonts w:eastAsia="PMingLiU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6D16DB"/>
    <w:rPr>
      <w:b/>
      <w:bCs/>
    </w:rPr>
  </w:style>
  <w:style w:type="character" w:customStyle="1" w:styleId="TextkomenteChar">
    <w:name w:val="Text komentáře Char"/>
    <w:link w:val="Textkomente"/>
    <w:rsid w:val="006D16DB"/>
    <w:rPr>
      <w:lang w:val="cs-CZ" w:eastAsia="en-US"/>
    </w:rPr>
  </w:style>
  <w:style w:type="character" w:customStyle="1" w:styleId="PedmtkomenteChar">
    <w:name w:val="Předmět komentáře Char"/>
    <w:link w:val="Pedmtkomente"/>
    <w:rsid w:val="006D16DB"/>
    <w:rPr>
      <w:b/>
      <w:bCs/>
      <w:lang w:val="cs-CZ" w:eastAsia="en-US"/>
    </w:rPr>
  </w:style>
  <w:style w:type="paragraph" w:customStyle="1" w:styleId="BodytextAgency">
    <w:name w:val="Body text (Agency)"/>
    <w:basedOn w:val="Normln"/>
    <w:link w:val="BodytextAgencyChar"/>
    <w:qFormat/>
    <w:rsid w:val="008A219D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8A219D"/>
    <w:rPr>
      <w:rFonts w:ascii="Verdana" w:eastAsia="Verdana" w:hAnsi="Verdana" w:cs="Verdan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8" ma:contentTypeDescription="Create a new document." ma:contentTypeScope="" ma:versionID="16e801c6b454fc8b25936b968b4b9c0b">
  <xsd:schema xmlns:xsd="http://www.w3.org/2001/XMLSchema" xmlns:xs="http://www.w3.org/2001/XMLSchema" xmlns:p="http://schemas.microsoft.com/office/2006/metadata/properties" xmlns:ns2="475dbe14-e6e6-4e48-9d0c-f2238cd72264" xmlns:ns3="0fa7ed56-613c-4591-82d0-5d1e7e244400" targetNamespace="http://schemas.microsoft.com/office/2006/metadata/properties" ma:root="true" ma:fieldsID="5ac2d87991849b6b436efbe99794f2ec" ns2:_="" ns3:_="">
    <xsd:import namespace="475dbe14-e6e6-4e48-9d0c-f2238cd72264"/>
    <xsd:import namespace="0fa7ed56-613c-4591-82d0-5d1e7e24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</documentManagement>
</p:properties>
</file>

<file path=customXml/itemProps1.xml><?xml version="1.0" encoding="utf-8"?>
<ds:datastoreItem xmlns:ds="http://schemas.openxmlformats.org/officeDocument/2006/customXml" ds:itemID="{FA8624E9-0315-4E21-8BBA-66D4A11B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0F498-8B5B-4C80-9B16-AFE8FC478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A02F3-BD67-469C-8235-2A0E23293B24}">
  <ds:schemaRefs>
    <ds:schemaRef ds:uri="http://schemas.microsoft.com/office/2006/metadata/properties"/>
    <ds:schemaRef ds:uri="http://schemas.microsoft.com/office/infopath/2007/PartnerControls"/>
    <ds:schemaRef ds:uri="475dbe14-e6e6-4e48-9d0c-f2238cd72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1653</Words>
  <Characters>9755</Characters>
  <Application>Microsoft Office Word</Application>
  <DocSecurity>0</DocSecurity>
  <Lines>81</Lines>
  <Paragraphs>22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[Version 7</vt:lpstr>
      <vt:lpstr>[Version 7</vt:lpstr>
      <vt:lpstr>[Version 7</vt:lpstr>
      <vt:lpstr>[Version 7</vt:lpstr>
    </vt:vector>
  </TitlesOfParts>
  <Company>Translation Centre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Morávková Věra</dc:creator>
  <cp:keywords/>
  <cp:lastModifiedBy>Wojtylová Jana</cp:lastModifiedBy>
  <cp:revision>6</cp:revision>
  <cp:lastPrinted>2005-07-27T06:58:00Z</cp:lastPrinted>
  <dcterms:created xsi:type="dcterms:W3CDTF">2021-11-16T17:52:00Z</dcterms:created>
  <dcterms:modified xsi:type="dcterms:W3CDTF">2021-11-25T08:14:00Z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