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DDCE5" w14:textId="46C4510E" w:rsidR="00A74BB5" w:rsidRPr="0074673C" w:rsidRDefault="0074673C">
      <w:pPr>
        <w:rPr>
          <w:b/>
        </w:rPr>
      </w:pPr>
      <w:r w:rsidRPr="0074673C">
        <w:rPr>
          <w:b/>
        </w:rPr>
        <w:t>NEFRYS</w:t>
      </w:r>
    </w:p>
    <w:p w14:paraId="17BA1962" w14:textId="77777777" w:rsidR="00102D2F" w:rsidRDefault="00102D2F" w:rsidP="00102D2F">
      <w:r>
        <w:t>Veterinární přípravek</w:t>
      </w:r>
    </w:p>
    <w:p w14:paraId="74665DC0" w14:textId="07653C59" w:rsidR="0074673C" w:rsidRPr="0074673C" w:rsidRDefault="0074673C">
      <w:r w:rsidRPr="0074673C">
        <w:t>Podpora činnosti horních cest močových psů a koček</w:t>
      </w:r>
    </w:p>
    <w:p w14:paraId="51C8DC07" w14:textId="12AFFC42" w:rsidR="0074673C" w:rsidRPr="0074673C" w:rsidRDefault="0074673C">
      <w:r w:rsidRPr="0074673C">
        <w:t>Vysoce chutná orální suspense</w:t>
      </w:r>
    </w:p>
    <w:p w14:paraId="046D1944" w14:textId="6AC4D0F6" w:rsidR="0074673C" w:rsidRPr="0074673C" w:rsidRDefault="0074673C">
      <w:r w:rsidRPr="0074673C">
        <w:t>PŘED POUŽITÍM PROTŘEPAT</w:t>
      </w:r>
    </w:p>
    <w:p w14:paraId="1B91657B" w14:textId="00674B2F" w:rsidR="0074673C" w:rsidRPr="0074673C" w:rsidRDefault="00102D2F">
      <w:r>
        <w:t>POUŽITÍ</w:t>
      </w:r>
    </w:p>
    <w:p w14:paraId="4673769A" w14:textId="6006341F" w:rsidR="0074673C" w:rsidRDefault="0074673C">
      <w:proofErr w:type="spellStart"/>
      <w:r w:rsidRPr="0074673C">
        <w:t>Nefrys</w:t>
      </w:r>
      <w:proofErr w:type="spellEnd"/>
      <w:r w:rsidRPr="0074673C">
        <w:t xml:space="preserve"> je vhodný pro podporu funkce a dobrého stavu horních cest močových psů a koček v každém věku</w:t>
      </w:r>
    </w:p>
    <w:p w14:paraId="690A7BC0" w14:textId="3CB0EF59" w:rsidR="0074673C" w:rsidRDefault="0074673C">
      <w:r>
        <w:t>ZPŮSOB POUŽITÍ</w:t>
      </w:r>
    </w:p>
    <w:p w14:paraId="6ADAED84" w14:textId="441A40B4" w:rsidR="0074673C" w:rsidRDefault="0074673C">
      <w:r>
        <w:t xml:space="preserve">Aplikujte 2x denně množství uvedené v tabulce s krmením. Lahvičku dobře protřepejte, zasuňte dávkovací stříkačku do připraveného otvoru a natáhněte potřebné množství dle přiložené tabulky. Obsah stříkačky aplikujte přímo do tlamy zvířete nebo smíchejte s krmením. </w:t>
      </w:r>
      <w:r w:rsidR="008A10F5">
        <w:t>D</w:t>
      </w:r>
      <w:r>
        <w:t>oporučuje se používat NEFRYS po minimální dobu 6 měsíců.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D4F12" w14:paraId="61BD7043" w14:textId="77777777" w:rsidTr="009D4F12">
        <w:tc>
          <w:tcPr>
            <w:tcW w:w="2265" w:type="dxa"/>
          </w:tcPr>
          <w:p w14:paraId="4AC41685" w14:textId="782DEB37" w:rsidR="009D4F12" w:rsidRDefault="009D4F12">
            <w:r>
              <w:t>Hmotnost (kg)</w:t>
            </w:r>
          </w:p>
        </w:tc>
        <w:tc>
          <w:tcPr>
            <w:tcW w:w="2265" w:type="dxa"/>
          </w:tcPr>
          <w:p w14:paraId="5FA0C854" w14:textId="4575D129" w:rsidR="009D4F12" w:rsidRDefault="009D4F12">
            <w:r>
              <w:t>ml**</w:t>
            </w:r>
          </w:p>
        </w:tc>
        <w:tc>
          <w:tcPr>
            <w:tcW w:w="2266" w:type="dxa"/>
          </w:tcPr>
          <w:p w14:paraId="36321A74" w14:textId="09726717" w:rsidR="009D4F12" w:rsidRDefault="009D4F12">
            <w:r>
              <w:t>Hmotnost (kg)</w:t>
            </w:r>
          </w:p>
        </w:tc>
        <w:tc>
          <w:tcPr>
            <w:tcW w:w="2266" w:type="dxa"/>
          </w:tcPr>
          <w:p w14:paraId="3B2DA91C" w14:textId="0E0C2F6C" w:rsidR="009D4F12" w:rsidRDefault="009D4F12">
            <w:r>
              <w:t>ml**</w:t>
            </w:r>
          </w:p>
        </w:tc>
      </w:tr>
      <w:tr w:rsidR="009D4F12" w14:paraId="37C7372F" w14:textId="77777777" w:rsidTr="009D4F12">
        <w:tc>
          <w:tcPr>
            <w:tcW w:w="2265" w:type="dxa"/>
          </w:tcPr>
          <w:p w14:paraId="3B88930E" w14:textId="3A68867A" w:rsidR="009D4F12" w:rsidRDefault="009D4F12">
            <w:r>
              <w:t>0-4</w:t>
            </w:r>
          </w:p>
        </w:tc>
        <w:tc>
          <w:tcPr>
            <w:tcW w:w="2265" w:type="dxa"/>
          </w:tcPr>
          <w:p w14:paraId="017E5C54" w14:textId="2F88A48E" w:rsidR="009D4F12" w:rsidRDefault="009D4F12">
            <w:r>
              <w:t>0,5</w:t>
            </w:r>
          </w:p>
        </w:tc>
        <w:tc>
          <w:tcPr>
            <w:tcW w:w="2266" w:type="dxa"/>
          </w:tcPr>
          <w:p w14:paraId="67A8A6A1" w14:textId="2E4CB11E" w:rsidR="009D4F12" w:rsidRDefault="009D4F12">
            <w:r>
              <w:t>21-24</w:t>
            </w:r>
          </w:p>
        </w:tc>
        <w:tc>
          <w:tcPr>
            <w:tcW w:w="2266" w:type="dxa"/>
          </w:tcPr>
          <w:p w14:paraId="4C0D5D75" w14:textId="59CA9712" w:rsidR="009D4F12" w:rsidRDefault="009D4F12">
            <w:r>
              <w:t>3</w:t>
            </w:r>
          </w:p>
        </w:tc>
      </w:tr>
      <w:tr w:rsidR="009D4F12" w14:paraId="2FC76A95" w14:textId="77777777" w:rsidTr="009D4F12">
        <w:tc>
          <w:tcPr>
            <w:tcW w:w="2265" w:type="dxa"/>
          </w:tcPr>
          <w:p w14:paraId="709CCC34" w14:textId="1C0F9389" w:rsidR="009D4F12" w:rsidRDefault="009D4F12">
            <w:r>
              <w:t>5-8</w:t>
            </w:r>
          </w:p>
        </w:tc>
        <w:tc>
          <w:tcPr>
            <w:tcW w:w="2265" w:type="dxa"/>
          </w:tcPr>
          <w:p w14:paraId="4A52E7B1" w14:textId="281D9595" w:rsidR="009D4F12" w:rsidRDefault="009D4F12">
            <w:r>
              <w:t>1</w:t>
            </w:r>
          </w:p>
        </w:tc>
        <w:tc>
          <w:tcPr>
            <w:tcW w:w="2266" w:type="dxa"/>
          </w:tcPr>
          <w:p w14:paraId="698F546E" w14:textId="63BA875C" w:rsidR="009D4F12" w:rsidRDefault="009D4F12">
            <w:r>
              <w:t>25-28</w:t>
            </w:r>
          </w:p>
        </w:tc>
        <w:tc>
          <w:tcPr>
            <w:tcW w:w="2266" w:type="dxa"/>
          </w:tcPr>
          <w:p w14:paraId="3AA6E5B7" w14:textId="65E5C0DF" w:rsidR="009D4F12" w:rsidRDefault="009D4F12">
            <w:r>
              <w:t>3,5</w:t>
            </w:r>
          </w:p>
        </w:tc>
      </w:tr>
      <w:tr w:rsidR="009D4F12" w14:paraId="6C794CD3" w14:textId="77777777" w:rsidTr="009D4F12">
        <w:tc>
          <w:tcPr>
            <w:tcW w:w="2265" w:type="dxa"/>
          </w:tcPr>
          <w:p w14:paraId="1050AC73" w14:textId="0ACB2488" w:rsidR="009D4F12" w:rsidRDefault="009D4F12">
            <w:r>
              <w:t>9-12</w:t>
            </w:r>
          </w:p>
        </w:tc>
        <w:tc>
          <w:tcPr>
            <w:tcW w:w="2265" w:type="dxa"/>
          </w:tcPr>
          <w:p w14:paraId="01F474D9" w14:textId="7FA4C88D" w:rsidR="009D4F12" w:rsidRDefault="009D4F12">
            <w:r>
              <w:t>1,5</w:t>
            </w:r>
          </w:p>
        </w:tc>
        <w:tc>
          <w:tcPr>
            <w:tcW w:w="2266" w:type="dxa"/>
          </w:tcPr>
          <w:p w14:paraId="1A335DBC" w14:textId="04FEC239" w:rsidR="009D4F12" w:rsidRDefault="009D4F12">
            <w:r>
              <w:t>29-32</w:t>
            </w:r>
          </w:p>
        </w:tc>
        <w:tc>
          <w:tcPr>
            <w:tcW w:w="2266" w:type="dxa"/>
          </w:tcPr>
          <w:p w14:paraId="3F9FB1EB" w14:textId="3A250A19" w:rsidR="009D4F12" w:rsidRDefault="009D4F12">
            <w:r>
              <w:t>4</w:t>
            </w:r>
          </w:p>
        </w:tc>
      </w:tr>
      <w:tr w:rsidR="009D4F12" w14:paraId="1387D330" w14:textId="77777777" w:rsidTr="009D4F12">
        <w:tc>
          <w:tcPr>
            <w:tcW w:w="2265" w:type="dxa"/>
          </w:tcPr>
          <w:p w14:paraId="04852D4C" w14:textId="748C0269" w:rsidR="009D4F12" w:rsidRDefault="009D4F12">
            <w:r>
              <w:t>13-16</w:t>
            </w:r>
          </w:p>
        </w:tc>
        <w:tc>
          <w:tcPr>
            <w:tcW w:w="2265" w:type="dxa"/>
          </w:tcPr>
          <w:p w14:paraId="04276CCB" w14:textId="6FAEBBDC" w:rsidR="009D4F12" w:rsidRDefault="009D4F12">
            <w:r>
              <w:t>2</w:t>
            </w:r>
          </w:p>
        </w:tc>
        <w:tc>
          <w:tcPr>
            <w:tcW w:w="2266" w:type="dxa"/>
          </w:tcPr>
          <w:p w14:paraId="7785535A" w14:textId="102F4C9E" w:rsidR="009D4F12" w:rsidRDefault="009D4F12">
            <w:r>
              <w:t>33-39</w:t>
            </w:r>
          </w:p>
        </w:tc>
        <w:tc>
          <w:tcPr>
            <w:tcW w:w="2266" w:type="dxa"/>
          </w:tcPr>
          <w:p w14:paraId="50DB98F5" w14:textId="033C920E" w:rsidR="009D4F12" w:rsidRDefault="009D4F12">
            <w:r>
              <w:t>4,5</w:t>
            </w:r>
          </w:p>
        </w:tc>
      </w:tr>
      <w:tr w:rsidR="009D4F12" w14:paraId="0B8555CF" w14:textId="77777777" w:rsidTr="009D4F12">
        <w:tc>
          <w:tcPr>
            <w:tcW w:w="2265" w:type="dxa"/>
          </w:tcPr>
          <w:p w14:paraId="5CBD864B" w14:textId="0063511F" w:rsidR="009D4F12" w:rsidRDefault="009D4F12">
            <w:r>
              <w:t>17-20</w:t>
            </w:r>
          </w:p>
        </w:tc>
        <w:tc>
          <w:tcPr>
            <w:tcW w:w="2265" w:type="dxa"/>
          </w:tcPr>
          <w:p w14:paraId="6DD5CB60" w14:textId="3A6651AE" w:rsidR="009D4F12" w:rsidRDefault="009D4F12">
            <w:r>
              <w:t>2,5</w:t>
            </w:r>
          </w:p>
        </w:tc>
        <w:tc>
          <w:tcPr>
            <w:tcW w:w="2266" w:type="dxa"/>
          </w:tcPr>
          <w:p w14:paraId="3DE823CD" w14:textId="33C9A4F8" w:rsidR="009D4F12" w:rsidRDefault="009D4F12">
            <w:r>
              <w:rPr>
                <w:rFonts w:cstheme="minorHAnsi"/>
              </w:rPr>
              <w:t>&gt;</w:t>
            </w:r>
            <w:r>
              <w:t>40</w:t>
            </w:r>
          </w:p>
        </w:tc>
        <w:tc>
          <w:tcPr>
            <w:tcW w:w="2266" w:type="dxa"/>
          </w:tcPr>
          <w:p w14:paraId="0DB2481E" w14:textId="45BBDE81" w:rsidR="009D4F12" w:rsidRDefault="009D4F12">
            <w:r>
              <w:t>5</w:t>
            </w:r>
          </w:p>
        </w:tc>
      </w:tr>
    </w:tbl>
    <w:p w14:paraId="3B6B30C0" w14:textId="199575C3" w:rsidR="0074673C" w:rsidRDefault="009D4F12">
      <w:r>
        <w:t>**Aplikujte 2x denně</w:t>
      </w:r>
    </w:p>
    <w:p w14:paraId="15D36BAC" w14:textId="6ED1788A" w:rsidR="009D4F12" w:rsidRDefault="009D4F12">
      <w:r>
        <w:t>CHARAKTERISTIKA A SLOŽENÍ</w:t>
      </w:r>
    </w:p>
    <w:p w14:paraId="750A45BC" w14:textId="5CBC8404" w:rsidR="009D4F12" w:rsidRDefault="009D4F12">
      <w:proofErr w:type="spellStart"/>
      <w:r>
        <w:t>Palmito</w:t>
      </w:r>
      <w:r w:rsidR="00102C6D">
        <w:t>y</w:t>
      </w:r>
      <w:r>
        <w:t>let</w:t>
      </w:r>
      <w:r w:rsidR="00102D2F">
        <w:t>h</w:t>
      </w:r>
      <w:r>
        <w:t>anolamid</w:t>
      </w:r>
      <w:proofErr w:type="spellEnd"/>
      <w:r>
        <w:t xml:space="preserve"> (PEA) je přírodní látka, která se nachází v mnohých potravinách jak živočišného, tak rostlinného původu (např. vejce, sója). V organismu funguje jako endoge</w:t>
      </w:r>
      <w:r w:rsidR="00102C6D">
        <w:t>n</w:t>
      </w:r>
      <w:r>
        <w:t xml:space="preserve">ní </w:t>
      </w:r>
      <w:proofErr w:type="spellStart"/>
      <w:r>
        <w:t>biomodulátor</w:t>
      </w:r>
      <w:proofErr w:type="spellEnd"/>
      <w:r>
        <w:t xml:space="preserve"> pro udržení fyziologické rovnováhy ledvin. NEFRYS </w:t>
      </w:r>
      <w:r w:rsidR="00497C5C">
        <w:t>pomáhá využívat endogenní rezervy PEA ve své lépe využitelné formě (ultra-</w:t>
      </w:r>
      <w:proofErr w:type="spellStart"/>
      <w:r w:rsidR="00497C5C">
        <w:t>mikronizovaná</w:t>
      </w:r>
      <w:proofErr w:type="spellEnd"/>
      <w:r w:rsidR="00497C5C">
        <w:t xml:space="preserve">, PEA-um). </w:t>
      </w:r>
      <w:proofErr w:type="spellStart"/>
      <w:r w:rsidR="00497C5C" w:rsidRPr="00497C5C">
        <w:rPr>
          <w:b/>
        </w:rPr>
        <w:t>Silimaryn</w:t>
      </w:r>
      <w:proofErr w:type="spellEnd"/>
      <w:r w:rsidR="00497C5C">
        <w:t xml:space="preserve"> představuje komplex </w:t>
      </w:r>
      <w:proofErr w:type="spellStart"/>
      <w:r w:rsidR="00497C5C">
        <w:t>bioflavonoidů</w:t>
      </w:r>
      <w:proofErr w:type="spellEnd"/>
      <w:r w:rsidR="00497C5C">
        <w:t xml:space="preserve"> extrahovaných z Ostrope</w:t>
      </w:r>
      <w:r w:rsidR="00B5401B">
        <w:t>st</w:t>
      </w:r>
      <w:r w:rsidR="00497C5C">
        <w:t>řce mariánského (</w:t>
      </w:r>
      <w:proofErr w:type="spellStart"/>
      <w:r w:rsidR="00497C5C" w:rsidRPr="00102C6D">
        <w:rPr>
          <w:i/>
        </w:rPr>
        <w:t>Silybum</w:t>
      </w:r>
      <w:proofErr w:type="spellEnd"/>
      <w:r w:rsidR="00497C5C" w:rsidRPr="00102C6D">
        <w:rPr>
          <w:i/>
        </w:rPr>
        <w:t xml:space="preserve"> </w:t>
      </w:r>
      <w:proofErr w:type="spellStart"/>
      <w:r w:rsidR="00497C5C" w:rsidRPr="00102C6D">
        <w:rPr>
          <w:i/>
        </w:rPr>
        <w:t>Marianum</w:t>
      </w:r>
      <w:proofErr w:type="spellEnd"/>
      <w:r w:rsidR="00497C5C">
        <w:t xml:space="preserve">), jehož antioxidační účinky přispívají k udržení normální oxidativní rovnováhy. </w:t>
      </w:r>
      <w:proofErr w:type="spellStart"/>
      <w:r w:rsidR="00497C5C" w:rsidRPr="00497C5C">
        <w:rPr>
          <w:b/>
        </w:rPr>
        <w:t>Chitosan</w:t>
      </w:r>
      <w:proofErr w:type="spellEnd"/>
      <w:r w:rsidR="00497C5C" w:rsidRPr="00497C5C">
        <w:rPr>
          <w:b/>
        </w:rPr>
        <w:t xml:space="preserve"> a uhličitan vápenatý</w:t>
      </w:r>
      <w:r w:rsidR="00497C5C">
        <w:t xml:space="preserve"> pomáhají udržet v trávicím traktu fyziologickou hladinu fosforu a produkty z trávení bílkovin (např. dusíkatých látek).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7"/>
      </w:tblGrid>
      <w:tr w:rsidR="006053C1" w14:paraId="2C35D972" w14:textId="77777777" w:rsidTr="006053C1">
        <w:tc>
          <w:tcPr>
            <w:tcW w:w="3020" w:type="dxa"/>
          </w:tcPr>
          <w:p w14:paraId="26EA6139" w14:textId="7D9FE83C" w:rsidR="006053C1" w:rsidRPr="006053C1" w:rsidRDefault="006053C1">
            <w:pPr>
              <w:rPr>
                <w:b/>
              </w:rPr>
            </w:pPr>
            <w:r w:rsidRPr="006053C1">
              <w:rPr>
                <w:b/>
              </w:rPr>
              <w:t>Aktivní složka</w:t>
            </w:r>
          </w:p>
        </w:tc>
        <w:tc>
          <w:tcPr>
            <w:tcW w:w="2645" w:type="dxa"/>
          </w:tcPr>
          <w:p w14:paraId="08A092B7" w14:textId="609B6F11" w:rsidR="006053C1" w:rsidRPr="006053C1" w:rsidRDefault="006053C1">
            <w:pPr>
              <w:rPr>
                <w:b/>
              </w:rPr>
            </w:pPr>
            <w:r w:rsidRPr="006053C1">
              <w:rPr>
                <w:b/>
              </w:rPr>
              <w:t>mg/ml</w:t>
            </w:r>
          </w:p>
        </w:tc>
        <w:tc>
          <w:tcPr>
            <w:tcW w:w="3397" w:type="dxa"/>
          </w:tcPr>
          <w:p w14:paraId="13292324" w14:textId="3EEC2D3E" w:rsidR="006053C1" w:rsidRPr="006053C1" w:rsidRDefault="006053C1">
            <w:pPr>
              <w:rPr>
                <w:b/>
              </w:rPr>
            </w:pPr>
            <w:r w:rsidRPr="006053C1">
              <w:rPr>
                <w:b/>
              </w:rPr>
              <w:t>Funkce</w:t>
            </w:r>
          </w:p>
        </w:tc>
      </w:tr>
      <w:tr w:rsidR="006053C1" w14:paraId="5273F056" w14:textId="77777777" w:rsidTr="006053C1">
        <w:tc>
          <w:tcPr>
            <w:tcW w:w="3020" w:type="dxa"/>
          </w:tcPr>
          <w:p w14:paraId="28E3BB30" w14:textId="64C19FC4" w:rsidR="006053C1" w:rsidRDefault="006053C1">
            <w:r>
              <w:t>PEA-um</w:t>
            </w:r>
            <w:bookmarkStart w:id="0" w:name="_GoBack"/>
            <w:bookmarkEnd w:id="0"/>
          </w:p>
        </w:tc>
        <w:tc>
          <w:tcPr>
            <w:tcW w:w="2645" w:type="dxa"/>
          </w:tcPr>
          <w:p w14:paraId="4390F2EF" w14:textId="7605EC34" w:rsidR="006053C1" w:rsidRDefault="006053C1">
            <w:r>
              <w:t>35</w:t>
            </w:r>
          </w:p>
        </w:tc>
        <w:tc>
          <w:tcPr>
            <w:tcW w:w="3397" w:type="dxa"/>
          </w:tcPr>
          <w:p w14:paraId="2AC49424" w14:textId="2BB324A8" w:rsidR="006053C1" w:rsidRDefault="006053C1">
            <w:r>
              <w:t>Mobilizuje endogenní rezervy PEA</w:t>
            </w:r>
          </w:p>
        </w:tc>
      </w:tr>
      <w:tr w:rsidR="006053C1" w14:paraId="0D469A0C" w14:textId="77777777" w:rsidTr="006053C1">
        <w:tc>
          <w:tcPr>
            <w:tcW w:w="3020" w:type="dxa"/>
          </w:tcPr>
          <w:p w14:paraId="44D7E31E" w14:textId="1288D791" w:rsidR="006053C1" w:rsidRDefault="006053C1">
            <w:proofErr w:type="spellStart"/>
            <w:r>
              <w:t>Silimarin</w:t>
            </w:r>
            <w:proofErr w:type="spellEnd"/>
          </w:p>
        </w:tc>
        <w:tc>
          <w:tcPr>
            <w:tcW w:w="2645" w:type="dxa"/>
          </w:tcPr>
          <w:p w14:paraId="2930C181" w14:textId="2E215633" w:rsidR="006053C1" w:rsidRDefault="006053C1">
            <w:r>
              <w:t>15</w:t>
            </w:r>
          </w:p>
        </w:tc>
        <w:tc>
          <w:tcPr>
            <w:tcW w:w="3397" w:type="dxa"/>
          </w:tcPr>
          <w:p w14:paraId="4E7C2FE7" w14:textId="6B0C8759" w:rsidR="006053C1" w:rsidRDefault="006053C1">
            <w:r>
              <w:t>Antioxidant</w:t>
            </w:r>
          </w:p>
        </w:tc>
      </w:tr>
      <w:tr w:rsidR="006053C1" w14:paraId="0A2B445C" w14:textId="77777777" w:rsidTr="006053C1">
        <w:tc>
          <w:tcPr>
            <w:tcW w:w="3020" w:type="dxa"/>
          </w:tcPr>
          <w:p w14:paraId="68906BC4" w14:textId="4C1C8073" w:rsidR="006053C1" w:rsidRDefault="006053C1">
            <w:proofErr w:type="spellStart"/>
            <w:r>
              <w:t>Chitosan</w:t>
            </w:r>
            <w:proofErr w:type="spellEnd"/>
          </w:p>
        </w:tc>
        <w:tc>
          <w:tcPr>
            <w:tcW w:w="2645" w:type="dxa"/>
          </w:tcPr>
          <w:p w14:paraId="07831AE5" w14:textId="380B6573" w:rsidR="006053C1" w:rsidRDefault="006053C1">
            <w:r>
              <w:t>35</w:t>
            </w:r>
          </w:p>
        </w:tc>
        <w:tc>
          <w:tcPr>
            <w:tcW w:w="3397" w:type="dxa"/>
            <w:vMerge w:val="restart"/>
          </w:tcPr>
          <w:p w14:paraId="4BAB6AC1" w14:textId="3E0E38A8" w:rsidR="006053C1" w:rsidRDefault="006053C1">
            <w:r>
              <w:t>Pomáhá udržet v trávicím traktu fyziologickou hladinu fosforu a produkty z trávení bílkovin</w:t>
            </w:r>
          </w:p>
        </w:tc>
      </w:tr>
      <w:tr w:rsidR="006053C1" w14:paraId="18C580F4" w14:textId="77777777" w:rsidTr="006053C1">
        <w:tc>
          <w:tcPr>
            <w:tcW w:w="3020" w:type="dxa"/>
          </w:tcPr>
          <w:p w14:paraId="76769CE4" w14:textId="4189DA0D" w:rsidR="006053C1" w:rsidRDefault="006053C1">
            <w:r>
              <w:t>Uhličitan vápenatý</w:t>
            </w:r>
          </w:p>
        </w:tc>
        <w:tc>
          <w:tcPr>
            <w:tcW w:w="2645" w:type="dxa"/>
          </w:tcPr>
          <w:p w14:paraId="3F6DD44C" w14:textId="381ECF32" w:rsidR="006053C1" w:rsidRDefault="006053C1">
            <w:r>
              <w:t>30</w:t>
            </w:r>
          </w:p>
        </w:tc>
        <w:tc>
          <w:tcPr>
            <w:tcW w:w="3397" w:type="dxa"/>
            <w:vMerge/>
          </w:tcPr>
          <w:p w14:paraId="73763468" w14:textId="012FD38F" w:rsidR="006053C1" w:rsidRDefault="006053C1"/>
        </w:tc>
      </w:tr>
    </w:tbl>
    <w:p w14:paraId="6A652E10" w14:textId="77777777" w:rsidR="00497C5C" w:rsidRPr="0074673C" w:rsidRDefault="00497C5C"/>
    <w:p w14:paraId="209DC7C9" w14:textId="7799D345" w:rsidR="0074673C" w:rsidRDefault="006053C1">
      <w:pPr>
        <w:rPr>
          <w:b/>
        </w:rPr>
      </w:pPr>
      <w:r>
        <w:rPr>
          <w:b/>
        </w:rPr>
        <w:t>Balení:</w:t>
      </w:r>
    </w:p>
    <w:p w14:paraId="634AE71D" w14:textId="0C1DDD8D" w:rsidR="006053C1" w:rsidRDefault="006053C1">
      <w:r w:rsidRPr="006053C1">
        <w:t>NEFRYS – lahvička 100 ml s dávkovací stříkačkou</w:t>
      </w:r>
    </w:p>
    <w:p w14:paraId="7011DBD9" w14:textId="116F4293" w:rsidR="006053C1" w:rsidRPr="006053C1" w:rsidRDefault="006053C1" w:rsidP="006053C1">
      <w:r w:rsidRPr="00640ED8">
        <w:rPr>
          <w:highlight w:val="lightGray"/>
        </w:rPr>
        <w:t>NEFRYS – lahvička 200 ml s dávkovací stříkačkou</w:t>
      </w:r>
    </w:p>
    <w:p w14:paraId="70C92809" w14:textId="383CDE2A" w:rsidR="006053C1" w:rsidRDefault="006053C1">
      <w:r>
        <w:lastRenderedPageBreak/>
        <w:t>Skladování:</w:t>
      </w:r>
    </w:p>
    <w:p w14:paraId="1223B96B" w14:textId="7FF07878" w:rsidR="006053C1" w:rsidRDefault="006053C1">
      <w:r>
        <w:t>V suchém a chladném prostředí</w:t>
      </w:r>
      <w:r w:rsidR="00102D2F">
        <w:t>. Uchovávejte mimo dohled a dosah dětí.</w:t>
      </w:r>
    </w:p>
    <w:p w14:paraId="59D73FCB" w14:textId="37C38397" w:rsidR="006053C1" w:rsidRDefault="006053C1">
      <w:r>
        <w:t>Výhradní dovozce a d</w:t>
      </w:r>
      <w:r w:rsidR="00AE65EF">
        <w:t>ržitel rozhodnutí o schválení:</w:t>
      </w:r>
    </w:p>
    <w:p w14:paraId="629C14FD" w14:textId="01EF8012" w:rsidR="00AE65EF" w:rsidRDefault="00AE65EF">
      <w:proofErr w:type="spellStart"/>
      <w:r>
        <w:t>Fabi</w:t>
      </w:r>
      <w:proofErr w:type="spellEnd"/>
      <w:r>
        <w:t xml:space="preserve">-animal </w:t>
      </w:r>
      <w:proofErr w:type="spellStart"/>
      <w:r>
        <w:t>cosmetics</w:t>
      </w:r>
      <w:proofErr w:type="spellEnd"/>
      <w:r>
        <w:t xml:space="preserve"> s.r.o., ul. Pohraniční stráže 71, Velké Hleďsebe </w:t>
      </w:r>
    </w:p>
    <w:p w14:paraId="5C10F0BA" w14:textId="232B37FA" w:rsidR="00AE65EF" w:rsidRDefault="00AE65EF">
      <w:r>
        <w:t xml:space="preserve">Výrobce: </w:t>
      </w:r>
      <w:proofErr w:type="spellStart"/>
      <w:r>
        <w:t>Innovet</w:t>
      </w:r>
      <w:proofErr w:type="spellEnd"/>
      <w:r>
        <w:t xml:space="preserve"> Padova, Itálie</w:t>
      </w:r>
    </w:p>
    <w:p w14:paraId="4C0F2692" w14:textId="6178D0DB" w:rsidR="00AE65EF" w:rsidRDefault="00AE65EF">
      <w:r>
        <w:t>Číslo schválení:</w:t>
      </w:r>
      <w:r w:rsidR="00237EFB">
        <w:t xml:space="preserve"> 112-22/C</w:t>
      </w:r>
    </w:p>
    <w:p w14:paraId="2893BC9E" w14:textId="77777777" w:rsidR="00102D2F" w:rsidRPr="005952E3" w:rsidRDefault="00102D2F" w:rsidP="00102D2F">
      <w:pPr>
        <w:rPr>
          <w:i/>
        </w:rPr>
      </w:pPr>
      <w:r>
        <w:t xml:space="preserve">EXP: </w:t>
      </w:r>
      <w:r>
        <w:rPr>
          <w:i/>
        </w:rPr>
        <w:t>uvedeno na vnitřním obalu</w:t>
      </w:r>
    </w:p>
    <w:p w14:paraId="46B7CE84" w14:textId="77777777" w:rsidR="00102D2F" w:rsidRDefault="00102D2F" w:rsidP="00102D2F">
      <w:r>
        <w:t>LOT:</w:t>
      </w:r>
      <w:r w:rsidRPr="00834FE2">
        <w:rPr>
          <w:i/>
        </w:rPr>
        <w:t xml:space="preserve"> </w:t>
      </w:r>
      <w:r>
        <w:rPr>
          <w:i/>
        </w:rPr>
        <w:t>uvedeno na vnitřním obalu</w:t>
      </w:r>
    </w:p>
    <w:p w14:paraId="0B4D1E65" w14:textId="77777777" w:rsidR="00102D2F" w:rsidRPr="006053C1" w:rsidRDefault="00102D2F"/>
    <w:sectPr w:rsidR="00102D2F" w:rsidRPr="00605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16465" w14:textId="77777777" w:rsidR="00534547" w:rsidRDefault="00534547" w:rsidP="00651B6E">
      <w:pPr>
        <w:spacing w:after="0" w:line="240" w:lineRule="auto"/>
      </w:pPr>
      <w:r>
        <w:separator/>
      </w:r>
    </w:p>
  </w:endnote>
  <w:endnote w:type="continuationSeparator" w:id="0">
    <w:p w14:paraId="504C8EB7" w14:textId="77777777" w:rsidR="00534547" w:rsidRDefault="00534547" w:rsidP="0065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8E2D5" w14:textId="77777777" w:rsidR="00237EFB" w:rsidRDefault="00237E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30E89" w14:textId="77777777" w:rsidR="00237EFB" w:rsidRDefault="00237E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FA15E" w14:textId="77777777" w:rsidR="00237EFB" w:rsidRDefault="00237E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14F9" w14:textId="77777777" w:rsidR="00534547" w:rsidRDefault="00534547" w:rsidP="00651B6E">
      <w:pPr>
        <w:spacing w:after="0" w:line="240" w:lineRule="auto"/>
      </w:pPr>
      <w:r>
        <w:separator/>
      </w:r>
    </w:p>
  </w:footnote>
  <w:footnote w:type="continuationSeparator" w:id="0">
    <w:p w14:paraId="37F5D76C" w14:textId="77777777" w:rsidR="00534547" w:rsidRDefault="00534547" w:rsidP="0065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E5CC" w14:textId="77777777" w:rsidR="00237EFB" w:rsidRDefault="00237E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68E19" w14:textId="090E51F3" w:rsidR="00651B6E" w:rsidRPr="00E1769A" w:rsidRDefault="00651B6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F9D8A215F2A4B60BBCCA039E6737A2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A600319B91424B869D65CFBD27905BF1"/>
        </w:placeholder>
        <w:text/>
      </w:sdtPr>
      <w:sdtEndPr/>
      <w:sdtContent>
        <w:r>
          <w:t>USKVBL/8168/2021/POD,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A600319B91424B869D65CFBD27905BF1"/>
        </w:placeholder>
        <w:text/>
      </w:sdtPr>
      <w:sdtEndPr/>
      <w:sdtContent>
        <w:r w:rsidR="00237EFB" w:rsidRPr="00237EFB">
          <w:rPr>
            <w:bCs/>
          </w:rPr>
          <w:t>USKVBL/2927/2022/REG-</w:t>
        </w:r>
        <w:proofErr w:type="spellStart"/>
        <w:r w:rsidR="00237EFB" w:rsidRPr="00237EF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9C8EFE0ECBD4A9E8F18CEAD1D42C2DA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37EFB">
          <w:rPr>
            <w:bCs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E255840F4DD4422936DABF8683329D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86B8526B0F845CDB6CBC2E32C275352"/>
        </w:placeholder>
        <w:text/>
      </w:sdtPr>
      <w:sdtEndPr/>
      <w:sdtContent>
        <w:proofErr w:type="spellStart"/>
        <w:r>
          <w:t>Nefrys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F9810" w14:textId="77777777" w:rsidR="00237EFB" w:rsidRDefault="00237E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8B"/>
    <w:rsid w:val="00102C6D"/>
    <w:rsid w:val="00102D2F"/>
    <w:rsid w:val="00237EFB"/>
    <w:rsid w:val="003B244B"/>
    <w:rsid w:val="00471B87"/>
    <w:rsid w:val="00497C5C"/>
    <w:rsid w:val="00534547"/>
    <w:rsid w:val="006053C1"/>
    <w:rsid w:val="00640ED8"/>
    <w:rsid w:val="0064297F"/>
    <w:rsid w:val="00651B6E"/>
    <w:rsid w:val="0074673C"/>
    <w:rsid w:val="008A10F5"/>
    <w:rsid w:val="008F758B"/>
    <w:rsid w:val="009D4F12"/>
    <w:rsid w:val="00A201EA"/>
    <w:rsid w:val="00A74BB5"/>
    <w:rsid w:val="00AE65EF"/>
    <w:rsid w:val="00B5401B"/>
    <w:rsid w:val="00BA7741"/>
    <w:rsid w:val="00DC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C434"/>
  <w15:chartTrackingRefBased/>
  <w15:docId w15:val="{416512A2-F3C3-4693-8E09-400649F3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B6E"/>
  </w:style>
  <w:style w:type="paragraph" w:styleId="Zpat">
    <w:name w:val="footer"/>
    <w:basedOn w:val="Normln"/>
    <w:link w:val="ZpatChar"/>
    <w:uiPriority w:val="99"/>
    <w:unhideWhenUsed/>
    <w:rsid w:val="00651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1B6E"/>
  </w:style>
  <w:style w:type="character" w:styleId="Zstupntext">
    <w:name w:val="Placeholder Text"/>
    <w:rsid w:val="00651B6E"/>
    <w:rPr>
      <w:color w:val="808080"/>
    </w:rPr>
  </w:style>
  <w:style w:type="character" w:customStyle="1" w:styleId="Styl2">
    <w:name w:val="Styl2"/>
    <w:basedOn w:val="Standardnpsmoodstavce"/>
    <w:uiPriority w:val="1"/>
    <w:rsid w:val="00651B6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9D8A215F2A4B60BBCCA039E6737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3A919-3900-460A-ABEC-6FB835E111AD}"/>
      </w:docPartPr>
      <w:docPartBody>
        <w:p w:rsidR="00433C15" w:rsidRDefault="004F635F" w:rsidP="004F635F">
          <w:pPr>
            <w:pStyle w:val="6F9D8A215F2A4B60BBCCA039E6737A2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600319B91424B869D65CFBD27905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05A201-0E2D-49E6-BCBA-A9AAAFF033E9}"/>
      </w:docPartPr>
      <w:docPartBody>
        <w:p w:rsidR="00433C15" w:rsidRDefault="004F635F" w:rsidP="004F635F">
          <w:pPr>
            <w:pStyle w:val="A600319B91424B869D65CFBD27905BF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C8EFE0ECBD4A9E8F18CEAD1D42C2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91AEB-E9C1-4801-8829-E65DBCA492F3}"/>
      </w:docPartPr>
      <w:docPartBody>
        <w:p w:rsidR="00433C15" w:rsidRDefault="004F635F" w:rsidP="004F635F">
          <w:pPr>
            <w:pStyle w:val="09C8EFE0ECBD4A9E8F18CEAD1D42C2D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E255840F4DD4422936DABF8683329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81A96-D9E8-4E9C-A393-F31CACEBF65B}"/>
      </w:docPartPr>
      <w:docPartBody>
        <w:p w:rsidR="00433C15" w:rsidRDefault="004F635F" w:rsidP="004F635F">
          <w:pPr>
            <w:pStyle w:val="1E255840F4DD4422936DABF8683329D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86B8526B0F845CDB6CBC2E32C275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D4EA47-1000-4A2C-9C45-F251089792F1}"/>
      </w:docPartPr>
      <w:docPartBody>
        <w:p w:rsidR="00433C15" w:rsidRDefault="004F635F" w:rsidP="004F635F">
          <w:pPr>
            <w:pStyle w:val="D86B8526B0F845CDB6CBC2E32C27535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5F"/>
    <w:rsid w:val="000B79D4"/>
    <w:rsid w:val="00433C15"/>
    <w:rsid w:val="004E2BF3"/>
    <w:rsid w:val="004F635F"/>
    <w:rsid w:val="00690D74"/>
    <w:rsid w:val="00E1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F635F"/>
    <w:rPr>
      <w:color w:val="808080"/>
    </w:rPr>
  </w:style>
  <w:style w:type="paragraph" w:customStyle="1" w:styleId="6F9D8A215F2A4B60BBCCA039E6737A29">
    <w:name w:val="6F9D8A215F2A4B60BBCCA039E6737A29"/>
    <w:rsid w:val="004F635F"/>
  </w:style>
  <w:style w:type="paragraph" w:customStyle="1" w:styleId="A600319B91424B869D65CFBD27905BF1">
    <w:name w:val="A600319B91424B869D65CFBD27905BF1"/>
    <w:rsid w:val="004F635F"/>
  </w:style>
  <w:style w:type="paragraph" w:customStyle="1" w:styleId="09C8EFE0ECBD4A9E8F18CEAD1D42C2DA">
    <w:name w:val="09C8EFE0ECBD4A9E8F18CEAD1D42C2DA"/>
    <w:rsid w:val="004F635F"/>
  </w:style>
  <w:style w:type="paragraph" w:customStyle="1" w:styleId="1E255840F4DD4422936DABF8683329D8">
    <w:name w:val="1E255840F4DD4422936DABF8683329D8"/>
    <w:rsid w:val="004F635F"/>
  </w:style>
  <w:style w:type="paragraph" w:customStyle="1" w:styleId="D86B8526B0F845CDB6CBC2E32C275352">
    <w:name w:val="D86B8526B0F845CDB6CBC2E32C275352"/>
    <w:rsid w:val="004F6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15</cp:revision>
  <dcterms:created xsi:type="dcterms:W3CDTF">2021-12-30T11:33:00Z</dcterms:created>
  <dcterms:modified xsi:type="dcterms:W3CDTF">2022-03-01T13:19:00Z</dcterms:modified>
</cp:coreProperties>
</file>