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25CD" w:rsidRPr="00EB7644" w14:paraId="74F29FB3" w14:textId="77777777" w:rsidTr="00CC47D4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F530488" w14:textId="52C6E93B" w:rsidR="006125CD" w:rsidRPr="00EB7644" w:rsidRDefault="006125CD" w:rsidP="00CC47D4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</w:rPr>
              <w:t>PŘÍBALOV</w:t>
            </w:r>
            <w:r w:rsidR="00EF6D99">
              <w:rPr>
                <w:b/>
              </w:rPr>
              <w:t>Á INFORMACE</w:t>
            </w:r>
            <w:r w:rsidR="00265793">
              <w:rPr>
                <w:b/>
              </w:rPr>
              <w:t>:</w:t>
            </w:r>
            <w:r w:rsidR="00EF6D99">
              <w:rPr>
                <w:b/>
              </w:rPr>
              <w:t xml:space="preserve"> </w:t>
            </w:r>
          </w:p>
          <w:p w14:paraId="3EE1BBE9" w14:textId="77777777" w:rsidR="006125CD" w:rsidRPr="00EB7644" w:rsidRDefault="006125CD" w:rsidP="00CC47D4">
            <w:pPr>
              <w:suppressAutoHyphens/>
              <w:jc w:val="center"/>
            </w:pPr>
            <w:r>
              <w:t xml:space="preserve">OVUCRON 0,025 mg/ml injekční roztok pro </w:t>
            </w:r>
            <w:r w:rsidR="0068619A">
              <w:t xml:space="preserve">skot </w:t>
            </w:r>
            <w:r>
              <w:t>a králíky</w:t>
            </w:r>
          </w:p>
        </w:tc>
      </w:tr>
    </w:tbl>
    <w:p w14:paraId="1AE58FDD" w14:textId="77777777" w:rsidR="006125CD" w:rsidRPr="00EB7644" w:rsidRDefault="006125CD" w:rsidP="006125CD">
      <w:pPr>
        <w:pStyle w:val="Zpat"/>
        <w:tabs>
          <w:tab w:val="clear" w:pos="4819"/>
          <w:tab w:val="clear" w:pos="9638"/>
        </w:tabs>
        <w:rPr>
          <w:bCs/>
        </w:rPr>
      </w:pPr>
    </w:p>
    <w:p w14:paraId="13AAA73C" w14:textId="77777777" w:rsidR="006125CD" w:rsidRPr="00EB7644" w:rsidRDefault="006125CD" w:rsidP="006125CD">
      <w:pPr>
        <w:pStyle w:val="Zpat"/>
        <w:tabs>
          <w:tab w:val="clear" w:pos="4819"/>
          <w:tab w:val="clear" w:pos="9638"/>
        </w:tabs>
        <w:rPr>
          <w:bCs/>
        </w:rPr>
      </w:pPr>
    </w:p>
    <w:p w14:paraId="14DE7574" w14:textId="77777777" w:rsidR="006125CD" w:rsidRPr="00EB7644" w:rsidRDefault="006125CD" w:rsidP="00C8483F">
      <w:pPr>
        <w:ind w:left="567" w:hanging="567"/>
        <w:jc w:val="both"/>
        <w:rPr>
          <w:bCs/>
        </w:rPr>
      </w:pPr>
      <w:r w:rsidRPr="00414201">
        <w:rPr>
          <w:b/>
          <w:highlight w:val="lightGray"/>
        </w:rPr>
        <w:t>1.</w:t>
      </w:r>
      <w:r>
        <w:tab/>
      </w:r>
      <w:r>
        <w:rPr>
          <w:b/>
        </w:rPr>
        <w:t xml:space="preserve">JMÉNO A ADRESA DRŽITELE ROZHODNUTÍ O REGISTRACI A DRŽITELE POVOLENÍ K VÝROBĚ ODPOVĚDNÉHO ZA UVOLNĚNÍ ŠARŽE, POKUD SE NESHODUJE </w:t>
      </w:r>
    </w:p>
    <w:p w14:paraId="354C8FA6" w14:textId="77777777" w:rsidR="0088678E" w:rsidRDefault="0088678E" w:rsidP="006125CD">
      <w:pPr>
        <w:ind w:left="567"/>
        <w:jc w:val="both"/>
        <w:rPr>
          <w:u w:val="single"/>
        </w:rPr>
      </w:pPr>
    </w:p>
    <w:p w14:paraId="552FA919" w14:textId="77777777" w:rsidR="006125CD" w:rsidRPr="00EB7644" w:rsidRDefault="006125CD" w:rsidP="006125CD">
      <w:pPr>
        <w:ind w:left="567"/>
        <w:jc w:val="both"/>
        <w:rPr>
          <w:u w:val="single"/>
        </w:rPr>
      </w:pPr>
      <w:r>
        <w:rPr>
          <w:u w:val="single"/>
        </w:rPr>
        <w:t>Držitel rozhodnutí o registraci a držitel povolení k výrobě odpovědný za uvolnění šarže:</w:t>
      </w:r>
    </w:p>
    <w:p w14:paraId="2076FD19" w14:textId="77777777" w:rsidR="006125CD" w:rsidRPr="00EB7644" w:rsidRDefault="006125CD" w:rsidP="006125CD">
      <w:pPr>
        <w:pStyle w:val="Zpat"/>
        <w:tabs>
          <w:tab w:val="clear" w:pos="4819"/>
          <w:tab w:val="clear" w:pos="9638"/>
        </w:tabs>
        <w:ind w:left="567" w:hanging="567"/>
        <w:rPr>
          <w:bCs/>
        </w:rPr>
      </w:pPr>
    </w:p>
    <w:p w14:paraId="0FD879D5" w14:textId="33EE63E9" w:rsidR="006125CD" w:rsidRPr="005734FE" w:rsidRDefault="006125CD" w:rsidP="006125CD">
      <w:pPr>
        <w:ind w:left="567" w:hanging="567"/>
        <w:jc w:val="both"/>
      </w:pPr>
      <w:r>
        <w:tab/>
        <w:t xml:space="preserve">FATRO S.p.A. - Via Emilia, 285 - </w:t>
      </w:r>
      <w:proofErr w:type="spellStart"/>
      <w:r>
        <w:t>Ozzano</w:t>
      </w:r>
      <w:proofErr w:type="spellEnd"/>
      <w:r>
        <w:t xml:space="preserve"> </w:t>
      </w:r>
      <w:proofErr w:type="spellStart"/>
      <w:r w:rsidR="00265793">
        <w:t>dell‘</w:t>
      </w:r>
      <w:r>
        <w:t>Emilia</w:t>
      </w:r>
      <w:proofErr w:type="spellEnd"/>
      <w:r>
        <w:t xml:space="preserve"> (Bologna), Itálie</w:t>
      </w:r>
    </w:p>
    <w:p w14:paraId="7EC69A5F" w14:textId="77777777" w:rsidR="006125CD" w:rsidRPr="005734FE" w:rsidRDefault="006125CD" w:rsidP="006125CD">
      <w:pPr>
        <w:ind w:left="567" w:right="-318" w:hanging="567"/>
        <w:jc w:val="both"/>
        <w:rPr>
          <w:bCs/>
          <w:color w:val="FF0000"/>
        </w:rPr>
      </w:pPr>
    </w:p>
    <w:p w14:paraId="241D1EFB" w14:textId="77777777" w:rsidR="006125CD" w:rsidRPr="00EB7644" w:rsidRDefault="006125CD" w:rsidP="006125CD">
      <w:pPr>
        <w:ind w:left="567" w:hanging="567"/>
        <w:jc w:val="both"/>
        <w:rPr>
          <w:b/>
          <w:bCs/>
        </w:rPr>
      </w:pPr>
      <w:r w:rsidRPr="00414201">
        <w:rPr>
          <w:b/>
          <w:highlight w:val="lightGray"/>
        </w:rPr>
        <w:t>2.</w:t>
      </w:r>
      <w:r>
        <w:tab/>
      </w:r>
      <w:r>
        <w:rPr>
          <w:b/>
        </w:rPr>
        <w:t>NÁZEV VETERINÁRNÍHO LÉČIVÉHO PŘÍPRAVKU</w:t>
      </w:r>
    </w:p>
    <w:p w14:paraId="0C3A4F64" w14:textId="77777777" w:rsidR="006125CD" w:rsidRPr="00EB7644" w:rsidRDefault="006125CD" w:rsidP="006125CD">
      <w:pPr>
        <w:ind w:left="567" w:hanging="567"/>
        <w:rPr>
          <w:b/>
          <w:bCs/>
        </w:rPr>
      </w:pPr>
    </w:p>
    <w:p w14:paraId="34045864" w14:textId="77777777" w:rsidR="006125CD" w:rsidRPr="00EB7644" w:rsidRDefault="006125CD" w:rsidP="006125CD">
      <w:pPr>
        <w:ind w:left="567"/>
      </w:pPr>
      <w:r>
        <w:t xml:space="preserve">OVUCRON 0,025 mg/ml injekční roztok pro </w:t>
      </w:r>
      <w:r w:rsidR="0068619A">
        <w:t xml:space="preserve">skot </w:t>
      </w:r>
      <w:r>
        <w:t>a králíky</w:t>
      </w:r>
    </w:p>
    <w:p w14:paraId="25BFBC7C" w14:textId="77777777" w:rsidR="006125CD" w:rsidRPr="00EB7644" w:rsidRDefault="00EF6D99" w:rsidP="006125CD">
      <w:pPr>
        <w:ind w:left="567"/>
        <w:rPr>
          <w:bCs/>
        </w:rPr>
      </w:pPr>
      <w:proofErr w:type="spellStart"/>
      <w:r>
        <w:t>Lecirelinum</w:t>
      </w:r>
      <w:proofErr w:type="spellEnd"/>
    </w:p>
    <w:p w14:paraId="47AEB7D0" w14:textId="77777777" w:rsidR="006125CD" w:rsidRPr="00EB7644" w:rsidRDefault="006125CD" w:rsidP="006125CD">
      <w:pPr>
        <w:ind w:left="567" w:hanging="567"/>
        <w:rPr>
          <w:b/>
          <w:bCs/>
        </w:rPr>
      </w:pPr>
    </w:p>
    <w:p w14:paraId="14CE8D71" w14:textId="77777777" w:rsidR="006125CD" w:rsidRPr="00EB7644" w:rsidRDefault="006125CD" w:rsidP="006125CD">
      <w:pPr>
        <w:ind w:left="567" w:hanging="567"/>
        <w:rPr>
          <w:b/>
        </w:rPr>
      </w:pPr>
      <w:r w:rsidRPr="00414201">
        <w:rPr>
          <w:b/>
          <w:highlight w:val="lightGray"/>
        </w:rPr>
        <w:t>3.</w:t>
      </w:r>
      <w:r>
        <w:tab/>
      </w:r>
      <w:r>
        <w:rPr>
          <w:b/>
        </w:rPr>
        <w:t>OBSAH LÉČIVÝCH A OSTATNÍCH LÁTEK</w:t>
      </w:r>
    </w:p>
    <w:p w14:paraId="5314EA96" w14:textId="77777777" w:rsidR="006125CD" w:rsidRPr="00EB7644" w:rsidRDefault="006125CD" w:rsidP="006125CD">
      <w:pPr>
        <w:ind w:left="567" w:hanging="567"/>
        <w:rPr>
          <w:b/>
        </w:rPr>
      </w:pPr>
    </w:p>
    <w:p w14:paraId="647861B8" w14:textId="77777777" w:rsidR="0088678E" w:rsidRDefault="00EF6D99" w:rsidP="006125CD">
      <w:pPr>
        <w:ind w:left="567"/>
        <w:jc w:val="both"/>
      </w:pPr>
      <w:r>
        <w:t xml:space="preserve">1 </w:t>
      </w:r>
      <w:r w:rsidR="00F53BD9">
        <w:t>ml obsahuje:</w:t>
      </w:r>
    </w:p>
    <w:p w14:paraId="7949B8E4" w14:textId="77777777" w:rsidR="006125CD" w:rsidRPr="00EB7644" w:rsidRDefault="00F53BD9" w:rsidP="006125CD">
      <w:pPr>
        <w:ind w:left="567"/>
        <w:jc w:val="both"/>
      </w:pPr>
      <w:r>
        <w:t xml:space="preserve"> </w:t>
      </w:r>
    </w:p>
    <w:p w14:paraId="1C46F5FF" w14:textId="77777777" w:rsidR="0088678E" w:rsidRDefault="006125CD" w:rsidP="006125CD">
      <w:pPr>
        <w:ind w:left="567"/>
        <w:jc w:val="both"/>
        <w:rPr>
          <w:b/>
        </w:rPr>
      </w:pPr>
      <w:r>
        <w:rPr>
          <w:b/>
        </w:rPr>
        <w:t xml:space="preserve">Léčivá látka: </w:t>
      </w:r>
    </w:p>
    <w:p w14:paraId="6957F227" w14:textId="77777777" w:rsidR="00265793" w:rsidRDefault="00EF6D99" w:rsidP="006125CD">
      <w:pPr>
        <w:ind w:left="567"/>
        <w:jc w:val="both"/>
      </w:pPr>
      <w:proofErr w:type="spellStart"/>
      <w:r>
        <w:t>Lecirelinum</w:t>
      </w:r>
      <w:proofErr w:type="spellEnd"/>
      <w:r>
        <w:t xml:space="preserve"> </w:t>
      </w:r>
      <w:r w:rsidR="006125CD">
        <w:t xml:space="preserve">0,025 mg </w:t>
      </w:r>
    </w:p>
    <w:p w14:paraId="6DF1BD0C" w14:textId="77777777" w:rsidR="00EF6D99" w:rsidRDefault="006125CD" w:rsidP="006125CD">
      <w:pPr>
        <w:ind w:left="567"/>
        <w:jc w:val="both"/>
      </w:pPr>
      <w:r>
        <w:t>(</w:t>
      </w:r>
      <w:r w:rsidR="0088678E">
        <w:t>odpovídá</w:t>
      </w:r>
      <w:r>
        <w:t xml:space="preserve"> </w:t>
      </w:r>
      <w:proofErr w:type="spellStart"/>
      <w:r>
        <w:t>lecirelin</w:t>
      </w:r>
      <w:r w:rsidR="00EF6D99">
        <w:t>i</w:t>
      </w:r>
      <w:proofErr w:type="spellEnd"/>
      <w:r>
        <w:t xml:space="preserve"> </w:t>
      </w:r>
      <w:proofErr w:type="spellStart"/>
      <w:r w:rsidR="00EF6D99">
        <w:t>acetas</w:t>
      </w:r>
      <w:proofErr w:type="spellEnd"/>
      <w:r w:rsidR="00EF6D99">
        <w:t xml:space="preserve"> </w:t>
      </w:r>
      <w:r>
        <w:t xml:space="preserve">0,026 mg) </w:t>
      </w:r>
    </w:p>
    <w:p w14:paraId="6DEE715D" w14:textId="77777777" w:rsidR="0088678E" w:rsidRDefault="0088678E" w:rsidP="006125CD">
      <w:pPr>
        <w:ind w:left="567"/>
        <w:jc w:val="both"/>
        <w:rPr>
          <w:b/>
        </w:rPr>
      </w:pPr>
    </w:p>
    <w:p w14:paraId="6F7FEE4D" w14:textId="77777777" w:rsidR="0088678E" w:rsidRDefault="006125CD" w:rsidP="006125CD">
      <w:pPr>
        <w:ind w:left="567"/>
        <w:jc w:val="both"/>
        <w:rPr>
          <w:b/>
        </w:rPr>
      </w:pPr>
      <w:r w:rsidRPr="00C8483F">
        <w:rPr>
          <w:b/>
        </w:rPr>
        <w:t>Pomocné látky:</w:t>
      </w:r>
      <w:r>
        <w:rPr>
          <w:b/>
        </w:rPr>
        <w:t xml:space="preserve"> </w:t>
      </w:r>
    </w:p>
    <w:p w14:paraId="19E5E102" w14:textId="382843A3" w:rsidR="006125CD" w:rsidRPr="00EB7644" w:rsidRDefault="0088678E" w:rsidP="006125CD">
      <w:pPr>
        <w:ind w:left="567"/>
        <w:jc w:val="both"/>
      </w:pPr>
      <w:proofErr w:type="spellStart"/>
      <w:r>
        <w:t>B</w:t>
      </w:r>
      <w:r w:rsidR="006125CD">
        <w:t>enzylalkohol</w:t>
      </w:r>
      <w:proofErr w:type="spellEnd"/>
      <w:r w:rsidR="006125CD">
        <w:t xml:space="preserve"> (E</w:t>
      </w:r>
      <w:r w:rsidR="008C0A3D">
        <w:t> </w:t>
      </w:r>
      <w:r w:rsidR="006125CD">
        <w:t>1519) 20 mg</w:t>
      </w:r>
    </w:p>
    <w:p w14:paraId="22F5C5E5" w14:textId="77777777" w:rsidR="006125CD" w:rsidRPr="00EB7644" w:rsidRDefault="006125CD" w:rsidP="006125CD">
      <w:pPr>
        <w:ind w:left="567" w:hanging="567"/>
      </w:pPr>
      <w:r>
        <w:t xml:space="preserve">           </w:t>
      </w:r>
    </w:p>
    <w:p w14:paraId="49B5B68F" w14:textId="77777777" w:rsidR="006125CD" w:rsidRPr="00EB7644" w:rsidRDefault="006125CD" w:rsidP="006125CD">
      <w:pPr>
        <w:ind w:left="567" w:hanging="567"/>
      </w:pPr>
      <w:r>
        <w:t xml:space="preserve"> </w:t>
      </w:r>
      <w:r>
        <w:tab/>
        <w:t>Čirý bezbarvý roztok</w:t>
      </w:r>
      <w:r w:rsidR="00265793">
        <w:t>, bez viditelných částic</w:t>
      </w:r>
      <w:r>
        <w:t>.</w:t>
      </w:r>
    </w:p>
    <w:p w14:paraId="5B297A04" w14:textId="77777777" w:rsidR="006125CD" w:rsidRPr="00EB7644" w:rsidRDefault="006125CD" w:rsidP="006125CD">
      <w:pPr>
        <w:ind w:left="567" w:hanging="567"/>
      </w:pPr>
    </w:p>
    <w:p w14:paraId="613AE523" w14:textId="77777777" w:rsidR="006125CD" w:rsidRPr="00EB7644" w:rsidRDefault="006125CD" w:rsidP="006125CD">
      <w:pPr>
        <w:pStyle w:val="Nadpis3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14201">
        <w:rPr>
          <w:rFonts w:ascii="Times New Roman" w:hAnsi="Times New Roman"/>
          <w:sz w:val="24"/>
          <w:highlight w:val="lightGray"/>
        </w:rPr>
        <w:t>4.</w:t>
      </w:r>
      <w:r>
        <w:tab/>
      </w:r>
      <w:r>
        <w:rPr>
          <w:rFonts w:ascii="Times New Roman" w:hAnsi="Times New Roman"/>
          <w:sz w:val="24"/>
        </w:rPr>
        <w:t>INDIKACE</w:t>
      </w:r>
    </w:p>
    <w:p w14:paraId="2B7548F5" w14:textId="77777777" w:rsidR="006125CD" w:rsidRPr="00EB7644" w:rsidRDefault="006125CD" w:rsidP="006125CD">
      <w:pPr>
        <w:ind w:left="567" w:hanging="567"/>
        <w:rPr>
          <w:b/>
          <w:bCs/>
        </w:rPr>
      </w:pPr>
    </w:p>
    <w:p w14:paraId="4D7C9F4B" w14:textId="77777777" w:rsidR="006125CD" w:rsidRPr="00EB7644" w:rsidRDefault="0068619A" w:rsidP="006125CD">
      <w:pPr>
        <w:spacing w:line="257" w:lineRule="exact"/>
        <w:ind w:left="567"/>
        <w:textAlignment w:val="baseline"/>
        <w:rPr>
          <w:color w:val="000000"/>
          <w:spacing w:val="-5"/>
          <w:u w:val="single"/>
        </w:rPr>
      </w:pPr>
      <w:r>
        <w:t xml:space="preserve">Skot </w:t>
      </w:r>
      <w:r w:rsidR="006125CD">
        <w:rPr>
          <w:color w:val="000000"/>
          <w:spacing w:val="-5"/>
          <w:u w:val="single"/>
        </w:rPr>
        <w:t>(krávy)</w:t>
      </w:r>
    </w:p>
    <w:p w14:paraId="40F7D43E" w14:textId="77777777" w:rsidR="006125CD" w:rsidRPr="00EB7644" w:rsidRDefault="006125CD" w:rsidP="006125CD">
      <w:pPr>
        <w:tabs>
          <w:tab w:val="left" w:pos="936"/>
        </w:tabs>
        <w:spacing w:line="262" w:lineRule="exact"/>
        <w:ind w:left="567"/>
        <w:textAlignment w:val="baseline"/>
        <w:rPr>
          <w:color w:val="000000"/>
        </w:rPr>
      </w:pPr>
      <w:r>
        <w:rPr>
          <w:color w:val="000000"/>
        </w:rPr>
        <w:t>Léčba folikulárních ovariálních cyst.</w:t>
      </w:r>
    </w:p>
    <w:p w14:paraId="7E9619BF" w14:textId="77777777" w:rsidR="006125CD" w:rsidRPr="00EB7644" w:rsidRDefault="006125CD" w:rsidP="006125CD">
      <w:pPr>
        <w:tabs>
          <w:tab w:val="left" w:pos="936"/>
        </w:tabs>
        <w:spacing w:line="283" w:lineRule="exact"/>
        <w:ind w:left="567"/>
        <w:textAlignment w:val="baseline"/>
        <w:rPr>
          <w:color w:val="000000"/>
          <w:spacing w:val="-1"/>
        </w:rPr>
      </w:pPr>
      <w:r>
        <w:rPr>
          <w:color w:val="000000"/>
          <w:spacing w:val="-1"/>
        </w:rPr>
        <w:t>Indukce ovulace při oplodnění v případě krátké, tiché nebo prodloužené říje.</w:t>
      </w:r>
    </w:p>
    <w:p w14:paraId="5F66C2AD" w14:textId="77777777" w:rsidR="006125CD" w:rsidRPr="00EB7644" w:rsidRDefault="006125CD" w:rsidP="006125CD">
      <w:pPr>
        <w:spacing w:line="257" w:lineRule="exact"/>
        <w:ind w:left="567"/>
        <w:textAlignment w:val="baseline"/>
        <w:rPr>
          <w:color w:val="000000"/>
          <w:spacing w:val="-5"/>
          <w:u w:val="single"/>
        </w:rPr>
      </w:pPr>
    </w:p>
    <w:p w14:paraId="04473E4B" w14:textId="77777777" w:rsidR="006E5DD6" w:rsidRPr="006E5DD6" w:rsidRDefault="006E5DD6" w:rsidP="006125CD">
      <w:pPr>
        <w:tabs>
          <w:tab w:val="left" w:pos="936"/>
        </w:tabs>
        <w:spacing w:line="264" w:lineRule="exact"/>
        <w:ind w:left="567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  <w:t>Králíci</w:t>
      </w:r>
      <w:r w:rsidR="002D23CB">
        <w:rPr>
          <w:color w:val="000000"/>
          <w:u w:val="single"/>
        </w:rPr>
        <w:t xml:space="preserve"> (ramlice)</w:t>
      </w:r>
    </w:p>
    <w:p w14:paraId="3C2D75C0" w14:textId="77777777" w:rsidR="006125CD" w:rsidRPr="00EB7644" w:rsidRDefault="006125CD" w:rsidP="006125CD">
      <w:pPr>
        <w:tabs>
          <w:tab w:val="left" w:pos="936"/>
        </w:tabs>
        <w:spacing w:line="264" w:lineRule="exact"/>
        <w:ind w:left="567"/>
        <w:textAlignment w:val="baseline"/>
        <w:rPr>
          <w:color w:val="000000"/>
        </w:rPr>
      </w:pPr>
      <w:r w:rsidRPr="002D23CB">
        <w:rPr>
          <w:color w:val="000000"/>
        </w:rPr>
        <w:t>Indukce ovulace.</w:t>
      </w:r>
      <w:r>
        <w:rPr>
          <w:color w:val="000000"/>
        </w:rPr>
        <w:t xml:space="preserve"> </w:t>
      </w:r>
    </w:p>
    <w:p w14:paraId="370B0A90" w14:textId="77777777" w:rsidR="006125CD" w:rsidRDefault="00DC356B" w:rsidP="006125CD">
      <w:pPr>
        <w:pStyle w:val="Nadpis3"/>
        <w:tabs>
          <w:tab w:val="left" w:pos="709"/>
        </w:tabs>
        <w:spacing w:before="0" w:after="0"/>
        <w:ind w:left="567" w:hanging="567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2D23CB" w:rsidRPr="00DC356B">
        <w:rPr>
          <w:rFonts w:ascii="Times New Roman" w:hAnsi="Times New Roman" w:cs="Times New Roman"/>
          <w:b w:val="0"/>
          <w:color w:val="000000"/>
          <w:sz w:val="24"/>
          <w:szCs w:val="24"/>
        </w:rPr>
        <w:t>Zlepšení koncepce.</w:t>
      </w:r>
    </w:p>
    <w:p w14:paraId="3DA0F88D" w14:textId="77777777" w:rsidR="00DC356B" w:rsidRPr="00DC356B" w:rsidRDefault="00DC356B" w:rsidP="00DC356B"/>
    <w:p w14:paraId="636C0293" w14:textId="77777777" w:rsidR="006125CD" w:rsidRPr="00EB7644" w:rsidRDefault="006125CD" w:rsidP="006125CD">
      <w:pPr>
        <w:pStyle w:val="Nadpis3"/>
        <w:tabs>
          <w:tab w:val="left" w:pos="709"/>
        </w:tabs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14201">
        <w:rPr>
          <w:rFonts w:ascii="Times New Roman" w:hAnsi="Times New Roman"/>
          <w:sz w:val="24"/>
          <w:highlight w:val="lightGray"/>
        </w:rPr>
        <w:t>5.</w:t>
      </w:r>
      <w:r>
        <w:tab/>
      </w:r>
      <w:r>
        <w:rPr>
          <w:rFonts w:ascii="Times New Roman" w:hAnsi="Times New Roman"/>
          <w:sz w:val="24"/>
        </w:rPr>
        <w:t>KONTRAINDIKACE</w:t>
      </w:r>
    </w:p>
    <w:p w14:paraId="41ABBAF0" w14:textId="77777777" w:rsidR="006125CD" w:rsidRPr="00EB7644" w:rsidRDefault="006125CD" w:rsidP="006125CD">
      <w:pPr>
        <w:ind w:left="567" w:hanging="567"/>
        <w:rPr>
          <w:b/>
          <w:bCs/>
        </w:rPr>
      </w:pPr>
    </w:p>
    <w:p w14:paraId="56C92E4E" w14:textId="1CB80502" w:rsidR="00EA4E92" w:rsidRDefault="00EA4E92" w:rsidP="00EA4E92">
      <w:pPr>
        <w:ind w:left="567"/>
        <w:jc w:val="both"/>
      </w:pPr>
      <w:r>
        <w:t>Nepoužívat v případ</w:t>
      </w:r>
      <w:r w:rsidR="00DA1946">
        <w:t>ech</w:t>
      </w:r>
      <w:r>
        <w:t xml:space="preserve"> přecitlivělosti na léčivou látku nebo na některou z pomocných látek.</w:t>
      </w:r>
    </w:p>
    <w:p w14:paraId="7F023994" w14:textId="77777777" w:rsidR="006125CD" w:rsidRPr="00EB7644" w:rsidRDefault="006125CD" w:rsidP="006125CD">
      <w:pPr>
        <w:ind w:left="567" w:hanging="567"/>
      </w:pPr>
    </w:p>
    <w:p w14:paraId="1367DB67" w14:textId="77777777" w:rsidR="006125CD" w:rsidRPr="00EB7644" w:rsidRDefault="006125CD" w:rsidP="006125CD">
      <w:pPr>
        <w:pStyle w:val="Nadpis3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14201">
        <w:rPr>
          <w:rFonts w:ascii="Times New Roman" w:hAnsi="Times New Roman"/>
          <w:sz w:val="24"/>
          <w:highlight w:val="lightGray"/>
        </w:rPr>
        <w:t>6</w:t>
      </w:r>
      <w:r>
        <w:rPr>
          <w:rFonts w:ascii="Times New Roman" w:hAnsi="Times New Roman"/>
          <w:sz w:val="24"/>
        </w:rPr>
        <w:t>.</w:t>
      </w:r>
      <w:r>
        <w:tab/>
      </w:r>
      <w:r>
        <w:rPr>
          <w:rFonts w:ascii="Times New Roman" w:hAnsi="Times New Roman"/>
          <w:sz w:val="24"/>
        </w:rPr>
        <w:t xml:space="preserve">NEŽÁDOUCÍ </w:t>
      </w:r>
      <w:r w:rsidR="0068619A" w:rsidRPr="00C8483F">
        <w:rPr>
          <w:rFonts w:ascii="Times New Roman" w:hAnsi="Times New Roman" w:cs="Times New Roman"/>
          <w:sz w:val="24"/>
          <w:szCs w:val="24"/>
        </w:rPr>
        <w:t>ÚČINKY</w:t>
      </w:r>
    </w:p>
    <w:p w14:paraId="1258C2FB" w14:textId="77777777" w:rsidR="006125CD" w:rsidRPr="00EB7644" w:rsidRDefault="006125CD" w:rsidP="006125CD">
      <w:pPr>
        <w:ind w:left="567" w:hanging="567"/>
        <w:rPr>
          <w:b/>
          <w:bCs/>
        </w:rPr>
      </w:pPr>
    </w:p>
    <w:p w14:paraId="225F99BF" w14:textId="3B6FF88C" w:rsidR="00DC356B" w:rsidRDefault="00B36115" w:rsidP="00414201">
      <w:pPr>
        <w:ind w:left="567"/>
        <w:jc w:val="both"/>
      </w:pPr>
      <w:r>
        <w:t>Jestliže zaznamenáte jakékoliv nežádoucí účinky</w:t>
      </w:r>
      <w:r w:rsidR="005E7481">
        <w:t>,</w:t>
      </w:r>
      <w:r w:rsidR="00DA1946">
        <w:t xml:space="preserve"> </w:t>
      </w:r>
      <w:r w:rsidR="009902D8">
        <w:t>a to i takové</w:t>
      </w:r>
      <w:r>
        <w:t xml:space="preserve">, které nejsou </w:t>
      </w:r>
      <w:r w:rsidR="00DA1946">
        <w:t xml:space="preserve">již </w:t>
      </w:r>
      <w:r>
        <w:t xml:space="preserve">uvedeny v této příbalové informaci, </w:t>
      </w:r>
      <w:r w:rsidR="00DA1946">
        <w:t xml:space="preserve">nebo si myslíte, že </w:t>
      </w:r>
      <w:r w:rsidR="00612E83">
        <w:t xml:space="preserve">léčivo </w:t>
      </w:r>
      <w:r w:rsidR="00DA1946">
        <w:t xml:space="preserve">nefunguje, </w:t>
      </w:r>
      <w:r>
        <w:t>oznamte to prosím vašemu veterinárnímu lékaři.</w:t>
      </w:r>
    </w:p>
    <w:p w14:paraId="741CD291" w14:textId="3911B8DC" w:rsidR="009902D8" w:rsidRDefault="006125CD">
      <w:pPr>
        <w:tabs>
          <w:tab w:val="left" w:pos="2745"/>
        </w:tabs>
        <w:ind w:left="567" w:hanging="567"/>
      </w:pPr>
      <w:r>
        <w:lastRenderedPageBreak/>
        <w:tab/>
      </w:r>
      <w:r w:rsidR="009902D8">
        <w:t xml:space="preserve">Můžete také hlásit prostřednictvím formuláře na webových stránkách ÚSKVBL elektronicky, nebo také přímo na adresu: </w:t>
      </w:r>
    </w:p>
    <w:p w14:paraId="5CB189FF" w14:textId="6B3AFC3F" w:rsidR="009902D8" w:rsidRDefault="009902D8" w:rsidP="009902D8">
      <w:pPr>
        <w:tabs>
          <w:tab w:val="left" w:pos="2745"/>
        </w:tabs>
        <w:ind w:left="567" w:hanging="567"/>
      </w:pPr>
      <w:r>
        <w:t xml:space="preserve">         Ústav pro státní kontrolu veterinárních biopreparátů a léčiv</w:t>
      </w:r>
      <w:r w:rsidR="00B8361C">
        <w:t xml:space="preserve">, </w:t>
      </w:r>
      <w:r>
        <w:t xml:space="preserve">Hudcova </w:t>
      </w:r>
      <w:r w:rsidR="00B8361C">
        <w:t>232/</w:t>
      </w:r>
      <w:proofErr w:type="gramStart"/>
      <w:r>
        <w:t>56a</w:t>
      </w:r>
      <w:proofErr w:type="gramEnd"/>
      <w:r w:rsidR="00B8361C">
        <w:t xml:space="preserve">, </w:t>
      </w:r>
      <w:r>
        <w:t>621 00 Brno</w:t>
      </w:r>
    </w:p>
    <w:p w14:paraId="223C337E" w14:textId="3C56A425" w:rsidR="006125CD" w:rsidRDefault="009902D8" w:rsidP="009902D8">
      <w:pPr>
        <w:tabs>
          <w:tab w:val="left" w:pos="2745"/>
        </w:tabs>
        <w:ind w:left="567" w:hanging="567"/>
      </w:pPr>
      <w:r>
        <w:t xml:space="preserve">         </w:t>
      </w:r>
      <w:r w:rsidR="00B8361C">
        <w:t>E-m</w:t>
      </w:r>
      <w:r>
        <w:t xml:space="preserve">ail: </w:t>
      </w:r>
      <w:hyperlink r:id="rId8" w:history="1">
        <w:r w:rsidR="00B8361C" w:rsidRPr="00997A47">
          <w:rPr>
            <w:rStyle w:val="Hypertextovodkaz"/>
          </w:rPr>
          <w:t>adr@uskvbl.cz</w:t>
        </w:r>
      </w:hyperlink>
      <w:r w:rsidR="00B8361C">
        <w:t>, w</w:t>
      </w:r>
      <w:r>
        <w:t xml:space="preserve">ebové stránky: </w:t>
      </w:r>
      <w:hyperlink r:id="rId9" w:history="1">
        <w:r w:rsidRPr="00186863">
          <w:rPr>
            <w:rStyle w:val="Hypertextovodkaz"/>
          </w:rPr>
          <w:t>http://www.uskvbl.cz/cs/farmakovigilance</w:t>
        </w:r>
      </w:hyperlink>
      <w:r>
        <w:t>.</w:t>
      </w:r>
    </w:p>
    <w:p w14:paraId="7A903951" w14:textId="77777777" w:rsidR="009902D8" w:rsidRPr="00EB7644" w:rsidRDefault="009902D8" w:rsidP="009902D8">
      <w:pPr>
        <w:tabs>
          <w:tab w:val="left" w:pos="2745"/>
        </w:tabs>
        <w:ind w:left="567" w:hanging="567"/>
      </w:pPr>
    </w:p>
    <w:p w14:paraId="09F3E2BF" w14:textId="77777777" w:rsidR="006125CD" w:rsidRPr="00EB7644" w:rsidRDefault="006125CD" w:rsidP="006125CD">
      <w:pPr>
        <w:ind w:left="567" w:hanging="567"/>
        <w:jc w:val="both"/>
        <w:rPr>
          <w:b/>
          <w:bCs/>
        </w:rPr>
      </w:pPr>
      <w:r w:rsidRPr="00414201">
        <w:rPr>
          <w:b/>
          <w:highlight w:val="lightGray"/>
        </w:rPr>
        <w:t>7.</w:t>
      </w:r>
      <w:r>
        <w:tab/>
      </w:r>
      <w:r>
        <w:rPr>
          <w:b/>
        </w:rPr>
        <w:t>CÍLOVÝ DRUH</w:t>
      </w:r>
      <w:r w:rsidR="0068619A">
        <w:rPr>
          <w:b/>
        </w:rPr>
        <w:t xml:space="preserve"> ZVÍŘAT</w:t>
      </w:r>
    </w:p>
    <w:p w14:paraId="6C4E78D9" w14:textId="77777777" w:rsidR="006125CD" w:rsidRPr="00EB7644" w:rsidRDefault="006125CD" w:rsidP="006125CD">
      <w:pPr>
        <w:ind w:left="567" w:hanging="567"/>
        <w:rPr>
          <w:b/>
          <w:bCs/>
        </w:rPr>
      </w:pPr>
    </w:p>
    <w:p w14:paraId="197F1744" w14:textId="77777777" w:rsidR="006125CD" w:rsidRPr="00EB7644" w:rsidRDefault="006125CD" w:rsidP="006125CD">
      <w:pPr>
        <w:ind w:left="567" w:hanging="567"/>
        <w:rPr>
          <w:bCs/>
        </w:rPr>
      </w:pPr>
      <w:r>
        <w:t xml:space="preserve">  </w:t>
      </w:r>
      <w:r>
        <w:tab/>
        <w:t xml:space="preserve"> </w:t>
      </w:r>
      <w:r w:rsidR="00B36115">
        <w:t xml:space="preserve">Skot </w:t>
      </w:r>
      <w:r>
        <w:t xml:space="preserve">(krávy) a </w:t>
      </w:r>
      <w:r w:rsidR="002D23CB">
        <w:t xml:space="preserve">králíci (ramlice) </w:t>
      </w:r>
      <w:r>
        <w:t>pro reprodukci.</w:t>
      </w:r>
    </w:p>
    <w:p w14:paraId="3BAC5E0D" w14:textId="77777777" w:rsidR="006544CA" w:rsidRDefault="006544CA" w:rsidP="006125CD">
      <w:pPr>
        <w:pStyle w:val="Nadpis3"/>
        <w:spacing w:before="0" w:after="0"/>
        <w:ind w:left="567" w:hanging="567"/>
        <w:rPr>
          <w:rFonts w:ascii="Times New Roman" w:hAnsi="Times New Roman"/>
          <w:sz w:val="24"/>
        </w:rPr>
      </w:pPr>
    </w:p>
    <w:p w14:paraId="5EA0E419" w14:textId="77777777" w:rsidR="006125CD" w:rsidRPr="00EB7644" w:rsidRDefault="006125CD" w:rsidP="006125CD">
      <w:pPr>
        <w:pStyle w:val="Nadpis3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14201">
        <w:rPr>
          <w:rFonts w:ascii="Times New Roman" w:hAnsi="Times New Roman"/>
          <w:sz w:val="24"/>
          <w:highlight w:val="lightGray"/>
        </w:rPr>
        <w:t>8.</w:t>
      </w:r>
      <w:r>
        <w:tab/>
      </w:r>
      <w:r>
        <w:rPr>
          <w:rFonts w:ascii="Times New Roman" w:hAnsi="Times New Roman"/>
          <w:sz w:val="24"/>
        </w:rPr>
        <w:t xml:space="preserve">DÁVKOVÁNÍ PRO KAŽDÝ DRUH, </w:t>
      </w:r>
      <w:r w:rsidR="0068619A">
        <w:rPr>
          <w:rFonts w:ascii="Times New Roman" w:hAnsi="Times New Roman"/>
          <w:sz w:val="24"/>
        </w:rPr>
        <w:t>CESTA</w:t>
      </w:r>
      <w:r w:rsidR="00C8483F">
        <w:rPr>
          <w:rFonts w:ascii="Times New Roman" w:hAnsi="Times New Roman"/>
          <w:sz w:val="24"/>
        </w:rPr>
        <w:t xml:space="preserve"> </w:t>
      </w:r>
      <w:r w:rsidR="0068619A">
        <w:rPr>
          <w:rFonts w:ascii="Times New Roman" w:hAnsi="Times New Roman"/>
          <w:sz w:val="24"/>
        </w:rPr>
        <w:t xml:space="preserve">(Y) A </w:t>
      </w:r>
      <w:r>
        <w:rPr>
          <w:rFonts w:ascii="Times New Roman" w:hAnsi="Times New Roman"/>
          <w:sz w:val="24"/>
        </w:rPr>
        <w:t>ZPŮSOB PODÁNÍ</w:t>
      </w:r>
    </w:p>
    <w:p w14:paraId="5D5B88F1" w14:textId="77777777" w:rsidR="006125CD" w:rsidRPr="00EB7644" w:rsidRDefault="006125CD" w:rsidP="006125CD">
      <w:pPr>
        <w:ind w:left="567" w:hanging="567"/>
        <w:rPr>
          <w:bCs/>
        </w:rPr>
      </w:pPr>
    </w:p>
    <w:p w14:paraId="1BA17B0A" w14:textId="77777777" w:rsidR="006125CD" w:rsidRPr="00EB7644" w:rsidRDefault="006125CD" w:rsidP="006125CD">
      <w:pPr>
        <w:ind w:left="567"/>
        <w:jc w:val="both"/>
        <w:rPr>
          <w:bCs/>
        </w:rPr>
      </w:pPr>
      <w:r>
        <w:t>Podávat intramuskulárně.</w:t>
      </w:r>
    </w:p>
    <w:p w14:paraId="1CFA0148" w14:textId="77777777" w:rsidR="006125CD" w:rsidRPr="00EB7644" w:rsidRDefault="006125CD" w:rsidP="006125CD">
      <w:pPr>
        <w:ind w:left="567"/>
        <w:jc w:val="both"/>
        <w:rPr>
          <w:bCs/>
        </w:rPr>
      </w:pPr>
    </w:p>
    <w:p w14:paraId="3E0FE80B" w14:textId="62E40245" w:rsidR="006125CD" w:rsidRPr="00EB7644" w:rsidRDefault="006125CD" w:rsidP="006125CD">
      <w:pPr>
        <w:ind w:left="567"/>
        <w:jc w:val="both"/>
        <w:rPr>
          <w:bCs/>
        </w:rPr>
      </w:pPr>
      <w:r>
        <w:t xml:space="preserve">Dávkování se liší v závislosti na </w:t>
      </w:r>
      <w:r w:rsidR="00F92DCB">
        <w:t xml:space="preserve">indikaci </w:t>
      </w:r>
      <w:r>
        <w:t>a živočišném druhu, a to takto:</w:t>
      </w:r>
    </w:p>
    <w:p w14:paraId="0345D361" w14:textId="77777777" w:rsidR="006125CD" w:rsidRPr="00EB7644" w:rsidRDefault="006125CD" w:rsidP="006125CD">
      <w:pPr>
        <w:ind w:left="567" w:hanging="567"/>
        <w:jc w:val="both"/>
        <w:rPr>
          <w:bCs/>
        </w:rPr>
      </w:pPr>
    </w:p>
    <w:p w14:paraId="28CADA80" w14:textId="77777777" w:rsidR="006125CD" w:rsidRPr="00EB7644" w:rsidRDefault="00F9213B" w:rsidP="006125CD">
      <w:pPr>
        <w:ind w:left="567"/>
        <w:jc w:val="both"/>
        <w:rPr>
          <w:bCs/>
          <w:u w:val="single"/>
        </w:rPr>
      </w:pPr>
      <w:r>
        <w:rPr>
          <w:u w:val="single"/>
        </w:rPr>
        <w:t xml:space="preserve">Skot </w:t>
      </w:r>
      <w:r w:rsidR="006125CD">
        <w:rPr>
          <w:u w:val="single"/>
        </w:rPr>
        <w:t>(krávy)</w:t>
      </w:r>
    </w:p>
    <w:p w14:paraId="092D2511" w14:textId="77777777" w:rsidR="00F9213B" w:rsidRPr="00EB7644" w:rsidRDefault="00F9213B" w:rsidP="00F9213B">
      <w:pPr>
        <w:numPr>
          <w:ilvl w:val="0"/>
          <w:numId w:val="20"/>
        </w:numPr>
        <w:tabs>
          <w:tab w:val="clear" w:pos="2160"/>
        </w:tabs>
        <w:ind w:left="851" w:hanging="284"/>
        <w:jc w:val="both"/>
        <w:rPr>
          <w:bCs/>
        </w:rPr>
      </w:pPr>
      <w:r>
        <w:t xml:space="preserve">Léčba folikulárních ovariálních cyst: 0,1 mg lecirelinu </w:t>
      </w:r>
      <w:r w:rsidRPr="00414201">
        <w:rPr>
          <w:i/>
        </w:rPr>
        <w:t>pro toto</w:t>
      </w:r>
      <w:r>
        <w:t xml:space="preserve">, což odpovídá 4 ml přípravku </w:t>
      </w:r>
      <w:r w:rsidRPr="00414201">
        <w:rPr>
          <w:i/>
        </w:rPr>
        <w:t>pro toto</w:t>
      </w:r>
    </w:p>
    <w:p w14:paraId="23F3A903" w14:textId="2D29D10F" w:rsidR="00F9213B" w:rsidRPr="00EB7644" w:rsidRDefault="00F9213B" w:rsidP="00F9213B">
      <w:pPr>
        <w:numPr>
          <w:ilvl w:val="0"/>
          <w:numId w:val="20"/>
        </w:numPr>
        <w:tabs>
          <w:tab w:val="clear" w:pos="2160"/>
        </w:tabs>
        <w:ind w:left="851" w:hanging="284"/>
        <w:jc w:val="both"/>
        <w:rPr>
          <w:bCs/>
        </w:rPr>
      </w:pPr>
      <w:r>
        <w:t xml:space="preserve">Indukce ovulace při oplodnění v případě krátké, tiché nebo prodloužené říje: </w:t>
      </w:r>
      <w:bookmarkStart w:id="0" w:name="_GoBack"/>
      <w:bookmarkEnd w:id="0"/>
      <w:r>
        <w:t xml:space="preserve">0,05 mg lecirelinu </w:t>
      </w:r>
      <w:r w:rsidRPr="00414201">
        <w:rPr>
          <w:i/>
        </w:rPr>
        <w:t>pro toto</w:t>
      </w:r>
      <w:r>
        <w:t xml:space="preserve">, což odpovídá 2 ml přípravku </w:t>
      </w:r>
      <w:r w:rsidRPr="00414201">
        <w:rPr>
          <w:i/>
        </w:rPr>
        <w:t>pro toto</w:t>
      </w:r>
      <w:r>
        <w:t>.</w:t>
      </w:r>
    </w:p>
    <w:p w14:paraId="55A79588" w14:textId="77777777" w:rsidR="00F9213B" w:rsidRPr="00EB7644" w:rsidRDefault="00F9213B" w:rsidP="00F9213B">
      <w:pPr>
        <w:ind w:left="567"/>
        <w:jc w:val="both"/>
        <w:rPr>
          <w:bCs/>
        </w:rPr>
      </w:pPr>
    </w:p>
    <w:p w14:paraId="19205A26" w14:textId="77777777" w:rsidR="00F9213B" w:rsidRPr="00EB7644" w:rsidRDefault="00F9213B" w:rsidP="00F9213B">
      <w:pPr>
        <w:ind w:left="567"/>
        <w:jc w:val="both"/>
        <w:rPr>
          <w:bCs/>
          <w:u w:val="single"/>
        </w:rPr>
      </w:pPr>
      <w:r>
        <w:rPr>
          <w:u w:val="single"/>
        </w:rPr>
        <w:t>Králíci</w:t>
      </w:r>
      <w:r w:rsidR="002D23CB">
        <w:rPr>
          <w:u w:val="single"/>
        </w:rPr>
        <w:t xml:space="preserve"> (ramlice)</w:t>
      </w:r>
    </w:p>
    <w:p w14:paraId="092F322F" w14:textId="77777777" w:rsidR="00F9213B" w:rsidRPr="00EB7644" w:rsidRDefault="00F9213B" w:rsidP="00F9213B">
      <w:pPr>
        <w:numPr>
          <w:ilvl w:val="0"/>
          <w:numId w:val="20"/>
        </w:numPr>
        <w:tabs>
          <w:tab w:val="clear" w:pos="2160"/>
        </w:tabs>
        <w:ind w:left="851" w:hanging="284"/>
        <w:jc w:val="both"/>
        <w:rPr>
          <w:bCs/>
        </w:rPr>
      </w:pPr>
      <w:r>
        <w:t xml:space="preserve">Indukce ovulace: 0,005 mg lecirelinu </w:t>
      </w:r>
      <w:r w:rsidRPr="00414201">
        <w:rPr>
          <w:i/>
        </w:rPr>
        <w:t>pro toto</w:t>
      </w:r>
      <w:r>
        <w:t xml:space="preserve">, což odpovídá 0,2 ml přípravku </w:t>
      </w:r>
      <w:r w:rsidRPr="00414201">
        <w:rPr>
          <w:i/>
        </w:rPr>
        <w:t>pro toto</w:t>
      </w:r>
      <w:r>
        <w:t>.</w:t>
      </w:r>
    </w:p>
    <w:p w14:paraId="72A4E866" w14:textId="77777777" w:rsidR="00F9213B" w:rsidRPr="00EB7644" w:rsidRDefault="002D23CB" w:rsidP="00F9213B">
      <w:pPr>
        <w:numPr>
          <w:ilvl w:val="0"/>
          <w:numId w:val="20"/>
        </w:numPr>
        <w:tabs>
          <w:tab w:val="clear" w:pos="2160"/>
        </w:tabs>
        <w:ind w:left="851" w:hanging="284"/>
        <w:jc w:val="both"/>
        <w:rPr>
          <w:bCs/>
        </w:rPr>
      </w:pPr>
      <w:r w:rsidRPr="002D23CB">
        <w:rPr>
          <w:color w:val="000000"/>
        </w:rPr>
        <w:t>Zlepšení koncepce</w:t>
      </w:r>
      <w:r w:rsidR="00F9213B" w:rsidRPr="002D23CB">
        <w:t xml:space="preserve">: 0,0075 mg lecirelinu </w:t>
      </w:r>
      <w:r w:rsidR="00F9213B" w:rsidRPr="00414201">
        <w:rPr>
          <w:i/>
        </w:rPr>
        <w:t>pro toto</w:t>
      </w:r>
      <w:r w:rsidR="00F9213B" w:rsidRPr="002D23CB">
        <w:t>, což</w:t>
      </w:r>
      <w:r w:rsidR="00F9213B">
        <w:t xml:space="preserve"> odpovídá 0,3 ml přípravku </w:t>
      </w:r>
      <w:r w:rsidR="00F9213B" w:rsidRPr="00414201">
        <w:rPr>
          <w:i/>
        </w:rPr>
        <w:t>pro toto</w:t>
      </w:r>
      <w:r w:rsidR="00F9213B">
        <w:t>.</w:t>
      </w:r>
    </w:p>
    <w:p w14:paraId="3B747B27" w14:textId="683113B9" w:rsidR="00F9213B" w:rsidRPr="00EB7644" w:rsidRDefault="00F9213B" w:rsidP="00F9213B">
      <w:pPr>
        <w:spacing w:before="245" w:line="247" w:lineRule="exact"/>
        <w:ind w:left="567"/>
        <w:textAlignment w:val="baseline"/>
        <w:rPr>
          <w:color w:val="000000"/>
        </w:rPr>
      </w:pPr>
      <w:r>
        <w:rPr>
          <w:color w:val="000000"/>
        </w:rPr>
        <w:t>Léčba může být aplikována 24 h</w:t>
      </w:r>
      <w:r w:rsidR="00612E83">
        <w:rPr>
          <w:color w:val="000000"/>
        </w:rPr>
        <w:t>od.</w:t>
      </w:r>
      <w:r>
        <w:rPr>
          <w:color w:val="000000"/>
        </w:rPr>
        <w:t xml:space="preserve"> po porodu.</w:t>
      </w:r>
    </w:p>
    <w:p w14:paraId="7EA568CC" w14:textId="77777777" w:rsidR="00F9213B" w:rsidRDefault="00F9213B" w:rsidP="00F9213B">
      <w:pPr>
        <w:spacing w:line="247" w:lineRule="exact"/>
        <w:ind w:left="567"/>
        <w:textAlignment w:val="baseline"/>
      </w:pPr>
      <w:r>
        <w:rPr>
          <w:color w:val="000000"/>
        </w:rPr>
        <w:t>Páření nebo inseminace musí proběhnout neprodleně po podání.</w:t>
      </w:r>
    </w:p>
    <w:p w14:paraId="2AB24DF3" w14:textId="77777777" w:rsidR="006125CD" w:rsidRPr="00EB7644" w:rsidRDefault="006125CD" w:rsidP="006125CD">
      <w:pPr>
        <w:ind w:left="567" w:hanging="567"/>
        <w:rPr>
          <w:bCs/>
        </w:rPr>
      </w:pPr>
    </w:p>
    <w:p w14:paraId="1565363A" w14:textId="77777777" w:rsidR="006125CD" w:rsidRPr="00EB7644" w:rsidRDefault="006125CD" w:rsidP="006125CD">
      <w:pPr>
        <w:ind w:left="567" w:hanging="567"/>
        <w:jc w:val="both"/>
        <w:rPr>
          <w:b/>
          <w:bCs/>
        </w:rPr>
      </w:pPr>
      <w:r w:rsidRPr="00414201">
        <w:rPr>
          <w:b/>
          <w:highlight w:val="lightGray"/>
        </w:rPr>
        <w:t>9.</w:t>
      </w:r>
      <w:r>
        <w:tab/>
      </w:r>
      <w:r>
        <w:rPr>
          <w:b/>
        </w:rPr>
        <w:t>POKYNY PRO SPRÁVNÉ PODÁNÍ</w:t>
      </w:r>
    </w:p>
    <w:p w14:paraId="66DE0577" w14:textId="77777777" w:rsidR="006125CD" w:rsidRPr="00EB7644" w:rsidRDefault="006125CD" w:rsidP="006125CD">
      <w:pPr>
        <w:ind w:left="567" w:hanging="567"/>
        <w:rPr>
          <w:bCs/>
        </w:rPr>
      </w:pPr>
    </w:p>
    <w:p w14:paraId="6E84A17C" w14:textId="77777777" w:rsidR="006125CD" w:rsidRPr="00EB7644" w:rsidRDefault="006125CD" w:rsidP="006125CD">
      <w:pPr>
        <w:ind w:left="567" w:hanging="567"/>
        <w:rPr>
          <w:bCs/>
        </w:rPr>
      </w:pPr>
      <w:r>
        <w:tab/>
        <w:t>Žádné.</w:t>
      </w:r>
    </w:p>
    <w:p w14:paraId="71340A87" w14:textId="77777777" w:rsidR="006125CD" w:rsidRPr="00EB7644" w:rsidRDefault="006125CD" w:rsidP="006125CD">
      <w:pPr>
        <w:ind w:left="567" w:hanging="567"/>
        <w:rPr>
          <w:bCs/>
        </w:rPr>
      </w:pPr>
    </w:p>
    <w:p w14:paraId="7484E03D" w14:textId="77777777" w:rsidR="006125CD" w:rsidRPr="00EB7644" w:rsidRDefault="006125CD" w:rsidP="006125CD">
      <w:pPr>
        <w:pStyle w:val="Nadpis3"/>
        <w:tabs>
          <w:tab w:val="left" w:pos="709"/>
        </w:tabs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14201">
        <w:rPr>
          <w:rFonts w:ascii="Times New Roman" w:hAnsi="Times New Roman"/>
          <w:sz w:val="24"/>
          <w:highlight w:val="lightGray"/>
        </w:rPr>
        <w:t>10.</w:t>
      </w:r>
      <w:r>
        <w:tab/>
      </w:r>
      <w:r>
        <w:rPr>
          <w:rFonts w:ascii="Times New Roman" w:hAnsi="Times New Roman"/>
          <w:sz w:val="24"/>
        </w:rPr>
        <w:t>OCHRANNÁ</w:t>
      </w:r>
      <w:r w:rsidR="004001AB">
        <w:rPr>
          <w:rFonts w:ascii="Times New Roman" w:hAnsi="Times New Roman"/>
          <w:sz w:val="24"/>
        </w:rPr>
        <w:t>(É)</w:t>
      </w:r>
      <w:r>
        <w:rPr>
          <w:rFonts w:ascii="Times New Roman" w:hAnsi="Times New Roman"/>
          <w:sz w:val="24"/>
        </w:rPr>
        <w:t xml:space="preserve"> LHŮTA</w:t>
      </w:r>
      <w:r w:rsidR="004001AB">
        <w:rPr>
          <w:rFonts w:ascii="Times New Roman" w:hAnsi="Times New Roman"/>
          <w:sz w:val="24"/>
        </w:rPr>
        <w:t>(Y)</w:t>
      </w:r>
    </w:p>
    <w:p w14:paraId="289B8676" w14:textId="77777777" w:rsidR="006125CD" w:rsidRPr="00EB7644" w:rsidRDefault="006125CD" w:rsidP="006125CD">
      <w:pPr>
        <w:ind w:left="567" w:hanging="567"/>
        <w:rPr>
          <w:bCs/>
        </w:rPr>
      </w:pPr>
    </w:p>
    <w:p w14:paraId="718231E8" w14:textId="77777777" w:rsidR="006125CD" w:rsidRPr="00EB7644" w:rsidRDefault="006125CD" w:rsidP="006125CD">
      <w:pPr>
        <w:ind w:left="567"/>
        <w:jc w:val="both"/>
      </w:pPr>
      <w:r>
        <w:t xml:space="preserve">Maso: </w:t>
      </w:r>
      <w:r w:rsidR="00D85578">
        <w:t>Bez ochranných lhůt.</w:t>
      </w:r>
    </w:p>
    <w:p w14:paraId="2AC197B4" w14:textId="77777777" w:rsidR="006125CD" w:rsidRPr="00EB7644" w:rsidRDefault="006125CD" w:rsidP="006125CD">
      <w:pPr>
        <w:ind w:left="567"/>
        <w:jc w:val="both"/>
      </w:pPr>
      <w:r>
        <w:t>Mléko:</w:t>
      </w:r>
      <w:r w:rsidR="00D85578">
        <w:t xml:space="preserve"> Bez ochranných lhůt. </w:t>
      </w:r>
    </w:p>
    <w:p w14:paraId="5FE5A922" w14:textId="77777777" w:rsidR="006125CD" w:rsidRPr="00EB7644" w:rsidRDefault="006125CD" w:rsidP="006125CD">
      <w:pPr>
        <w:ind w:left="567" w:hanging="567"/>
      </w:pPr>
    </w:p>
    <w:p w14:paraId="089667E7" w14:textId="77777777" w:rsidR="006125CD" w:rsidRPr="00EB7644" w:rsidRDefault="006125CD" w:rsidP="006125CD">
      <w:pPr>
        <w:ind w:left="567" w:hanging="567"/>
        <w:jc w:val="both"/>
        <w:rPr>
          <w:b/>
          <w:bCs/>
        </w:rPr>
      </w:pPr>
      <w:r w:rsidRPr="00414201">
        <w:rPr>
          <w:b/>
          <w:highlight w:val="lightGray"/>
        </w:rPr>
        <w:t>11.</w:t>
      </w:r>
      <w:r>
        <w:tab/>
      </w:r>
      <w:r>
        <w:rPr>
          <w:b/>
        </w:rPr>
        <w:t>ZVLÁŠTNÍ OPATŘENÍ PRO UCHOVÁVÁNÍ</w:t>
      </w:r>
    </w:p>
    <w:p w14:paraId="0D1CC7A3" w14:textId="77777777" w:rsidR="006125CD" w:rsidRPr="00EB7644" w:rsidRDefault="006125CD" w:rsidP="006125CD">
      <w:pPr>
        <w:ind w:left="567" w:hanging="567"/>
        <w:rPr>
          <w:bCs/>
        </w:rPr>
      </w:pPr>
    </w:p>
    <w:p w14:paraId="24236CF7" w14:textId="77777777" w:rsidR="006125CD" w:rsidRPr="00EB7644" w:rsidRDefault="006125CD" w:rsidP="006125CD">
      <w:pPr>
        <w:tabs>
          <w:tab w:val="left" w:pos="709"/>
        </w:tabs>
        <w:ind w:left="567" w:hanging="567"/>
      </w:pPr>
      <w:r>
        <w:tab/>
        <w:t>Uchováv</w:t>
      </w:r>
      <w:r w:rsidR="00673E06">
        <w:t xml:space="preserve">at </w:t>
      </w:r>
      <w:r>
        <w:t xml:space="preserve">mimo </w:t>
      </w:r>
      <w:r w:rsidR="006C43FE">
        <w:t xml:space="preserve">dohled a </w:t>
      </w:r>
      <w:r>
        <w:t>dosah dětí.</w:t>
      </w:r>
    </w:p>
    <w:p w14:paraId="7E1814C5" w14:textId="77777777" w:rsidR="006125CD" w:rsidRDefault="006125CD" w:rsidP="006125CD">
      <w:pPr>
        <w:tabs>
          <w:tab w:val="left" w:pos="709"/>
        </w:tabs>
        <w:ind w:left="567" w:hanging="567"/>
      </w:pPr>
      <w:r>
        <w:tab/>
        <w:t>Uchovávejte při teplotě do 25 °C.</w:t>
      </w:r>
    </w:p>
    <w:p w14:paraId="7CE1CFFC" w14:textId="77777777" w:rsidR="00851E05" w:rsidRPr="00EB7644" w:rsidRDefault="00851E05" w:rsidP="006125CD">
      <w:pPr>
        <w:tabs>
          <w:tab w:val="left" w:pos="709"/>
        </w:tabs>
        <w:ind w:left="567" w:hanging="567"/>
      </w:pPr>
      <w:r>
        <w:tab/>
        <w:t xml:space="preserve">Uchovávejte </w:t>
      </w:r>
      <w:r w:rsidR="00EF6D99">
        <w:t xml:space="preserve">injekční </w:t>
      </w:r>
      <w:r>
        <w:t>lahvičku v krabičce, aby byla chráněna před světlem.</w:t>
      </w:r>
    </w:p>
    <w:p w14:paraId="7DF4F1A7" w14:textId="77777777" w:rsidR="006125CD" w:rsidRPr="00EB7644" w:rsidRDefault="006125CD" w:rsidP="006125CD">
      <w:pPr>
        <w:tabs>
          <w:tab w:val="left" w:pos="709"/>
        </w:tabs>
        <w:ind w:left="567" w:hanging="567"/>
        <w:jc w:val="both"/>
      </w:pPr>
      <w:r>
        <w:tab/>
        <w:t xml:space="preserve">Nepoužívejte tento </w:t>
      </w:r>
      <w:r w:rsidR="00EF6D99">
        <w:t xml:space="preserve">veterinární léčivý </w:t>
      </w:r>
      <w:r>
        <w:t xml:space="preserve">přípravek po uplynutí doby použitelnosti uvedené na </w:t>
      </w:r>
      <w:r w:rsidR="00EF6D99">
        <w:t xml:space="preserve">etiketě injekční </w:t>
      </w:r>
      <w:r>
        <w:t xml:space="preserve">lahvičky a </w:t>
      </w:r>
      <w:r w:rsidR="00EF6D99">
        <w:t>krabičce</w:t>
      </w:r>
      <w:r>
        <w:t xml:space="preserve"> </w:t>
      </w:r>
      <w:r w:rsidR="00EF6D99">
        <w:t xml:space="preserve">po </w:t>
      </w:r>
      <w:r>
        <w:t xml:space="preserve">„EXP“. </w:t>
      </w:r>
      <w:r w:rsidR="00EF6D99">
        <w:t xml:space="preserve">Doba </w:t>
      </w:r>
      <w:r>
        <w:t xml:space="preserve">použitelnosti </w:t>
      </w:r>
      <w:r w:rsidR="00EF6D99">
        <w:t>končí posledním dnem v uvedeném měsíci.</w:t>
      </w:r>
    </w:p>
    <w:p w14:paraId="38E77E4B" w14:textId="77777777" w:rsidR="006125CD" w:rsidRPr="00EB7644" w:rsidRDefault="006125CD" w:rsidP="006125CD">
      <w:pPr>
        <w:ind w:left="567" w:hanging="567"/>
        <w:jc w:val="both"/>
      </w:pPr>
      <w:r>
        <w:tab/>
        <w:t>Doba použitelnosti po prvním otevření</w:t>
      </w:r>
      <w:r w:rsidR="00EF6D99">
        <w:t xml:space="preserve"> </w:t>
      </w:r>
      <w:r w:rsidR="00F06142">
        <w:t>vnitřního obalu</w:t>
      </w:r>
      <w:r>
        <w:t>: 28 dní</w:t>
      </w:r>
      <w:r w:rsidR="006C43FE">
        <w:t>.</w:t>
      </w:r>
      <w:r>
        <w:t xml:space="preserve"> </w:t>
      </w:r>
    </w:p>
    <w:p w14:paraId="23E4C902" w14:textId="77777777" w:rsidR="006125CD" w:rsidRPr="00EB7644" w:rsidRDefault="006125CD" w:rsidP="006125CD">
      <w:pPr>
        <w:ind w:left="567" w:hanging="567"/>
        <w:jc w:val="both"/>
      </w:pPr>
      <w:r>
        <w:tab/>
      </w:r>
    </w:p>
    <w:p w14:paraId="1B000953" w14:textId="77777777" w:rsidR="006125CD" w:rsidRPr="00EB7644" w:rsidRDefault="006125CD" w:rsidP="00414201">
      <w:pPr>
        <w:keepNext/>
        <w:tabs>
          <w:tab w:val="left" w:pos="709"/>
        </w:tabs>
        <w:ind w:left="567" w:hanging="567"/>
        <w:jc w:val="both"/>
        <w:rPr>
          <w:b/>
          <w:bCs/>
        </w:rPr>
      </w:pPr>
      <w:r w:rsidRPr="00414201">
        <w:rPr>
          <w:b/>
          <w:highlight w:val="lightGray"/>
        </w:rPr>
        <w:lastRenderedPageBreak/>
        <w:t>12.</w:t>
      </w:r>
      <w:r>
        <w:tab/>
      </w:r>
      <w:r>
        <w:rPr>
          <w:b/>
        </w:rPr>
        <w:t xml:space="preserve">ZVLÁŠTNÍ UPOZORNĚNÍ </w:t>
      </w:r>
    </w:p>
    <w:p w14:paraId="6B728672" w14:textId="77777777" w:rsidR="006125CD" w:rsidRPr="00EB7644" w:rsidRDefault="006125CD" w:rsidP="00414201">
      <w:pPr>
        <w:keepNext/>
        <w:tabs>
          <w:tab w:val="left" w:pos="709"/>
        </w:tabs>
        <w:ind w:left="567" w:hanging="567"/>
        <w:rPr>
          <w:bCs/>
        </w:rPr>
      </w:pPr>
    </w:p>
    <w:p w14:paraId="239CC6B1" w14:textId="77777777" w:rsidR="006125CD" w:rsidRPr="00EB7644" w:rsidRDefault="006125CD" w:rsidP="00414201">
      <w:pPr>
        <w:keepNext/>
        <w:tabs>
          <w:tab w:val="left" w:pos="709"/>
        </w:tabs>
        <w:ind w:left="567" w:hanging="567"/>
        <w:jc w:val="both"/>
        <w:rPr>
          <w:bCs/>
          <w:u w:val="single"/>
        </w:rPr>
      </w:pPr>
      <w:r>
        <w:tab/>
      </w:r>
      <w:r>
        <w:rPr>
          <w:u w:val="single"/>
        </w:rPr>
        <w:t>Zvláštní upozornění pro každý cílový druh:</w:t>
      </w:r>
    </w:p>
    <w:p w14:paraId="3A7EBF72" w14:textId="77777777" w:rsidR="006125CD" w:rsidRPr="00EB7644" w:rsidRDefault="006125CD" w:rsidP="006125CD">
      <w:pPr>
        <w:tabs>
          <w:tab w:val="left" w:pos="709"/>
        </w:tabs>
        <w:ind w:left="567" w:hanging="567"/>
      </w:pPr>
      <w:r>
        <w:tab/>
      </w:r>
      <w:r w:rsidR="00F9213B">
        <w:rPr>
          <w:snapToGrid w:val="0"/>
          <w:szCs w:val="22"/>
        </w:rPr>
        <w:t>Nejsou</w:t>
      </w:r>
      <w:r>
        <w:t>.</w:t>
      </w:r>
    </w:p>
    <w:p w14:paraId="2B835600" w14:textId="77777777" w:rsidR="006125CD" w:rsidRPr="00EB7644" w:rsidRDefault="006125CD" w:rsidP="006125CD">
      <w:pPr>
        <w:tabs>
          <w:tab w:val="left" w:pos="709"/>
        </w:tabs>
        <w:ind w:left="567" w:hanging="567"/>
        <w:rPr>
          <w:bCs/>
        </w:rPr>
      </w:pPr>
    </w:p>
    <w:p w14:paraId="688712D1" w14:textId="77777777" w:rsidR="006125CD" w:rsidRPr="00EB7644" w:rsidRDefault="006125CD" w:rsidP="006125CD">
      <w:pPr>
        <w:tabs>
          <w:tab w:val="left" w:pos="709"/>
        </w:tabs>
        <w:suppressAutoHyphens/>
        <w:ind w:left="567" w:hanging="567"/>
        <w:jc w:val="both"/>
        <w:rPr>
          <w:bCs/>
          <w:u w:val="single"/>
        </w:rPr>
      </w:pPr>
      <w:r>
        <w:tab/>
      </w:r>
      <w:r>
        <w:rPr>
          <w:u w:val="single"/>
        </w:rPr>
        <w:t>Zvláštní opatření pro použití u zvířat:</w:t>
      </w:r>
    </w:p>
    <w:p w14:paraId="447B4902" w14:textId="77777777" w:rsidR="006125CD" w:rsidRPr="00EB7644" w:rsidRDefault="006125CD" w:rsidP="006125CD">
      <w:pPr>
        <w:tabs>
          <w:tab w:val="left" w:pos="709"/>
        </w:tabs>
        <w:ind w:left="567" w:hanging="567"/>
        <w:jc w:val="both"/>
        <w:rPr>
          <w:bCs/>
        </w:rPr>
      </w:pPr>
      <w:r>
        <w:tab/>
        <w:t>Neuplatňuje se.</w:t>
      </w:r>
    </w:p>
    <w:p w14:paraId="48ACAD37" w14:textId="77777777" w:rsidR="00A1726E" w:rsidRPr="00EB7644" w:rsidRDefault="00A1726E" w:rsidP="006125CD">
      <w:pPr>
        <w:tabs>
          <w:tab w:val="left" w:pos="709"/>
        </w:tabs>
        <w:ind w:left="567" w:hanging="567"/>
        <w:jc w:val="both"/>
        <w:rPr>
          <w:bCs/>
        </w:rPr>
      </w:pPr>
    </w:p>
    <w:p w14:paraId="237DE881" w14:textId="77777777" w:rsidR="00673E06" w:rsidRDefault="006125CD" w:rsidP="00F9213B">
      <w:pPr>
        <w:tabs>
          <w:tab w:val="left" w:pos="709"/>
        </w:tabs>
        <w:ind w:left="567" w:hanging="567"/>
        <w:jc w:val="both"/>
        <w:rPr>
          <w:u w:val="single"/>
        </w:rPr>
      </w:pPr>
      <w:r>
        <w:tab/>
      </w:r>
      <w:r w:rsidR="00F9213B" w:rsidRPr="00C8483F">
        <w:rPr>
          <w:u w:val="single"/>
        </w:rPr>
        <w:t>Zvláštní opatření určené osobám, které podávají veterinární léčivý přípravek zvířatům</w:t>
      </w:r>
      <w:r w:rsidR="00673E06">
        <w:rPr>
          <w:u w:val="single"/>
        </w:rPr>
        <w:t>:</w:t>
      </w:r>
    </w:p>
    <w:p w14:paraId="304D6851" w14:textId="77777777" w:rsidR="00673E06" w:rsidRPr="00B153C0" w:rsidRDefault="00673E06" w:rsidP="00673E06">
      <w:pPr>
        <w:spacing w:line="266" w:lineRule="exact"/>
        <w:ind w:left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Účinky náhodné expozice u těhotných žen nebo u žen s normálním reprodukčním cyklem nejsou známy; proto se doporučuje, aby těhotné ženy přípravek nepodávaly a ženy v plodném věku by měly podávat přípravek obezřetně. Bylo prokázáno, že lecirelin je fetotoxický </w:t>
      </w:r>
      <w:r>
        <w:rPr>
          <w:color w:val="000000"/>
        </w:rPr>
        <w:br/>
        <w:t>u potkanů.</w:t>
      </w:r>
    </w:p>
    <w:p w14:paraId="24A7C1E5" w14:textId="77777777" w:rsidR="00673E06" w:rsidRPr="00B153C0" w:rsidRDefault="00673E06" w:rsidP="00673E06">
      <w:pPr>
        <w:spacing w:line="266" w:lineRule="exact"/>
        <w:ind w:left="567"/>
        <w:jc w:val="both"/>
        <w:textAlignment w:val="baseline"/>
        <w:rPr>
          <w:color w:val="000000"/>
        </w:rPr>
      </w:pPr>
      <w:r>
        <w:rPr>
          <w:color w:val="000000"/>
        </w:rPr>
        <w:t>V případě náhodného samopodání injekce vyhledejte ihned lékařskou pomoc a ukažte příbalovou informaci nebo etiketu praktickému lékaři.</w:t>
      </w:r>
    </w:p>
    <w:p w14:paraId="52C63932" w14:textId="77777777" w:rsidR="00673E06" w:rsidRPr="00B153C0" w:rsidRDefault="00673E06" w:rsidP="00673E06">
      <w:pPr>
        <w:spacing w:line="266" w:lineRule="exact"/>
        <w:ind w:left="567"/>
        <w:jc w:val="both"/>
        <w:textAlignment w:val="baseline"/>
        <w:rPr>
          <w:color w:val="000000"/>
        </w:rPr>
      </w:pPr>
      <w:r>
        <w:rPr>
          <w:color w:val="000000"/>
        </w:rPr>
        <w:t>Zabraňte kontaktu přípravku s kůží, protože GnRH analogy mohou být absorbovány i přes neporušenou kůži. V případě náhodného kontaktu s kůží ihned omyjte zasažené místo mýdlem a vodou.</w:t>
      </w:r>
    </w:p>
    <w:p w14:paraId="198D0630" w14:textId="77777777" w:rsidR="00673E06" w:rsidRDefault="00673E06" w:rsidP="00673E06">
      <w:pPr>
        <w:ind w:left="567"/>
        <w:jc w:val="both"/>
        <w:rPr>
          <w:color w:val="000000"/>
        </w:rPr>
      </w:pPr>
      <w:r>
        <w:rPr>
          <w:color w:val="000000"/>
        </w:rPr>
        <w:t>Lidé se známou přecitlivělostí na GnRH analogy by se měli vyhnout kontaktu s veterinárním léčivým přípravkem.</w:t>
      </w:r>
    </w:p>
    <w:p w14:paraId="52331CCE" w14:textId="77777777" w:rsidR="008534AC" w:rsidRPr="00EB7644" w:rsidRDefault="008534AC" w:rsidP="006125CD">
      <w:pPr>
        <w:tabs>
          <w:tab w:val="left" w:pos="709"/>
        </w:tabs>
        <w:ind w:left="567" w:hanging="567"/>
        <w:rPr>
          <w:b/>
          <w:bCs/>
        </w:rPr>
      </w:pPr>
    </w:p>
    <w:p w14:paraId="0DE4DB9D" w14:textId="3E23BEC2" w:rsidR="006125CD" w:rsidRPr="00673E06" w:rsidRDefault="003022CC" w:rsidP="006125CD">
      <w:pPr>
        <w:tabs>
          <w:tab w:val="left" w:pos="709"/>
        </w:tabs>
        <w:ind w:left="567"/>
        <w:rPr>
          <w:u w:val="single"/>
        </w:rPr>
      </w:pPr>
      <w:r>
        <w:rPr>
          <w:u w:val="single"/>
        </w:rPr>
        <w:t>B</w:t>
      </w:r>
      <w:r w:rsidR="004A3395" w:rsidRPr="00C8483F">
        <w:rPr>
          <w:u w:val="single"/>
        </w:rPr>
        <w:t>řezost a laktace</w:t>
      </w:r>
      <w:r w:rsidR="006125CD" w:rsidRPr="00673E06">
        <w:rPr>
          <w:u w:val="single"/>
        </w:rPr>
        <w:t xml:space="preserve">: </w:t>
      </w:r>
    </w:p>
    <w:p w14:paraId="1A2AC4F0" w14:textId="77777777" w:rsidR="006125CD" w:rsidRPr="00EB7644" w:rsidRDefault="006125CD" w:rsidP="006125CD">
      <w:pPr>
        <w:spacing w:line="264" w:lineRule="exact"/>
        <w:ind w:left="567" w:right="992"/>
        <w:textAlignment w:val="baseline"/>
        <w:rPr>
          <w:color w:val="000000"/>
        </w:rPr>
      </w:pPr>
      <w:r>
        <w:rPr>
          <w:color w:val="000000"/>
        </w:rPr>
        <w:t xml:space="preserve">Použití během březosti se nedoporučuje. </w:t>
      </w:r>
    </w:p>
    <w:p w14:paraId="75D1F271" w14:textId="77777777" w:rsidR="006125CD" w:rsidRPr="00EB7644" w:rsidRDefault="006125CD" w:rsidP="006125CD">
      <w:pPr>
        <w:spacing w:line="264" w:lineRule="exact"/>
        <w:ind w:left="567" w:right="992"/>
        <w:textAlignment w:val="baseline"/>
        <w:rPr>
          <w:color w:val="000000"/>
        </w:rPr>
      </w:pPr>
      <w:r>
        <w:rPr>
          <w:color w:val="000000"/>
        </w:rPr>
        <w:t>Lze použít během laktace.</w:t>
      </w:r>
    </w:p>
    <w:p w14:paraId="124ECF4A" w14:textId="77777777" w:rsidR="006125CD" w:rsidRPr="00EB7644" w:rsidRDefault="006125CD" w:rsidP="006125CD">
      <w:pPr>
        <w:tabs>
          <w:tab w:val="left" w:pos="709"/>
        </w:tabs>
        <w:ind w:left="567"/>
        <w:jc w:val="both"/>
        <w:rPr>
          <w:b/>
          <w:bCs/>
        </w:rPr>
      </w:pPr>
    </w:p>
    <w:p w14:paraId="747315A2" w14:textId="77777777" w:rsidR="006125CD" w:rsidRPr="00EB7644" w:rsidRDefault="006125CD" w:rsidP="006125CD">
      <w:pPr>
        <w:tabs>
          <w:tab w:val="left" w:pos="709"/>
        </w:tabs>
        <w:ind w:left="567"/>
        <w:jc w:val="both"/>
        <w:rPr>
          <w:bCs/>
          <w:u w:val="single"/>
        </w:rPr>
      </w:pPr>
      <w:r>
        <w:rPr>
          <w:u w:val="single"/>
        </w:rPr>
        <w:t>Interakce s dalšími léčivými přípravky a další formy interakce:</w:t>
      </w:r>
    </w:p>
    <w:p w14:paraId="0DEC6AD6" w14:textId="77777777" w:rsidR="006125CD" w:rsidRPr="00EB7644" w:rsidRDefault="006125CD" w:rsidP="006125CD">
      <w:pPr>
        <w:tabs>
          <w:tab w:val="left" w:pos="709"/>
        </w:tabs>
        <w:ind w:left="567"/>
        <w:rPr>
          <w:bCs/>
        </w:rPr>
      </w:pPr>
      <w:r>
        <w:t>Nejsou známy.</w:t>
      </w:r>
    </w:p>
    <w:p w14:paraId="41CB4FE9" w14:textId="77777777" w:rsidR="006125CD" w:rsidRPr="00EB7644" w:rsidRDefault="006125CD" w:rsidP="006125CD">
      <w:pPr>
        <w:tabs>
          <w:tab w:val="left" w:pos="709"/>
        </w:tabs>
        <w:ind w:left="567"/>
        <w:rPr>
          <w:b/>
          <w:bCs/>
        </w:rPr>
      </w:pPr>
    </w:p>
    <w:p w14:paraId="2FC57204" w14:textId="7C59F96E" w:rsidR="006125CD" w:rsidRPr="00EB7644" w:rsidRDefault="006125CD" w:rsidP="006125CD">
      <w:pPr>
        <w:tabs>
          <w:tab w:val="left" w:pos="709"/>
        </w:tabs>
        <w:ind w:left="567"/>
        <w:rPr>
          <w:bCs/>
          <w:u w:val="single"/>
        </w:rPr>
      </w:pPr>
      <w:r>
        <w:rPr>
          <w:u w:val="single"/>
        </w:rPr>
        <w:t>Předávkování (symptomy, první pomoc, antidota):</w:t>
      </w:r>
    </w:p>
    <w:p w14:paraId="4085B737" w14:textId="2BE9E729" w:rsidR="004A3395" w:rsidRDefault="004A3395" w:rsidP="004A3395">
      <w:pPr>
        <w:spacing w:line="244" w:lineRule="exact"/>
        <w:ind w:left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U skotu při podání až </w:t>
      </w:r>
      <w:r w:rsidR="00F92DCB">
        <w:rPr>
          <w:color w:val="000000"/>
        </w:rPr>
        <w:t>3násobku</w:t>
      </w:r>
      <w:r>
        <w:rPr>
          <w:color w:val="000000"/>
        </w:rPr>
        <w:t xml:space="preserve"> doporučené dávky a u králíků při podání až </w:t>
      </w:r>
      <w:r w:rsidR="00F92DCB">
        <w:rPr>
          <w:color w:val="000000"/>
        </w:rPr>
        <w:t>2násobku</w:t>
      </w:r>
      <w:r>
        <w:rPr>
          <w:color w:val="000000"/>
        </w:rPr>
        <w:t xml:space="preserve"> doporučené dávky nebyly zaznamenány žádné nežádoucí účinky.</w:t>
      </w:r>
    </w:p>
    <w:p w14:paraId="64D29238" w14:textId="77777777" w:rsidR="00673E06" w:rsidRPr="00EB7644" w:rsidRDefault="00673E06" w:rsidP="004A3395">
      <w:pPr>
        <w:spacing w:line="244" w:lineRule="exact"/>
        <w:ind w:left="567"/>
        <w:jc w:val="both"/>
        <w:textAlignment w:val="baseline"/>
        <w:rPr>
          <w:color w:val="000000"/>
        </w:rPr>
      </w:pPr>
    </w:p>
    <w:p w14:paraId="28098EA2" w14:textId="44D80FC6" w:rsidR="006125CD" w:rsidRPr="00EB7644" w:rsidRDefault="006125CD" w:rsidP="00414201">
      <w:pPr>
        <w:tabs>
          <w:tab w:val="left" w:pos="709"/>
        </w:tabs>
        <w:ind w:left="567"/>
        <w:jc w:val="both"/>
        <w:rPr>
          <w:iCs/>
        </w:rPr>
      </w:pPr>
      <w:r>
        <w:rPr>
          <w:u w:val="single"/>
        </w:rPr>
        <w:t>Inkompatibility:</w:t>
      </w:r>
    </w:p>
    <w:p w14:paraId="11B1A828" w14:textId="77777777" w:rsidR="006125CD" w:rsidRPr="00EB7644" w:rsidRDefault="00EF6D99" w:rsidP="006125CD">
      <w:pPr>
        <w:ind w:left="567"/>
        <w:jc w:val="both"/>
        <w:rPr>
          <w:iCs/>
        </w:rPr>
      </w:pPr>
      <w:r>
        <w:t>Studie kompatibility nejsou k dispozici, a proto tento veterinární léčivý přípravek nesmí být mísen s žádnými dalšími veterinárními léčivými přípravky</w:t>
      </w:r>
      <w:r w:rsidR="006125CD">
        <w:t>.</w:t>
      </w:r>
    </w:p>
    <w:p w14:paraId="678CCF0F" w14:textId="77777777" w:rsidR="006125CD" w:rsidRPr="00EB7644" w:rsidRDefault="006125CD" w:rsidP="006125CD">
      <w:pPr>
        <w:ind w:left="567" w:hanging="567"/>
      </w:pPr>
    </w:p>
    <w:p w14:paraId="656E4DB8" w14:textId="77777777" w:rsidR="006125CD" w:rsidRPr="00EB7644" w:rsidRDefault="006125CD" w:rsidP="00414201">
      <w:pPr>
        <w:keepNext/>
        <w:tabs>
          <w:tab w:val="left" w:pos="709"/>
        </w:tabs>
        <w:ind w:left="567" w:hanging="567"/>
        <w:jc w:val="both"/>
        <w:rPr>
          <w:b/>
          <w:bCs/>
        </w:rPr>
      </w:pPr>
      <w:r w:rsidRPr="00414201">
        <w:rPr>
          <w:b/>
          <w:highlight w:val="lightGray"/>
        </w:rPr>
        <w:t>13.</w:t>
      </w:r>
      <w:r>
        <w:tab/>
      </w:r>
      <w:r>
        <w:rPr>
          <w:b/>
        </w:rPr>
        <w:t xml:space="preserve">ZVLÁŠTNÍ OPATŘENÍ PRO ZNEŠKODŇOVÁNÍ NEPOUŽITÝCH PŘÍPRAVKŮ NEBO ODPADU, POKUD JE JICH TŘEBA </w:t>
      </w:r>
    </w:p>
    <w:p w14:paraId="53A8769E" w14:textId="77777777" w:rsidR="006125CD" w:rsidRPr="00EB7644" w:rsidRDefault="006125CD" w:rsidP="00414201">
      <w:pPr>
        <w:keepNext/>
        <w:tabs>
          <w:tab w:val="left" w:pos="709"/>
        </w:tabs>
        <w:ind w:left="567" w:hanging="567"/>
        <w:rPr>
          <w:bCs/>
        </w:rPr>
      </w:pPr>
    </w:p>
    <w:p w14:paraId="00DB5F06" w14:textId="13CF7BA8" w:rsidR="00EE7714" w:rsidRDefault="00EE7714" w:rsidP="00414201">
      <w:pPr>
        <w:tabs>
          <w:tab w:val="left" w:pos="709"/>
        </w:tabs>
        <w:ind w:left="567"/>
        <w:jc w:val="both"/>
      </w:pPr>
      <w:r>
        <w:t xml:space="preserve">Přípravek </w:t>
      </w:r>
      <w:r w:rsidR="007050D8">
        <w:t xml:space="preserve">nesmí </w:t>
      </w:r>
      <w:r>
        <w:t xml:space="preserve">kontaminovat vodní </w:t>
      </w:r>
      <w:r w:rsidR="00A67F6F">
        <w:t>toky</w:t>
      </w:r>
      <w:r>
        <w:t xml:space="preserve">, protože </w:t>
      </w:r>
      <w:r w:rsidR="00A67F6F">
        <w:t xml:space="preserve">může </w:t>
      </w:r>
      <w:r>
        <w:t>ovlivnit reprodukční cyklus ryb a</w:t>
      </w:r>
      <w:r w:rsidR="007050D8">
        <w:t> </w:t>
      </w:r>
      <w:r w:rsidR="00A67F6F">
        <w:t>dalších</w:t>
      </w:r>
      <w:r>
        <w:t xml:space="preserve"> vodních </w:t>
      </w:r>
      <w:r w:rsidR="007050D8">
        <w:t>organismů</w:t>
      </w:r>
      <w:r>
        <w:t xml:space="preserve">. </w:t>
      </w:r>
    </w:p>
    <w:p w14:paraId="7AD91190" w14:textId="77777777" w:rsidR="00EA30B3" w:rsidRDefault="00EA30B3" w:rsidP="00414201">
      <w:pPr>
        <w:tabs>
          <w:tab w:val="left" w:pos="709"/>
        </w:tabs>
        <w:ind w:left="567"/>
        <w:jc w:val="both"/>
      </w:pPr>
      <w:r>
        <w:t>Léčivé přípravky se nesmí likvidovat prostřednictvím odpadní vody či domovního odpadu.</w:t>
      </w:r>
    </w:p>
    <w:p w14:paraId="7483BDD7" w14:textId="77777777" w:rsidR="006125CD" w:rsidRPr="00EB7644" w:rsidRDefault="00EA30B3" w:rsidP="00B7142C">
      <w:pPr>
        <w:ind w:left="567"/>
        <w:jc w:val="both"/>
      </w:pPr>
      <w:r>
        <w:t>O možnostech likvidace nepotřebných léčivých přípravků se poraďte s vaším veterinárním lékařem. Tato opatření napomáhají chránit životní prostředí</w:t>
      </w:r>
      <w:r w:rsidR="006125CD">
        <w:t>.</w:t>
      </w:r>
    </w:p>
    <w:p w14:paraId="72E25907" w14:textId="77777777" w:rsidR="006125CD" w:rsidRPr="00EB7644" w:rsidRDefault="006125CD" w:rsidP="006125CD">
      <w:pPr>
        <w:ind w:left="567" w:hanging="567"/>
      </w:pPr>
    </w:p>
    <w:p w14:paraId="707E5C59" w14:textId="77777777" w:rsidR="006125CD" w:rsidRDefault="006125CD" w:rsidP="006125CD">
      <w:pPr>
        <w:tabs>
          <w:tab w:val="left" w:pos="709"/>
        </w:tabs>
        <w:ind w:left="567" w:hanging="567"/>
        <w:rPr>
          <w:b/>
        </w:rPr>
      </w:pPr>
      <w:r w:rsidRPr="00414201">
        <w:rPr>
          <w:b/>
          <w:highlight w:val="lightGray"/>
        </w:rPr>
        <w:t>14.</w:t>
      </w:r>
      <w:r>
        <w:tab/>
      </w:r>
      <w:r>
        <w:rPr>
          <w:b/>
        </w:rPr>
        <w:t>DATUM POSLEDNÍ REVIZE PŘÍBALOVÉ INFORMACE</w:t>
      </w:r>
    </w:p>
    <w:p w14:paraId="3AA9B772" w14:textId="77777777" w:rsidR="006544CA" w:rsidRDefault="006544CA" w:rsidP="006125CD">
      <w:pPr>
        <w:ind w:left="567"/>
      </w:pPr>
    </w:p>
    <w:p w14:paraId="1BEF66A9" w14:textId="19C78851" w:rsidR="006125CD" w:rsidRDefault="00612E83" w:rsidP="00C8483F">
      <w:pPr>
        <w:ind w:left="567"/>
      </w:pPr>
      <w:r>
        <w:t>Únor 2022</w:t>
      </w:r>
    </w:p>
    <w:p w14:paraId="648C1C28" w14:textId="77777777" w:rsidR="006125CD" w:rsidRPr="00EB7644" w:rsidRDefault="006125CD" w:rsidP="006125CD">
      <w:pPr>
        <w:pStyle w:val="Nadpis3"/>
        <w:spacing w:before="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14201">
        <w:rPr>
          <w:rFonts w:ascii="Times New Roman" w:hAnsi="Times New Roman"/>
          <w:sz w:val="24"/>
          <w:highlight w:val="lightGray"/>
        </w:rPr>
        <w:lastRenderedPageBreak/>
        <w:t>15.</w:t>
      </w:r>
      <w:r>
        <w:tab/>
      </w:r>
      <w:r>
        <w:rPr>
          <w:rFonts w:ascii="Times New Roman" w:hAnsi="Times New Roman"/>
          <w:sz w:val="24"/>
        </w:rPr>
        <w:t xml:space="preserve">DALŠÍ INFORMACE 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6E210D22" w14:textId="77777777" w:rsidR="006125CD" w:rsidRPr="00EB7644" w:rsidRDefault="006125CD" w:rsidP="006125CD">
      <w:pPr>
        <w:ind w:left="567" w:hanging="567"/>
        <w:rPr>
          <w:bCs/>
        </w:rPr>
      </w:pPr>
    </w:p>
    <w:p w14:paraId="1B3F5E77" w14:textId="77777777" w:rsidR="002D23CB" w:rsidRDefault="002D23CB" w:rsidP="00DC356B">
      <w:pPr>
        <w:ind w:firstLine="567"/>
      </w:pPr>
      <w:r>
        <w:t>Pouze pro zvířata.</w:t>
      </w:r>
    </w:p>
    <w:p w14:paraId="6917C7A8" w14:textId="77777777" w:rsidR="002D23CB" w:rsidRDefault="002D23CB" w:rsidP="00DC356B">
      <w:pPr>
        <w:ind w:firstLine="567"/>
      </w:pPr>
      <w:r>
        <w:t>Veterinární léčivý přípravek je vydáván pouze na předpis.</w:t>
      </w:r>
    </w:p>
    <w:p w14:paraId="50535C5C" w14:textId="77777777" w:rsidR="002D23CB" w:rsidRDefault="00DC356B" w:rsidP="002D23CB">
      <w:r>
        <w:tab/>
      </w:r>
    </w:p>
    <w:p w14:paraId="290B1794" w14:textId="77777777" w:rsidR="006125CD" w:rsidRPr="00EB7644" w:rsidRDefault="006125CD" w:rsidP="00DC356B">
      <w:pPr>
        <w:ind w:left="567"/>
        <w:rPr>
          <w:b/>
          <w:bCs/>
        </w:rPr>
      </w:pPr>
      <w:r>
        <w:rPr>
          <w:b/>
        </w:rPr>
        <w:t>Velikosti balení:</w:t>
      </w:r>
    </w:p>
    <w:p w14:paraId="299460A9" w14:textId="77777777" w:rsidR="006125CD" w:rsidRPr="00EB7644" w:rsidRDefault="006125CD" w:rsidP="006125CD">
      <w:pPr>
        <w:ind w:left="567" w:hanging="567"/>
        <w:rPr>
          <w:b/>
          <w:bCs/>
        </w:rPr>
      </w:pPr>
    </w:p>
    <w:p w14:paraId="3C4CE958" w14:textId="77777777" w:rsidR="00EF6D99" w:rsidRDefault="00EF6D99" w:rsidP="00DC356B">
      <w:pPr>
        <w:ind w:left="567"/>
      </w:pPr>
      <w:r>
        <w:t>Krabička s 15 injekčními lahvičkami o velikosti 2 ml</w:t>
      </w:r>
    </w:p>
    <w:p w14:paraId="6DA0A66A" w14:textId="77777777" w:rsidR="00EF6D99" w:rsidRDefault="00EF6D99" w:rsidP="00DC356B">
      <w:pPr>
        <w:ind w:firstLine="567"/>
      </w:pPr>
      <w:r>
        <w:t>Krabička s 1 injekční lahvičkou o velikosti 10 ml</w:t>
      </w:r>
    </w:p>
    <w:p w14:paraId="471D1B5B" w14:textId="77777777" w:rsidR="00EF6D99" w:rsidRDefault="00EF6D99" w:rsidP="00DC356B">
      <w:pPr>
        <w:ind w:left="567"/>
      </w:pPr>
      <w:r>
        <w:t>Krabička s 1 injekční lahvičkou o velikosti 20 ml</w:t>
      </w:r>
    </w:p>
    <w:p w14:paraId="42AF4CCC" w14:textId="77777777" w:rsidR="006125CD" w:rsidRPr="00EB7644" w:rsidRDefault="006125CD" w:rsidP="006125CD">
      <w:pPr>
        <w:ind w:left="567" w:hanging="567"/>
        <w:rPr>
          <w:bCs/>
          <w:color w:val="FF0000"/>
        </w:rPr>
      </w:pPr>
    </w:p>
    <w:p w14:paraId="5A2206AC" w14:textId="77777777" w:rsidR="006125CD" w:rsidRPr="00EB7644" w:rsidRDefault="00EF6D99" w:rsidP="00DC356B">
      <w:pPr>
        <w:pStyle w:val="Zkladntextodsazen3"/>
        <w:ind w:left="567"/>
        <w:rPr>
          <w:b/>
          <w:bCs/>
          <w:sz w:val="24"/>
          <w:szCs w:val="24"/>
        </w:rPr>
      </w:pPr>
      <w:r>
        <w:rPr>
          <w:sz w:val="24"/>
        </w:rPr>
        <w:t>Na trhu nemusí být všechny velikosti balení</w:t>
      </w:r>
      <w:r w:rsidR="006125CD">
        <w:rPr>
          <w:sz w:val="24"/>
        </w:rPr>
        <w:t>.</w:t>
      </w:r>
    </w:p>
    <w:p w14:paraId="6666E925" w14:textId="77777777" w:rsidR="00D06259" w:rsidRDefault="00D06259" w:rsidP="0072704A">
      <w:pPr>
        <w:pStyle w:val="Zkladntextodsazen3"/>
        <w:ind w:left="567" w:hanging="567"/>
        <w:rPr>
          <w:b/>
          <w:bCs/>
          <w:sz w:val="24"/>
          <w:szCs w:val="24"/>
        </w:rPr>
      </w:pPr>
    </w:p>
    <w:p w14:paraId="150B2987" w14:textId="77777777" w:rsidR="00CC47D4" w:rsidRPr="00EB7644" w:rsidRDefault="00CC47D4" w:rsidP="00901AC0">
      <w:pPr>
        <w:tabs>
          <w:tab w:val="left" w:pos="567"/>
        </w:tabs>
        <w:spacing w:line="260" w:lineRule="exact"/>
        <w:rPr>
          <w:b/>
          <w:bCs/>
        </w:rPr>
      </w:pPr>
    </w:p>
    <w:sectPr w:rsidR="00CC47D4" w:rsidRPr="00EB7644" w:rsidSect="00B8361C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E02BC" w14:textId="77777777" w:rsidR="00417EEC" w:rsidRDefault="00417EEC">
      <w:r>
        <w:separator/>
      </w:r>
    </w:p>
  </w:endnote>
  <w:endnote w:type="continuationSeparator" w:id="0">
    <w:p w14:paraId="6911B888" w14:textId="77777777" w:rsidR="00417EEC" w:rsidRDefault="0041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7036" w14:textId="77777777" w:rsidR="00CC47D4" w:rsidRPr="004B0850" w:rsidRDefault="00EF3A8D">
    <w:pPr>
      <w:pStyle w:val="Zpat"/>
      <w:framePr w:wrap="auto" w:vAnchor="text" w:hAnchor="margin" w:xAlign="center" w:y="1"/>
      <w:rPr>
        <w:rStyle w:val="slostrnky"/>
        <w:sz w:val="20"/>
        <w:szCs w:val="20"/>
      </w:rPr>
    </w:pPr>
    <w:r w:rsidRPr="004B0850">
      <w:rPr>
        <w:rStyle w:val="slostrnky"/>
        <w:sz w:val="20"/>
        <w:szCs w:val="20"/>
      </w:rPr>
      <w:fldChar w:fldCharType="begin"/>
    </w:r>
    <w:r w:rsidR="00CC47D4" w:rsidRPr="004B0850">
      <w:rPr>
        <w:rStyle w:val="slostrnky"/>
        <w:sz w:val="20"/>
        <w:szCs w:val="20"/>
      </w:rPr>
      <w:instrText xml:space="preserve">PAGE  </w:instrText>
    </w:r>
    <w:r w:rsidRPr="004B0850">
      <w:rPr>
        <w:rStyle w:val="slostrnky"/>
        <w:sz w:val="20"/>
        <w:szCs w:val="20"/>
      </w:rPr>
      <w:fldChar w:fldCharType="separate"/>
    </w:r>
    <w:r w:rsidR="00A67F6F">
      <w:rPr>
        <w:rStyle w:val="slostrnky"/>
        <w:noProof/>
        <w:sz w:val="20"/>
        <w:szCs w:val="20"/>
      </w:rPr>
      <w:t>4</w:t>
    </w:r>
    <w:r w:rsidRPr="004B0850">
      <w:rPr>
        <w:rStyle w:val="slostrnky"/>
        <w:sz w:val="20"/>
        <w:szCs w:val="20"/>
      </w:rPr>
      <w:fldChar w:fldCharType="end"/>
    </w:r>
  </w:p>
  <w:p w14:paraId="61CF782B" w14:textId="2F2D7687" w:rsidR="00CC47D4" w:rsidRPr="004B0850" w:rsidRDefault="00CC47D4" w:rsidP="008E7DB0">
    <w:pPr>
      <w:pStyle w:val="Zpat"/>
      <w:rPr>
        <w:rStyle w:val="slostrnky"/>
        <w:sz w:val="20"/>
        <w:szCs w:val="20"/>
      </w:rPr>
    </w:pPr>
    <w:r>
      <w:rPr>
        <w:sz w:val="20"/>
      </w:rPr>
      <w:t xml:space="preserve">                                                                                                  /</w:t>
    </w:r>
    <w:r w:rsidR="00EF3A8D" w:rsidRPr="004B0850">
      <w:rPr>
        <w:rStyle w:val="slostrnky"/>
        <w:sz w:val="20"/>
        <w:szCs w:val="20"/>
      </w:rPr>
      <w:fldChar w:fldCharType="begin"/>
    </w:r>
    <w:r w:rsidRPr="004B0850">
      <w:rPr>
        <w:rStyle w:val="slostrnky"/>
        <w:sz w:val="20"/>
        <w:szCs w:val="20"/>
      </w:rPr>
      <w:instrText xml:space="preserve"> SECTIONPAGES  </w:instrText>
    </w:r>
    <w:r w:rsidR="00EF3A8D" w:rsidRPr="004B0850">
      <w:rPr>
        <w:rStyle w:val="slostrnky"/>
        <w:sz w:val="20"/>
        <w:szCs w:val="20"/>
      </w:rPr>
      <w:fldChar w:fldCharType="separate"/>
    </w:r>
    <w:r w:rsidR="00C87F4B">
      <w:rPr>
        <w:rStyle w:val="slostrnky"/>
        <w:noProof/>
        <w:sz w:val="20"/>
        <w:szCs w:val="20"/>
      </w:rPr>
      <w:t>4</w:t>
    </w:r>
    <w:r w:rsidR="00EF3A8D" w:rsidRPr="004B0850">
      <w:rPr>
        <w:rStyle w:val="slostrnky"/>
        <w:sz w:val="20"/>
        <w:szCs w:val="20"/>
      </w:rPr>
      <w:fldChar w:fldCharType="end"/>
    </w:r>
  </w:p>
  <w:p w14:paraId="6F41FE6F" w14:textId="77777777" w:rsidR="00CC47D4" w:rsidRDefault="00CC47D4">
    <w:pPr>
      <w:pStyle w:val="Zpat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12822" w14:textId="77777777" w:rsidR="00417EEC" w:rsidRDefault="00417EEC">
      <w:r>
        <w:separator/>
      </w:r>
    </w:p>
  </w:footnote>
  <w:footnote w:type="continuationSeparator" w:id="0">
    <w:p w14:paraId="5C5E5B79" w14:textId="77777777" w:rsidR="00417EEC" w:rsidRDefault="0041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F7D1" w14:textId="77777777" w:rsidR="00E440EE" w:rsidRDefault="00E440EE">
    <w:pPr>
      <w:pStyle w:val="Zhlav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50A"/>
    <w:multiLevelType w:val="hybridMultilevel"/>
    <w:tmpl w:val="BE78974E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84C7659"/>
    <w:multiLevelType w:val="hybridMultilevel"/>
    <w:tmpl w:val="1DFE14B2"/>
    <w:lvl w:ilvl="0" w:tplc="45788E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813739"/>
    <w:multiLevelType w:val="hybridMultilevel"/>
    <w:tmpl w:val="8AAA3A46"/>
    <w:lvl w:ilvl="0" w:tplc="0EAC20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B209E1"/>
    <w:multiLevelType w:val="hybridMultilevel"/>
    <w:tmpl w:val="73108BEE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E6C7961"/>
    <w:multiLevelType w:val="hybridMultilevel"/>
    <w:tmpl w:val="9E6E7950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27424D6"/>
    <w:multiLevelType w:val="hybridMultilevel"/>
    <w:tmpl w:val="BFCC8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A4167A6"/>
    <w:multiLevelType w:val="hybridMultilevel"/>
    <w:tmpl w:val="40D0BDB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3B631FA"/>
    <w:multiLevelType w:val="hybridMultilevel"/>
    <w:tmpl w:val="C9AC5D46"/>
    <w:lvl w:ilvl="0" w:tplc="041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011C6"/>
    <w:multiLevelType w:val="multilevel"/>
    <w:tmpl w:val="0040D524"/>
    <w:lvl w:ilvl="0">
      <w:start w:val="1"/>
      <w:numFmt w:val="bullet"/>
      <w:lvlText w:val="·"/>
      <w:lvlJc w:val="left"/>
      <w:pPr>
        <w:tabs>
          <w:tab w:val="left" w:pos="2160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52065D"/>
    <w:multiLevelType w:val="hybridMultilevel"/>
    <w:tmpl w:val="7748AB2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65D5350"/>
    <w:multiLevelType w:val="hybridMultilevel"/>
    <w:tmpl w:val="7748AB24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8EB5308"/>
    <w:multiLevelType w:val="hybridMultilevel"/>
    <w:tmpl w:val="551A5CC4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01868C5"/>
    <w:multiLevelType w:val="hybridMultilevel"/>
    <w:tmpl w:val="319812A0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3FE0279"/>
    <w:multiLevelType w:val="hybridMultilevel"/>
    <w:tmpl w:val="1F3C8E76"/>
    <w:lvl w:ilvl="0" w:tplc="0EAC20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75B7385"/>
    <w:multiLevelType w:val="hybridMultilevel"/>
    <w:tmpl w:val="FB8E1F06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8FD3C7A"/>
    <w:multiLevelType w:val="hybridMultilevel"/>
    <w:tmpl w:val="C80888B6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49D1459"/>
    <w:multiLevelType w:val="hybridMultilevel"/>
    <w:tmpl w:val="9D08D75E"/>
    <w:lvl w:ilvl="0" w:tplc="69CAD98C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 w:tplc="69CAD98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E9C1861"/>
    <w:multiLevelType w:val="multilevel"/>
    <w:tmpl w:val="9E6E7950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3C4001A"/>
    <w:multiLevelType w:val="multilevel"/>
    <w:tmpl w:val="336AFAE8"/>
    <w:lvl w:ilvl="0">
      <w:start w:val="1"/>
      <w:numFmt w:val="bullet"/>
      <w:lvlText w:val="·"/>
      <w:lvlJc w:val="left"/>
      <w:pPr>
        <w:tabs>
          <w:tab w:val="left" w:pos="79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4019AB"/>
    <w:multiLevelType w:val="hybridMultilevel"/>
    <w:tmpl w:val="E1262FC8"/>
    <w:lvl w:ilvl="0" w:tplc="73E0BA0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87D382B"/>
    <w:multiLevelType w:val="hybridMultilevel"/>
    <w:tmpl w:val="064E35E6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7B734F6F"/>
    <w:multiLevelType w:val="multilevel"/>
    <w:tmpl w:val="FB8E1F06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FCA3111"/>
    <w:multiLevelType w:val="multilevel"/>
    <w:tmpl w:val="319812A0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22"/>
  </w:num>
  <w:num w:numId="3">
    <w:abstractNumId w:val="0"/>
  </w:num>
  <w:num w:numId="4">
    <w:abstractNumId w:val="14"/>
  </w:num>
  <w:num w:numId="5">
    <w:abstractNumId w:val="21"/>
  </w:num>
  <w:num w:numId="6">
    <w:abstractNumId w:val="3"/>
  </w:num>
  <w:num w:numId="7">
    <w:abstractNumId w:val="4"/>
  </w:num>
  <w:num w:numId="8">
    <w:abstractNumId w:val="17"/>
  </w:num>
  <w:num w:numId="9">
    <w:abstractNumId w:val="16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  <w:num w:numId="16">
    <w:abstractNumId w:val="7"/>
  </w:num>
  <w:num w:numId="17">
    <w:abstractNumId w:val="9"/>
  </w:num>
  <w:num w:numId="18">
    <w:abstractNumId w:val="19"/>
  </w:num>
  <w:num w:numId="19">
    <w:abstractNumId w:val="18"/>
  </w:num>
  <w:num w:numId="20">
    <w:abstractNumId w:val="8"/>
  </w:num>
  <w:num w:numId="21">
    <w:abstractNumId w:val="2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cs-CZ" w:vendorID="64" w:dllVersion="4096" w:nlCheck="1" w:checkStyle="0"/>
  <w:proofState w:spelling="clean" w:grammar="clean"/>
  <w:defaultTabStop w:val="680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05"/>
    <w:rsid w:val="000008F7"/>
    <w:rsid w:val="00002454"/>
    <w:rsid w:val="0000322F"/>
    <w:rsid w:val="00012585"/>
    <w:rsid w:val="00014632"/>
    <w:rsid w:val="000160A2"/>
    <w:rsid w:val="000174B1"/>
    <w:rsid w:val="00024DDA"/>
    <w:rsid w:val="000261EC"/>
    <w:rsid w:val="00036517"/>
    <w:rsid w:val="000471E3"/>
    <w:rsid w:val="00056C57"/>
    <w:rsid w:val="00067333"/>
    <w:rsid w:val="000674B0"/>
    <w:rsid w:val="00067F68"/>
    <w:rsid w:val="00073435"/>
    <w:rsid w:val="00076B70"/>
    <w:rsid w:val="00083FF2"/>
    <w:rsid w:val="000842FE"/>
    <w:rsid w:val="000878D3"/>
    <w:rsid w:val="000A2764"/>
    <w:rsid w:val="000A4605"/>
    <w:rsid w:val="000A52A3"/>
    <w:rsid w:val="000B35EF"/>
    <w:rsid w:val="000B3DBC"/>
    <w:rsid w:val="000B5BEB"/>
    <w:rsid w:val="000C4711"/>
    <w:rsid w:val="000C6EFF"/>
    <w:rsid w:val="000D08B7"/>
    <w:rsid w:val="000D16EE"/>
    <w:rsid w:val="000D5C16"/>
    <w:rsid w:val="000D5F9D"/>
    <w:rsid w:val="000E43BD"/>
    <w:rsid w:val="000E5DDA"/>
    <w:rsid w:val="000F0CBD"/>
    <w:rsid w:val="000F192D"/>
    <w:rsid w:val="000F5B14"/>
    <w:rsid w:val="00115F03"/>
    <w:rsid w:val="001160BE"/>
    <w:rsid w:val="00121071"/>
    <w:rsid w:val="0012498E"/>
    <w:rsid w:val="00124E71"/>
    <w:rsid w:val="00126CA3"/>
    <w:rsid w:val="00127F49"/>
    <w:rsid w:val="001333AF"/>
    <w:rsid w:val="001342F1"/>
    <w:rsid w:val="001400AF"/>
    <w:rsid w:val="00141FC2"/>
    <w:rsid w:val="001708A1"/>
    <w:rsid w:val="00173D33"/>
    <w:rsid w:val="001773F8"/>
    <w:rsid w:val="00192F3F"/>
    <w:rsid w:val="001A29CB"/>
    <w:rsid w:val="001A3BE3"/>
    <w:rsid w:val="001A4AE5"/>
    <w:rsid w:val="001A5D03"/>
    <w:rsid w:val="001A799A"/>
    <w:rsid w:val="001B4D95"/>
    <w:rsid w:val="001B6671"/>
    <w:rsid w:val="001C006D"/>
    <w:rsid w:val="001C0A86"/>
    <w:rsid w:val="001D6130"/>
    <w:rsid w:val="001D6557"/>
    <w:rsid w:val="001D6F0F"/>
    <w:rsid w:val="001E17C0"/>
    <w:rsid w:val="001E1A62"/>
    <w:rsid w:val="001E3880"/>
    <w:rsid w:val="001F10D4"/>
    <w:rsid w:val="001F1A15"/>
    <w:rsid w:val="00202476"/>
    <w:rsid w:val="00202AA1"/>
    <w:rsid w:val="00206954"/>
    <w:rsid w:val="00212A8C"/>
    <w:rsid w:val="00223582"/>
    <w:rsid w:val="002243A1"/>
    <w:rsid w:val="0022446B"/>
    <w:rsid w:val="00232237"/>
    <w:rsid w:val="002403F9"/>
    <w:rsid w:val="00246191"/>
    <w:rsid w:val="00252493"/>
    <w:rsid w:val="00254F15"/>
    <w:rsid w:val="002561FE"/>
    <w:rsid w:val="0026169E"/>
    <w:rsid w:val="0026534B"/>
    <w:rsid w:val="00265793"/>
    <w:rsid w:val="002657B3"/>
    <w:rsid w:val="00266F4E"/>
    <w:rsid w:val="00270A0E"/>
    <w:rsid w:val="00281CF2"/>
    <w:rsid w:val="00282C87"/>
    <w:rsid w:val="00287209"/>
    <w:rsid w:val="00287312"/>
    <w:rsid w:val="00291A5B"/>
    <w:rsid w:val="0029582B"/>
    <w:rsid w:val="002970D7"/>
    <w:rsid w:val="002B774F"/>
    <w:rsid w:val="002C01B7"/>
    <w:rsid w:val="002C4F0A"/>
    <w:rsid w:val="002D13E9"/>
    <w:rsid w:val="002D1DC0"/>
    <w:rsid w:val="002D23CB"/>
    <w:rsid w:val="002D38FD"/>
    <w:rsid w:val="002D3F7A"/>
    <w:rsid w:val="002D486D"/>
    <w:rsid w:val="002E1FEC"/>
    <w:rsid w:val="002E62AF"/>
    <w:rsid w:val="002F58FC"/>
    <w:rsid w:val="002F6E2E"/>
    <w:rsid w:val="00300F65"/>
    <w:rsid w:val="003022CC"/>
    <w:rsid w:val="00304120"/>
    <w:rsid w:val="00304F7B"/>
    <w:rsid w:val="00315C9F"/>
    <w:rsid w:val="00337C87"/>
    <w:rsid w:val="00344A18"/>
    <w:rsid w:val="00344E4D"/>
    <w:rsid w:val="00347AA1"/>
    <w:rsid w:val="00356E87"/>
    <w:rsid w:val="0036349C"/>
    <w:rsid w:val="00364540"/>
    <w:rsid w:val="0036552A"/>
    <w:rsid w:val="00370A27"/>
    <w:rsid w:val="00376B26"/>
    <w:rsid w:val="003824CA"/>
    <w:rsid w:val="00383577"/>
    <w:rsid w:val="0038542B"/>
    <w:rsid w:val="0039284A"/>
    <w:rsid w:val="00392A0A"/>
    <w:rsid w:val="00393B5E"/>
    <w:rsid w:val="00395638"/>
    <w:rsid w:val="00395678"/>
    <w:rsid w:val="003B7662"/>
    <w:rsid w:val="003B7C71"/>
    <w:rsid w:val="003C1298"/>
    <w:rsid w:val="003C39AE"/>
    <w:rsid w:val="003C5BD3"/>
    <w:rsid w:val="003F424D"/>
    <w:rsid w:val="004001AB"/>
    <w:rsid w:val="00407364"/>
    <w:rsid w:val="00411EBB"/>
    <w:rsid w:val="004140BA"/>
    <w:rsid w:val="00414201"/>
    <w:rsid w:val="00415E1F"/>
    <w:rsid w:val="00417EEC"/>
    <w:rsid w:val="00424DC2"/>
    <w:rsid w:val="00434B58"/>
    <w:rsid w:val="00436D73"/>
    <w:rsid w:val="00440F1C"/>
    <w:rsid w:val="00447FCA"/>
    <w:rsid w:val="0045190B"/>
    <w:rsid w:val="00465F82"/>
    <w:rsid w:val="00482E70"/>
    <w:rsid w:val="0048780F"/>
    <w:rsid w:val="00490065"/>
    <w:rsid w:val="00494D72"/>
    <w:rsid w:val="00497BBC"/>
    <w:rsid w:val="004A3395"/>
    <w:rsid w:val="004A49B7"/>
    <w:rsid w:val="004A62E8"/>
    <w:rsid w:val="004B078C"/>
    <w:rsid w:val="004B0850"/>
    <w:rsid w:val="004B1C68"/>
    <w:rsid w:val="004B4B4E"/>
    <w:rsid w:val="004B5C93"/>
    <w:rsid w:val="004C2A61"/>
    <w:rsid w:val="004C3889"/>
    <w:rsid w:val="004E1833"/>
    <w:rsid w:val="004E5DC4"/>
    <w:rsid w:val="005015B9"/>
    <w:rsid w:val="005016F9"/>
    <w:rsid w:val="00502276"/>
    <w:rsid w:val="0050640D"/>
    <w:rsid w:val="00510403"/>
    <w:rsid w:val="00511FC7"/>
    <w:rsid w:val="00516520"/>
    <w:rsid w:val="00517915"/>
    <w:rsid w:val="005211F9"/>
    <w:rsid w:val="005261DE"/>
    <w:rsid w:val="0053017C"/>
    <w:rsid w:val="005310AC"/>
    <w:rsid w:val="00531653"/>
    <w:rsid w:val="005356AE"/>
    <w:rsid w:val="005358E7"/>
    <w:rsid w:val="00540C76"/>
    <w:rsid w:val="005442A5"/>
    <w:rsid w:val="00546FB4"/>
    <w:rsid w:val="00547C1C"/>
    <w:rsid w:val="00554295"/>
    <w:rsid w:val="005578DE"/>
    <w:rsid w:val="00563835"/>
    <w:rsid w:val="005734FE"/>
    <w:rsid w:val="00575DB4"/>
    <w:rsid w:val="005867BD"/>
    <w:rsid w:val="0058771C"/>
    <w:rsid w:val="00590199"/>
    <w:rsid w:val="00590B7D"/>
    <w:rsid w:val="005937E2"/>
    <w:rsid w:val="00595539"/>
    <w:rsid w:val="0059643F"/>
    <w:rsid w:val="00597A74"/>
    <w:rsid w:val="005B4159"/>
    <w:rsid w:val="005B726B"/>
    <w:rsid w:val="005B7D44"/>
    <w:rsid w:val="005C6EFA"/>
    <w:rsid w:val="005D5E90"/>
    <w:rsid w:val="005E3CF2"/>
    <w:rsid w:val="005E4586"/>
    <w:rsid w:val="005E6CB5"/>
    <w:rsid w:val="005E7481"/>
    <w:rsid w:val="005F4474"/>
    <w:rsid w:val="005F745F"/>
    <w:rsid w:val="00604EAF"/>
    <w:rsid w:val="006058FC"/>
    <w:rsid w:val="00606E71"/>
    <w:rsid w:val="006079EB"/>
    <w:rsid w:val="00611748"/>
    <w:rsid w:val="006120D5"/>
    <w:rsid w:val="006125CD"/>
    <w:rsid w:val="00612E83"/>
    <w:rsid w:val="00620A62"/>
    <w:rsid w:val="00625E74"/>
    <w:rsid w:val="00627179"/>
    <w:rsid w:val="006321E7"/>
    <w:rsid w:val="00637A0E"/>
    <w:rsid w:val="00641185"/>
    <w:rsid w:val="006474DD"/>
    <w:rsid w:val="006508CC"/>
    <w:rsid w:val="00650FD3"/>
    <w:rsid w:val="0065299D"/>
    <w:rsid w:val="006544CA"/>
    <w:rsid w:val="00655099"/>
    <w:rsid w:val="0066091B"/>
    <w:rsid w:val="006618A3"/>
    <w:rsid w:val="00661F74"/>
    <w:rsid w:val="00665F82"/>
    <w:rsid w:val="00673E06"/>
    <w:rsid w:val="006775F3"/>
    <w:rsid w:val="00685A57"/>
    <w:rsid w:val="0068619A"/>
    <w:rsid w:val="006957FB"/>
    <w:rsid w:val="006B1856"/>
    <w:rsid w:val="006B1BEE"/>
    <w:rsid w:val="006B36B1"/>
    <w:rsid w:val="006B50C2"/>
    <w:rsid w:val="006B70ED"/>
    <w:rsid w:val="006C43FE"/>
    <w:rsid w:val="006E5DD6"/>
    <w:rsid w:val="006F076E"/>
    <w:rsid w:val="006F0EC2"/>
    <w:rsid w:val="006F623D"/>
    <w:rsid w:val="00703B4D"/>
    <w:rsid w:val="007050D8"/>
    <w:rsid w:val="00705DEA"/>
    <w:rsid w:val="00713A6B"/>
    <w:rsid w:val="00716AA8"/>
    <w:rsid w:val="0072381B"/>
    <w:rsid w:val="0072704A"/>
    <w:rsid w:val="00727720"/>
    <w:rsid w:val="007302C5"/>
    <w:rsid w:val="00735E94"/>
    <w:rsid w:val="007370F2"/>
    <w:rsid w:val="007530ED"/>
    <w:rsid w:val="0075754D"/>
    <w:rsid w:val="0076218D"/>
    <w:rsid w:val="00763DEF"/>
    <w:rsid w:val="00771283"/>
    <w:rsid w:val="0077221E"/>
    <w:rsid w:val="007832F7"/>
    <w:rsid w:val="0078795A"/>
    <w:rsid w:val="007926B7"/>
    <w:rsid w:val="007943C1"/>
    <w:rsid w:val="007A7C75"/>
    <w:rsid w:val="007B0BC7"/>
    <w:rsid w:val="007B6967"/>
    <w:rsid w:val="007C5553"/>
    <w:rsid w:val="007D184C"/>
    <w:rsid w:val="007D2822"/>
    <w:rsid w:val="007D294E"/>
    <w:rsid w:val="007E08E0"/>
    <w:rsid w:val="007E14D4"/>
    <w:rsid w:val="007E7069"/>
    <w:rsid w:val="007E7AD8"/>
    <w:rsid w:val="007F62AF"/>
    <w:rsid w:val="00801A94"/>
    <w:rsid w:val="008041E6"/>
    <w:rsid w:val="008228A7"/>
    <w:rsid w:val="008341F1"/>
    <w:rsid w:val="00836F31"/>
    <w:rsid w:val="00837CFB"/>
    <w:rsid w:val="00851ABB"/>
    <w:rsid w:val="00851E05"/>
    <w:rsid w:val="008534AC"/>
    <w:rsid w:val="008536D4"/>
    <w:rsid w:val="00855087"/>
    <w:rsid w:val="00860D87"/>
    <w:rsid w:val="00862F37"/>
    <w:rsid w:val="008720FF"/>
    <w:rsid w:val="00873872"/>
    <w:rsid w:val="00877CD5"/>
    <w:rsid w:val="00886399"/>
    <w:rsid w:val="0088678E"/>
    <w:rsid w:val="0089234D"/>
    <w:rsid w:val="0089273B"/>
    <w:rsid w:val="00892DA7"/>
    <w:rsid w:val="008946A6"/>
    <w:rsid w:val="00895E23"/>
    <w:rsid w:val="00897873"/>
    <w:rsid w:val="008A4FC4"/>
    <w:rsid w:val="008A744C"/>
    <w:rsid w:val="008A7D8D"/>
    <w:rsid w:val="008B70A7"/>
    <w:rsid w:val="008C0A3D"/>
    <w:rsid w:val="008C2C91"/>
    <w:rsid w:val="008C3FFD"/>
    <w:rsid w:val="008C594D"/>
    <w:rsid w:val="008C7FE3"/>
    <w:rsid w:val="008D4608"/>
    <w:rsid w:val="008D73F5"/>
    <w:rsid w:val="008E7DB0"/>
    <w:rsid w:val="008F4901"/>
    <w:rsid w:val="008F7E3E"/>
    <w:rsid w:val="00901AC0"/>
    <w:rsid w:val="00902D1C"/>
    <w:rsid w:val="00905472"/>
    <w:rsid w:val="00905649"/>
    <w:rsid w:val="009124D5"/>
    <w:rsid w:val="009141CF"/>
    <w:rsid w:val="009164AB"/>
    <w:rsid w:val="00922081"/>
    <w:rsid w:val="00922FD8"/>
    <w:rsid w:val="00925F6F"/>
    <w:rsid w:val="00926BD8"/>
    <w:rsid w:val="009271C2"/>
    <w:rsid w:val="00933365"/>
    <w:rsid w:val="00934BCE"/>
    <w:rsid w:val="00937510"/>
    <w:rsid w:val="009518B3"/>
    <w:rsid w:val="0095258F"/>
    <w:rsid w:val="009533E6"/>
    <w:rsid w:val="009709F3"/>
    <w:rsid w:val="0097449E"/>
    <w:rsid w:val="00975944"/>
    <w:rsid w:val="00977178"/>
    <w:rsid w:val="009819D4"/>
    <w:rsid w:val="009902D8"/>
    <w:rsid w:val="009935D2"/>
    <w:rsid w:val="00996E3C"/>
    <w:rsid w:val="009A0FB5"/>
    <w:rsid w:val="009B4810"/>
    <w:rsid w:val="009B4B1A"/>
    <w:rsid w:val="009B4E24"/>
    <w:rsid w:val="009D0C76"/>
    <w:rsid w:val="009D14F9"/>
    <w:rsid w:val="009D4A14"/>
    <w:rsid w:val="009D5B5F"/>
    <w:rsid w:val="009E1983"/>
    <w:rsid w:val="009F1660"/>
    <w:rsid w:val="009F59CC"/>
    <w:rsid w:val="00A0043B"/>
    <w:rsid w:val="00A0058D"/>
    <w:rsid w:val="00A0262E"/>
    <w:rsid w:val="00A06B0D"/>
    <w:rsid w:val="00A07544"/>
    <w:rsid w:val="00A10A37"/>
    <w:rsid w:val="00A1299C"/>
    <w:rsid w:val="00A156AB"/>
    <w:rsid w:val="00A1726E"/>
    <w:rsid w:val="00A21E56"/>
    <w:rsid w:val="00A25193"/>
    <w:rsid w:val="00A27722"/>
    <w:rsid w:val="00A34BB0"/>
    <w:rsid w:val="00A47BEF"/>
    <w:rsid w:val="00A67F6F"/>
    <w:rsid w:val="00A71951"/>
    <w:rsid w:val="00A758C9"/>
    <w:rsid w:val="00A76AD7"/>
    <w:rsid w:val="00A9295C"/>
    <w:rsid w:val="00AB3E0F"/>
    <w:rsid w:val="00AC4045"/>
    <w:rsid w:val="00AC4797"/>
    <w:rsid w:val="00AC5CBE"/>
    <w:rsid w:val="00AC61E4"/>
    <w:rsid w:val="00AD321C"/>
    <w:rsid w:val="00AD6500"/>
    <w:rsid w:val="00AD6964"/>
    <w:rsid w:val="00AE6825"/>
    <w:rsid w:val="00AE6D22"/>
    <w:rsid w:val="00AF0DFA"/>
    <w:rsid w:val="00AF6BB8"/>
    <w:rsid w:val="00B06697"/>
    <w:rsid w:val="00B153C0"/>
    <w:rsid w:val="00B154B4"/>
    <w:rsid w:val="00B1795B"/>
    <w:rsid w:val="00B17B4E"/>
    <w:rsid w:val="00B21268"/>
    <w:rsid w:val="00B301DF"/>
    <w:rsid w:val="00B3395D"/>
    <w:rsid w:val="00B36115"/>
    <w:rsid w:val="00B42A8B"/>
    <w:rsid w:val="00B524EB"/>
    <w:rsid w:val="00B61C68"/>
    <w:rsid w:val="00B64E8F"/>
    <w:rsid w:val="00B66C02"/>
    <w:rsid w:val="00B707D8"/>
    <w:rsid w:val="00B7142C"/>
    <w:rsid w:val="00B7472C"/>
    <w:rsid w:val="00B74A38"/>
    <w:rsid w:val="00B75B9D"/>
    <w:rsid w:val="00B77397"/>
    <w:rsid w:val="00B8361C"/>
    <w:rsid w:val="00B85EE4"/>
    <w:rsid w:val="00B92432"/>
    <w:rsid w:val="00B97BC5"/>
    <w:rsid w:val="00BA1B3A"/>
    <w:rsid w:val="00BA793D"/>
    <w:rsid w:val="00BB01CB"/>
    <w:rsid w:val="00BB15C6"/>
    <w:rsid w:val="00BB1706"/>
    <w:rsid w:val="00BB356B"/>
    <w:rsid w:val="00BB647F"/>
    <w:rsid w:val="00BC665A"/>
    <w:rsid w:val="00BD04F2"/>
    <w:rsid w:val="00BD16F4"/>
    <w:rsid w:val="00BD2F6D"/>
    <w:rsid w:val="00BD4153"/>
    <w:rsid w:val="00BD6605"/>
    <w:rsid w:val="00BD6ACF"/>
    <w:rsid w:val="00BE5CC3"/>
    <w:rsid w:val="00BE5E75"/>
    <w:rsid w:val="00BF0C3A"/>
    <w:rsid w:val="00BF1889"/>
    <w:rsid w:val="00BF2CB2"/>
    <w:rsid w:val="00BF326D"/>
    <w:rsid w:val="00C05EA4"/>
    <w:rsid w:val="00C22048"/>
    <w:rsid w:val="00C2343D"/>
    <w:rsid w:val="00C25943"/>
    <w:rsid w:val="00C31BB1"/>
    <w:rsid w:val="00C32C1B"/>
    <w:rsid w:val="00C32E6F"/>
    <w:rsid w:val="00C32F12"/>
    <w:rsid w:val="00C33192"/>
    <w:rsid w:val="00C33AB8"/>
    <w:rsid w:val="00C33C2F"/>
    <w:rsid w:val="00C40049"/>
    <w:rsid w:val="00C53BAF"/>
    <w:rsid w:val="00C57D7B"/>
    <w:rsid w:val="00C604B5"/>
    <w:rsid w:val="00C63574"/>
    <w:rsid w:val="00C739CA"/>
    <w:rsid w:val="00C7672A"/>
    <w:rsid w:val="00C80CB7"/>
    <w:rsid w:val="00C82A79"/>
    <w:rsid w:val="00C8384C"/>
    <w:rsid w:val="00C8483F"/>
    <w:rsid w:val="00C872EB"/>
    <w:rsid w:val="00C87F4B"/>
    <w:rsid w:val="00C902C3"/>
    <w:rsid w:val="00C93260"/>
    <w:rsid w:val="00CA195D"/>
    <w:rsid w:val="00CA4C8B"/>
    <w:rsid w:val="00CB0DB4"/>
    <w:rsid w:val="00CB4103"/>
    <w:rsid w:val="00CC11E0"/>
    <w:rsid w:val="00CC47D4"/>
    <w:rsid w:val="00CD39EC"/>
    <w:rsid w:val="00CD62E0"/>
    <w:rsid w:val="00CE2837"/>
    <w:rsid w:val="00CF32CE"/>
    <w:rsid w:val="00D05733"/>
    <w:rsid w:val="00D06259"/>
    <w:rsid w:val="00D1060C"/>
    <w:rsid w:val="00D14487"/>
    <w:rsid w:val="00D1477D"/>
    <w:rsid w:val="00D15002"/>
    <w:rsid w:val="00D21B73"/>
    <w:rsid w:val="00D233CB"/>
    <w:rsid w:val="00D27B54"/>
    <w:rsid w:val="00D32560"/>
    <w:rsid w:val="00D33BA5"/>
    <w:rsid w:val="00D3429B"/>
    <w:rsid w:val="00D3688B"/>
    <w:rsid w:val="00D370F8"/>
    <w:rsid w:val="00D37B70"/>
    <w:rsid w:val="00D44697"/>
    <w:rsid w:val="00D4658B"/>
    <w:rsid w:val="00D551A2"/>
    <w:rsid w:val="00D55614"/>
    <w:rsid w:val="00D66BE2"/>
    <w:rsid w:val="00D72754"/>
    <w:rsid w:val="00D74188"/>
    <w:rsid w:val="00D85578"/>
    <w:rsid w:val="00D8694A"/>
    <w:rsid w:val="00D87071"/>
    <w:rsid w:val="00D901C7"/>
    <w:rsid w:val="00D91D9B"/>
    <w:rsid w:val="00D953A0"/>
    <w:rsid w:val="00D97176"/>
    <w:rsid w:val="00DA165F"/>
    <w:rsid w:val="00DA1946"/>
    <w:rsid w:val="00DA6F9D"/>
    <w:rsid w:val="00DB4C80"/>
    <w:rsid w:val="00DB6DD1"/>
    <w:rsid w:val="00DC356B"/>
    <w:rsid w:val="00DC4B99"/>
    <w:rsid w:val="00DC4EE3"/>
    <w:rsid w:val="00DE2D9E"/>
    <w:rsid w:val="00DE3B05"/>
    <w:rsid w:val="00DE54D0"/>
    <w:rsid w:val="00DE5830"/>
    <w:rsid w:val="00DE77A8"/>
    <w:rsid w:val="00DF4DCD"/>
    <w:rsid w:val="00E02ABD"/>
    <w:rsid w:val="00E06FB1"/>
    <w:rsid w:val="00E1232A"/>
    <w:rsid w:val="00E146BB"/>
    <w:rsid w:val="00E1565C"/>
    <w:rsid w:val="00E15F62"/>
    <w:rsid w:val="00E17D80"/>
    <w:rsid w:val="00E22398"/>
    <w:rsid w:val="00E3553B"/>
    <w:rsid w:val="00E379CF"/>
    <w:rsid w:val="00E407BD"/>
    <w:rsid w:val="00E440EE"/>
    <w:rsid w:val="00E52D65"/>
    <w:rsid w:val="00E53E11"/>
    <w:rsid w:val="00E5463A"/>
    <w:rsid w:val="00E63283"/>
    <w:rsid w:val="00E6394D"/>
    <w:rsid w:val="00E66842"/>
    <w:rsid w:val="00E67943"/>
    <w:rsid w:val="00E71595"/>
    <w:rsid w:val="00E71B72"/>
    <w:rsid w:val="00E75160"/>
    <w:rsid w:val="00E763FA"/>
    <w:rsid w:val="00E8103F"/>
    <w:rsid w:val="00E91062"/>
    <w:rsid w:val="00E93568"/>
    <w:rsid w:val="00E9626A"/>
    <w:rsid w:val="00EA30B3"/>
    <w:rsid w:val="00EA4E92"/>
    <w:rsid w:val="00EA78D6"/>
    <w:rsid w:val="00EB13E2"/>
    <w:rsid w:val="00EB1C0D"/>
    <w:rsid w:val="00EB1CDC"/>
    <w:rsid w:val="00EB7644"/>
    <w:rsid w:val="00EC46FB"/>
    <w:rsid w:val="00EC492B"/>
    <w:rsid w:val="00EC53EB"/>
    <w:rsid w:val="00EC6009"/>
    <w:rsid w:val="00EC6851"/>
    <w:rsid w:val="00EC7533"/>
    <w:rsid w:val="00EE7714"/>
    <w:rsid w:val="00EF00D7"/>
    <w:rsid w:val="00EF243B"/>
    <w:rsid w:val="00EF3A8D"/>
    <w:rsid w:val="00EF6D99"/>
    <w:rsid w:val="00F034F5"/>
    <w:rsid w:val="00F053F8"/>
    <w:rsid w:val="00F06142"/>
    <w:rsid w:val="00F07C4D"/>
    <w:rsid w:val="00F205E1"/>
    <w:rsid w:val="00F34BA1"/>
    <w:rsid w:val="00F36C74"/>
    <w:rsid w:val="00F37C5D"/>
    <w:rsid w:val="00F45015"/>
    <w:rsid w:val="00F53473"/>
    <w:rsid w:val="00F53BD9"/>
    <w:rsid w:val="00F562F0"/>
    <w:rsid w:val="00F60FFA"/>
    <w:rsid w:val="00F62939"/>
    <w:rsid w:val="00F66616"/>
    <w:rsid w:val="00F70559"/>
    <w:rsid w:val="00F808E0"/>
    <w:rsid w:val="00F9213B"/>
    <w:rsid w:val="00F9248A"/>
    <w:rsid w:val="00F92DCB"/>
    <w:rsid w:val="00F9430D"/>
    <w:rsid w:val="00F95CC4"/>
    <w:rsid w:val="00FA178F"/>
    <w:rsid w:val="00FA25E1"/>
    <w:rsid w:val="00FA7246"/>
    <w:rsid w:val="00FC0526"/>
    <w:rsid w:val="00FD3853"/>
    <w:rsid w:val="00FD54BB"/>
    <w:rsid w:val="00FE7865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686E6"/>
  <w15:docId w15:val="{F2E5B83D-148C-48EF-AE9F-789EA5E2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F8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2F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22F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22F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EF3A8D"/>
    <w:pPr>
      <w:tabs>
        <w:tab w:val="center" w:pos="4819"/>
        <w:tab w:val="right" w:pos="9638"/>
      </w:tabs>
    </w:pPr>
  </w:style>
  <w:style w:type="character" w:customStyle="1" w:styleId="HeaderChar">
    <w:name w:val="Header Char"/>
    <w:rsid w:val="00EF3A8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F3A8D"/>
    <w:pPr>
      <w:tabs>
        <w:tab w:val="center" w:pos="4819"/>
        <w:tab w:val="right" w:pos="9638"/>
      </w:tabs>
    </w:pPr>
  </w:style>
  <w:style w:type="character" w:customStyle="1" w:styleId="FooterChar">
    <w:name w:val="Footer Char"/>
    <w:rsid w:val="00EF3A8D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semiHidden/>
    <w:rsid w:val="00EF3A8D"/>
    <w:rPr>
      <w:rFonts w:ascii="Times New Roman" w:hAnsi="Times New Roman" w:cs="Times New Roman"/>
    </w:rPr>
  </w:style>
  <w:style w:type="character" w:customStyle="1" w:styleId="hps">
    <w:name w:val="hps"/>
    <w:uiPriority w:val="99"/>
    <w:rsid w:val="00EF3A8D"/>
  </w:style>
  <w:style w:type="paragraph" w:customStyle="1" w:styleId="Testofumetto1">
    <w:name w:val="Testo fumetto1"/>
    <w:basedOn w:val="Normln"/>
    <w:rsid w:val="00EF3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EF3A8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F3A8D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F3A8D"/>
    <w:rPr>
      <w:sz w:val="20"/>
      <w:szCs w:val="20"/>
    </w:rPr>
  </w:style>
  <w:style w:type="character" w:customStyle="1" w:styleId="CommentTextChar">
    <w:name w:val="Comment Text Char"/>
    <w:rsid w:val="00EF3A8D"/>
    <w:rPr>
      <w:rFonts w:ascii="Times New Roman" w:hAnsi="Times New Roman" w:cs="Times New Roman"/>
      <w:sz w:val="20"/>
      <w:szCs w:val="20"/>
    </w:rPr>
  </w:style>
  <w:style w:type="paragraph" w:customStyle="1" w:styleId="Soggettocommento1">
    <w:name w:val="Soggetto commento1"/>
    <w:basedOn w:val="Textkomente"/>
    <w:next w:val="Textkomente"/>
    <w:rsid w:val="00EF3A8D"/>
    <w:rPr>
      <w:b/>
      <w:bCs/>
    </w:rPr>
  </w:style>
  <w:style w:type="character" w:customStyle="1" w:styleId="CommentSubjectChar">
    <w:name w:val="Comment Subject Char"/>
    <w:rsid w:val="00EF3A8D"/>
    <w:rPr>
      <w:rFonts w:ascii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B05"/>
    <w:rPr>
      <w:b/>
      <w:bCs/>
    </w:rPr>
  </w:style>
  <w:style w:type="character" w:customStyle="1" w:styleId="TextkomenteChar">
    <w:name w:val="Text komentáře Char"/>
    <w:link w:val="Textkomente"/>
    <w:semiHidden/>
    <w:rsid w:val="00DE3B05"/>
    <w:rPr>
      <w:lang w:val="cs-CZ"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DE3B05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3B05"/>
    <w:rPr>
      <w:rFonts w:ascii="Tahoma" w:hAnsi="Tahoma" w:cs="Tahoma"/>
      <w:sz w:val="16"/>
      <w:szCs w:val="16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922FD8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922FD8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922FD8"/>
    <w:rPr>
      <w:rFonts w:ascii="Arial" w:hAnsi="Arial" w:cs="Arial"/>
      <w:b/>
      <w:bCs/>
      <w:sz w:val="26"/>
      <w:szCs w:val="26"/>
    </w:rPr>
  </w:style>
  <w:style w:type="paragraph" w:styleId="Zkladntext">
    <w:name w:val="Body Text"/>
    <w:basedOn w:val="Normln"/>
    <w:link w:val="ZkladntextChar"/>
    <w:semiHidden/>
    <w:rsid w:val="00922FD8"/>
    <w:pPr>
      <w:spacing w:line="360" w:lineRule="auto"/>
      <w:jc w:val="both"/>
    </w:pPr>
    <w:rPr>
      <w:rFonts w:ascii="Verdana" w:hAnsi="Verdana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922FD8"/>
    <w:rPr>
      <w:rFonts w:ascii="Verdana" w:hAnsi="Verdana"/>
      <w:sz w:val="22"/>
      <w:szCs w:val="22"/>
      <w:lang w:val="cs-CZ"/>
    </w:rPr>
  </w:style>
  <w:style w:type="paragraph" w:customStyle="1" w:styleId="Default">
    <w:name w:val="Default"/>
    <w:rsid w:val="00922F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B410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CB4103"/>
    <w:rPr>
      <w:sz w:val="16"/>
      <w:szCs w:val="16"/>
      <w:lang w:val="cs-CZ" w:eastAsia="cs-CZ"/>
    </w:rPr>
  </w:style>
  <w:style w:type="character" w:customStyle="1" w:styleId="shorttext">
    <w:name w:val="short_text"/>
    <w:uiPriority w:val="99"/>
    <w:rsid w:val="00CB4103"/>
  </w:style>
  <w:style w:type="character" w:customStyle="1" w:styleId="ZpatChar">
    <w:name w:val="Zápatí Char"/>
    <w:link w:val="Zpat"/>
    <w:uiPriority w:val="99"/>
    <w:locked/>
    <w:rsid w:val="00CB4103"/>
    <w:rPr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016F9"/>
    <w:pPr>
      <w:ind w:left="720"/>
      <w:contextualSpacing/>
    </w:pPr>
  </w:style>
  <w:style w:type="paragraph" w:styleId="Revize">
    <w:name w:val="Revision"/>
    <w:hidden/>
    <w:uiPriority w:val="99"/>
    <w:semiHidden/>
    <w:rsid w:val="00E6794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902D8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315C9F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8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8448-5D3C-4A7D-B192-1026474B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769</Words>
  <Characters>4543</Characters>
  <Application>Microsoft Office Word</Application>
  <DocSecurity>0</DocSecurity>
  <Lines>37</Lines>
  <Paragraphs>10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1</vt:lpstr>
      <vt:lpstr>1</vt:lpstr>
      <vt:lpstr>1</vt:lpstr>
      <vt:lpstr>1</vt:lpstr>
    </vt:vector>
  </TitlesOfParts>
  <Company>fatro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amadori simonetta</dc:creator>
  <cp:lastModifiedBy>Dušek Daniel</cp:lastModifiedBy>
  <cp:revision>38</cp:revision>
  <cp:lastPrinted>2017-01-25T11:47:00Z</cp:lastPrinted>
  <dcterms:created xsi:type="dcterms:W3CDTF">2021-11-01T10:45:00Z</dcterms:created>
  <dcterms:modified xsi:type="dcterms:W3CDTF">2022-02-16T08:46:00Z</dcterms:modified>
</cp:coreProperties>
</file>