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ACB7" w14:textId="77777777" w:rsidR="002C367C" w:rsidRPr="00334E8C" w:rsidRDefault="002C367C" w:rsidP="006E01E9">
      <w:pPr>
        <w:pStyle w:val="Zkladntext"/>
        <w:rPr>
          <w:sz w:val="20"/>
        </w:rPr>
      </w:pPr>
    </w:p>
    <w:p w14:paraId="1641ACB8" w14:textId="77777777" w:rsidR="002C367C" w:rsidRPr="00334E8C" w:rsidRDefault="002C367C" w:rsidP="006E01E9">
      <w:pPr>
        <w:pStyle w:val="Zkladntext"/>
        <w:rPr>
          <w:sz w:val="20"/>
        </w:rPr>
      </w:pPr>
    </w:p>
    <w:p w14:paraId="1641ACB9" w14:textId="77777777" w:rsidR="002C367C" w:rsidRPr="00334E8C" w:rsidRDefault="002C367C" w:rsidP="006E01E9">
      <w:pPr>
        <w:pStyle w:val="Zkladntext"/>
        <w:rPr>
          <w:sz w:val="20"/>
        </w:rPr>
      </w:pPr>
    </w:p>
    <w:p w14:paraId="1641ACBA" w14:textId="77777777" w:rsidR="002C367C" w:rsidRPr="00334E8C" w:rsidRDefault="002C367C" w:rsidP="006E01E9">
      <w:pPr>
        <w:pStyle w:val="Zkladntext"/>
        <w:rPr>
          <w:sz w:val="20"/>
        </w:rPr>
      </w:pPr>
    </w:p>
    <w:p w14:paraId="1641ACBB" w14:textId="77777777" w:rsidR="002C367C" w:rsidRPr="00334E8C" w:rsidRDefault="002C367C" w:rsidP="006E01E9">
      <w:pPr>
        <w:pStyle w:val="Zkladntext"/>
        <w:rPr>
          <w:sz w:val="20"/>
        </w:rPr>
      </w:pPr>
    </w:p>
    <w:p w14:paraId="1641ACBC" w14:textId="77777777" w:rsidR="002C367C" w:rsidRPr="00334E8C" w:rsidRDefault="002C367C" w:rsidP="006E01E9">
      <w:pPr>
        <w:pStyle w:val="Zkladntext"/>
        <w:rPr>
          <w:sz w:val="20"/>
        </w:rPr>
      </w:pPr>
    </w:p>
    <w:p w14:paraId="1641ACBD" w14:textId="77777777" w:rsidR="002C367C" w:rsidRPr="00334E8C" w:rsidRDefault="002C367C" w:rsidP="006E01E9">
      <w:pPr>
        <w:pStyle w:val="Zkladntext"/>
        <w:rPr>
          <w:sz w:val="20"/>
        </w:rPr>
      </w:pPr>
    </w:p>
    <w:p w14:paraId="1641ACBE" w14:textId="77777777" w:rsidR="002C367C" w:rsidRPr="00334E8C" w:rsidRDefault="002C367C" w:rsidP="006E01E9">
      <w:pPr>
        <w:pStyle w:val="Zkladntext"/>
        <w:rPr>
          <w:sz w:val="20"/>
        </w:rPr>
      </w:pPr>
    </w:p>
    <w:p w14:paraId="1641ACBF" w14:textId="77777777" w:rsidR="002C367C" w:rsidRPr="00334E8C" w:rsidRDefault="002C367C" w:rsidP="006E01E9">
      <w:pPr>
        <w:pStyle w:val="Zkladntext"/>
        <w:rPr>
          <w:sz w:val="20"/>
        </w:rPr>
      </w:pPr>
    </w:p>
    <w:p w14:paraId="1641ACC0" w14:textId="77777777" w:rsidR="002C367C" w:rsidRPr="00334E8C" w:rsidRDefault="002C367C" w:rsidP="006E01E9">
      <w:pPr>
        <w:pStyle w:val="Zkladntext"/>
        <w:rPr>
          <w:sz w:val="20"/>
        </w:rPr>
      </w:pPr>
    </w:p>
    <w:p w14:paraId="1641ACC1" w14:textId="77777777" w:rsidR="002C367C" w:rsidRPr="00334E8C" w:rsidRDefault="002C367C" w:rsidP="006E01E9">
      <w:pPr>
        <w:pStyle w:val="Zkladntext"/>
        <w:rPr>
          <w:sz w:val="20"/>
        </w:rPr>
      </w:pPr>
    </w:p>
    <w:p w14:paraId="1641ACC2" w14:textId="77777777" w:rsidR="002C367C" w:rsidRPr="00334E8C" w:rsidRDefault="002C367C" w:rsidP="006E01E9">
      <w:pPr>
        <w:pStyle w:val="Zkladntext"/>
        <w:rPr>
          <w:sz w:val="20"/>
        </w:rPr>
      </w:pPr>
    </w:p>
    <w:p w14:paraId="1641ACC3" w14:textId="77777777" w:rsidR="002C367C" w:rsidRPr="00334E8C" w:rsidRDefault="002C367C" w:rsidP="006E01E9">
      <w:pPr>
        <w:pStyle w:val="Zkladntext"/>
        <w:rPr>
          <w:sz w:val="20"/>
        </w:rPr>
      </w:pPr>
    </w:p>
    <w:p w14:paraId="1641ACC4" w14:textId="77777777" w:rsidR="002C367C" w:rsidRPr="00334E8C" w:rsidRDefault="002C367C" w:rsidP="006E01E9">
      <w:pPr>
        <w:pStyle w:val="Zkladntext"/>
        <w:rPr>
          <w:sz w:val="20"/>
        </w:rPr>
      </w:pPr>
    </w:p>
    <w:p w14:paraId="1641ACC5" w14:textId="77777777" w:rsidR="002C367C" w:rsidRPr="00334E8C" w:rsidRDefault="002C367C" w:rsidP="006E01E9">
      <w:pPr>
        <w:pStyle w:val="Zkladntext"/>
        <w:rPr>
          <w:sz w:val="20"/>
        </w:rPr>
      </w:pPr>
    </w:p>
    <w:p w14:paraId="1641ACC6" w14:textId="77777777" w:rsidR="002C367C" w:rsidRPr="00334E8C" w:rsidRDefault="002C367C" w:rsidP="006E01E9">
      <w:pPr>
        <w:pStyle w:val="Zkladntext"/>
        <w:rPr>
          <w:sz w:val="20"/>
        </w:rPr>
      </w:pPr>
    </w:p>
    <w:p w14:paraId="1641ACC7" w14:textId="77777777" w:rsidR="002C367C" w:rsidRPr="00334E8C" w:rsidRDefault="002C367C" w:rsidP="006E01E9">
      <w:pPr>
        <w:pStyle w:val="Zkladntext"/>
        <w:rPr>
          <w:sz w:val="20"/>
        </w:rPr>
      </w:pPr>
    </w:p>
    <w:p w14:paraId="1641ACC8" w14:textId="77777777" w:rsidR="002C367C" w:rsidRPr="00334E8C" w:rsidRDefault="002C367C" w:rsidP="006E01E9">
      <w:pPr>
        <w:pStyle w:val="Zkladntext"/>
        <w:rPr>
          <w:sz w:val="20"/>
        </w:rPr>
      </w:pPr>
    </w:p>
    <w:p w14:paraId="1641ACC9" w14:textId="77777777" w:rsidR="002C367C" w:rsidRPr="00334E8C" w:rsidRDefault="002C367C" w:rsidP="006E01E9">
      <w:pPr>
        <w:pStyle w:val="Zkladntext"/>
        <w:rPr>
          <w:sz w:val="20"/>
        </w:rPr>
      </w:pPr>
    </w:p>
    <w:p w14:paraId="1641ACCA" w14:textId="77777777" w:rsidR="002C367C" w:rsidRPr="00334E8C" w:rsidRDefault="002C367C" w:rsidP="006E01E9">
      <w:pPr>
        <w:pStyle w:val="Zkladntext"/>
        <w:rPr>
          <w:sz w:val="20"/>
        </w:rPr>
      </w:pPr>
    </w:p>
    <w:p w14:paraId="1641ACCB" w14:textId="77777777" w:rsidR="002C367C" w:rsidRPr="00334E8C" w:rsidRDefault="002C367C" w:rsidP="006E01E9">
      <w:pPr>
        <w:pStyle w:val="Zkladntext"/>
        <w:rPr>
          <w:sz w:val="20"/>
        </w:rPr>
      </w:pPr>
    </w:p>
    <w:p w14:paraId="1641ACCC" w14:textId="77777777" w:rsidR="002C367C" w:rsidRPr="00334E8C" w:rsidRDefault="002C367C" w:rsidP="006E01E9">
      <w:pPr>
        <w:pStyle w:val="Zkladntext"/>
        <w:rPr>
          <w:sz w:val="20"/>
        </w:rPr>
      </w:pPr>
    </w:p>
    <w:p w14:paraId="1641ACCD" w14:textId="77777777" w:rsidR="002C367C" w:rsidRPr="00334E8C" w:rsidRDefault="002C367C" w:rsidP="006E01E9">
      <w:pPr>
        <w:pStyle w:val="Zkladntext"/>
        <w:rPr>
          <w:sz w:val="20"/>
        </w:rPr>
      </w:pPr>
    </w:p>
    <w:p w14:paraId="1641ACCE" w14:textId="77777777" w:rsidR="002C367C" w:rsidRPr="00334E8C" w:rsidRDefault="002C367C" w:rsidP="006E01E9">
      <w:pPr>
        <w:pStyle w:val="Zkladntext"/>
        <w:spacing w:before="6"/>
        <w:rPr>
          <w:sz w:val="18"/>
        </w:rPr>
      </w:pPr>
    </w:p>
    <w:p w14:paraId="1641ACCF" w14:textId="640DBAF1" w:rsidR="002C367C" w:rsidRPr="006E01E9" w:rsidRDefault="00EC57B2" w:rsidP="00D13410">
      <w:pPr>
        <w:pStyle w:val="Nadpis1"/>
        <w:numPr>
          <w:ilvl w:val="0"/>
          <w:numId w:val="5"/>
        </w:numPr>
        <w:tabs>
          <w:tab w:val="left" w:pos="3313"/>
        </w:tabs>
      </w:pPr>
      <w:r w:rsidRPr="006E01E9">
        <w:t>PŘÍBALOVÁ INFORMACE</w:t>
      </w:r>
    </w:p>
    <w:p w14:paraId="1641ACD0" w14:textId="77777777" w:rsidR="002C367C" w:rsidRPr="006E01E9" w:rsidRDefault="002C367C" w:rsidP="006E01E9">
      <w:pPr>
        <w:rPr>
          <w:lang w:val="en-GB"/>
        </w:rPr>
        <w:sectPr w:rsidR="002C367C" w:rsidRPr="006E01E9">
          <w:footerReference w:type="default" r:id="rId7"/>
          <w:pgSz w:w="11910" w:h="16850"/>
          <w:pgMar w:top="1600" w:right="1680" w:bottom="900" w:left="1680" w:header="0" w:footer="702" w:gutter="0"/>
          <w:cols w:space="708"/>
        </w:sectPr>
      </w:pPr>
    </w:p>
    <w:p w14:paraId="1641ACD1" w14:textId="77777777" w:rsidR="002C367C" w:rsidRPr="006E01E9" w:rsidRDefault="00EC57B2" w:rsidP="006E01E9">
      <w:pPr>
        <w:spacing w:before="60"/>
        <w:jc w:val="center"/>
        <w:rPr>
          <w:b/>
        </w:rPr>
      </w:pPr>
      <w:r w:rsidRPr="006E01E9">
        <w:rPr>
          <w:b/>
        </w:rPr>
        <w:lastRenderedPageBreak/>
        <w:t>PŘÍBALOVÁ INFORMACE:</w:t>
      </w:r>
    </w:p>
    <w:p w14:paraId="1641ACD2" w14:textId="77777777" w:rsidR="002C367C" w:rsidRPr="006E01E9" w:rsidRDefault="00EC57B2" w:rsidP="006E01E9">
      <w:pPr>
        <w:spacing w:before="6"/>
        <w:ind w:left="2713"/>
      </w:pPr>
      <w:r w:rsidRPr="006E01E9">
        <w:rPr>
          <w:b/>
        </w:rPr>
        <w:t>GENOXYTAB</w:t>
      </w:r>
      <w:r w:rsidR="006E01E9" w:rsidRPr="006E01E9">
        <w:rPr>
          <w:b/>
        </w:rPr>
        <w:t xml:space="preserve"> </w:t>
      </w:r>
      <w:r w:rsidRPr="006E01E9">
        <w:rPr>
          <w:b/>
        </w:rPr>
        <w:t xml:space="preserve">F </w:t>
      </w:r>
      <w:r w:rsidRPr="006E01E9">
        <w:t>1 g</w:t>
      </w:r>
      <w:r w:rsidR="006E01E9" w:rsidRPr="006E01E9">
        <w:t xml:space="preserve"> </w:t>
      </w:r>
      <w:r w:rsidRPr="006E01E9">
        <w:t>intrauterinní tableta pro krávy</w:t>
      </w:r>
    </w:p>
    <w:p w14:paraId="1641ACD3" w14:textId="77777777" w:rsidR="002C367C" w:rsidRPr="00334E8C" w:rsidRDefault="002C367C" w:rsidP="006E01E9">
      <w:pPr>
        <w:pStyle w:val="Zkladntext"/>
        <w:spacing w:before="6"/>
        <w:rPr>
          <w:sz w:val="23"/>
          <w:lang w:val="de-DE"/>
        </w:rPr>
      </w:pPr>
    </w:p>
    <w:p w14:paraId="1641ACD4" w14:textId="77777777" w:rsidR="002C367C" w:rsidRPr="006E01E9" w:rsidRDefault="00EC57B2" w:rsidP="006E01E9">
      <w:pPr>
        <w:pStyle w:val="Nadpis1"/>
        <w:numPr>
          <w:ilvl w:val="0"/>
          <w:numId w:val="2"/>
        </w:numPr>
        <w:tabs>
          <w:tab w:val="left" w:pos="686"/>
        </w:tabs>
        <w:spacing w:line="244" w:lineRule="auto"/>
        <w:jc w:val="both"/>
      </w:pPr>
      <w:r w:rsidRPr="006E01E9">
        <w:t>JMÉNO A ADRESA DRŽITELE ROZHODNUTÍ O REGISTRACI A DRŽITELE POVOLENÍ K VÝROBĚ ODPOVĚDNÉHO ZA UVOLNĚNÍ ŠARŽE, POKUD SE NESHODUJE</w:t>
      </w:r>
    </w:p>
    <w:p w14:paraId="1641ACD5" w14:textId="77777777" w:rsidR="002C367C" w:rsidRPr="00334E8C" w:rsidRDefault="002C367C" w:rsidP="006E01E9">
      <w:pPr>
        <w:pStyle w:val="Zkladntext"/>
        <w:spacing w:before="2"/>
        <w:rPr>
          <w:b/>
          <w:lang w:val="de-DE"/>
        </w:rPr>
      </w:pPr>
    </w:p>
    <w:p w14:paraId="1641ACD6" w14:textId="77777777" w:rsidR="002C367C" w:rsidRPr="006E01E9" w:rsidRDefault="00EC57B2" w:rsidP="006E01E9">
      <w:pPr>
        <w:pStyle w:val="Zkladntext"/>
        <w:ind w:left="658"/>
      </w:pPr>
      <w:r w:rsidRPr="006E01E9">
        <w:rPr>
          <w:u w:val="single"/>
        </w:rPr>
        <w:t>Držitel rozhodnutí o registraci a výrobce odpovědný za uvolnění šarže</w:t>
      </w:r>
      <w:r w:rsidRPr="006E01E9">
        <w:t>:</w:t>
      </w:r>
    </w:p>
    <w:p w14:paraId="1641ACD7" w14:textId="77777777" w:rsidR="002C367C" w:rsidRPr="00334E8C" w:rsidRDefault="002C367C" w:rsidP="006E01E9">
      <w:pPr>
        <w:pStyle w:val="Zkladntext"/>
        <w:spacing w:before="9"/>
        <w:rPr>
          <w:sz w:val="16"/>
          <w:lang w:val="de-DE"/>
        </w:rPr>
      </w:pPr>
    </w:p>
    <w:p w14:paraId="1641ACD8" w14:textId="77777777" w:rsidR="002C367C" w:rsidRPr="006E01E9" w:rsidRDefault="00EC57B2" w:rsidP="006E01E9">
      <w:pPr>
        <w:pStyle w:val="Zkladntext"/>
        <w:spacing w:before="72"/>
        <w:ind w:left="658"/>
      </w:pPr>
      <w:r w:rsidRPr="006E01E9">
        <w:t>GENERA Inc.</w:t>
      </w:r>
    </w:p>
    <w:p w14:paraId="1641ACD9" w14:textId="77777777" w:rsidR="002C367C" w:rsidRPr="006E01E9" w:rsidRDefault="00EC57B2" w:rsidP="006E01E9">
      <w:pPr>
        <w:pStyle w:val="Zkladntext"/>
        <w:spacing w:before="6"/>
        <w:ind w:left="658"/>
      </w:pPr>
      <w:proofErr w:type="spellStart"/>
      <w:r w:rsidRPr="006E01E9">
        <w:t>Svetonedeljska</w:t>
      </w:r>
      <w:proofErr w:type="spellEnd"/>
      <w:r w:rsidRPr="006E01E9">
        <w:t xml:space="preserve"> </w:t>
      </w:r>
      <w:r w:rsidR="00D02DDB">
        <w:t xml:space="preserve">cesta </w:t>
      </w:r>
      <w:r w:rsidRPr="006E01E9">
        <w:t xml:space="preserve">2, </w:t>
      </w:r>
      <w:proofErr w:type="spellStart"/>
      <w:r w:rsidRPr="006E01E9">
        <w:t>Kalinovica</w:t>
      </w:r>
      <w:proofErr w:type="spellEnd"/>
    </w:p>
    <w:p w14:paraId="1641ACDA" w14:textId="77777777" w:rsidR="002C367C" w:rsidRPr="006E01E9" w:rsidRDefault="00EC57B2" w:rsidP="006E01E9">
      <w:pPr>
        <w:pStyle w:val="Zkladntext"/>
        <w:spacing w:before="6" w:line="244" w:lineRule="auto"/>
        <w:ind w:left="658"/>
      </w:pPr>
      <w:r w:rsidRPr="006E01E9">
        <w:t>10436 Rakov Potok</w:t>
      </w:r>
      <w:r w:rsidR="00D02DDB">
        <w:t>,</w:t>
      </w:r>
      <w:r w:rsidRPr="006E01E9">
        <w:t xml:space="preserve"> Chorvatsko</w:t>
      </w:r>
    </w:p>
    <w:p w14:paraId="1641ACDB" w14:textId="77777777" w:rsidR="002C367C" w:rsidRPr="006E01E9" w:rsidRDefault="002C367C" w:rsidP="006E01E9">
      <w:pPr>
        <w:pStyle w:val="Zkladntext"/>
        <w:rPr>
          <w:lang w:val="en-GB"/>
        </w:rPr>
      </w:pPr>
    </w:p>
    <w:p w14:paraId="1641ACDC" w14:textId="77777777" w:rsidR="002C367C" w:rsidRPr="006E01E9" w:rsidRDefault="002C367C" w:rsidP="006E01E9">
      <w:pPr>
        <w:pStyle w:val="Zkladntext"/>
        <w:spacing w:before="7"/>
        <w:rPr>
          <w:sz w:val="23"/>
          <w:lang w:val="en-GB"/>
        </w:rPr>
      </w:pPr>
    </w:p>
    <w:p w14:paraId="1641ACDD" w14:textId="77777777" w:rsidR="002C367C" w:rsidRPr="006E01E9" w:rsidRDefault="00EC57B2" w:rsidP="006E01E9">
      <w:pPr>
        <w:pStyle w:val="Nadpis1"/>
        <w:numPr>
          <w:ilvl w:val="0"/>
          <w:numId w:val="2"/>
        </w:numPr>
        <w:tabs>
          <w:tab w:val="left" w:pos="686"/>
        </w:tabs>
      </w:pPr>
      <w:r w:rsidRPr="006E01E9">
        <w:t>NÁZEV VETERINÁRNÍHO LÉČIVÉHO PŘÍPRAVKU</w:t>
      </w:r>
    </w:p>
    <w:p w14:paraId="1641ACDE" w14:textId="77777777" w:rsidR="002C367C" w:rsidRPr="006E01E9" w:rsidRDefault="002C367C" w:rsidP="006E01E9">
      <w:pPr>
        <w:pStyle w:val="Zkladntext"/>
        <w:rPr>
          <w:b/>
          <w:sz w:val="23"/>
          <w:lang w:val="en-GB"/>
        </w:rPr>
      </w:pPr>
    </w:p>
    <w:p w14:paraId="1641ACDF" w14:textId="77777777" w:rsidR="006E01E9" w:rsidRDefault="00EC57B2" w:rsidP="006E01E9">
      <w:pPr>
        <w:pStyle w:val="Zkladntext"/>
        <w:spacing w:before="1" w:line="244" w:lineRule="auto"/>
        <w:ind w:left="685"/>
      </w:pPr>
      <w:r w:rsidRPr="006E01E9">
        <w:rPr>
          <w:b/>
        </w:rPr>
        <w:t>GENOXYTAB</w:t>
      </w:r>
      <w:r w:rsidR="006E01E9" w:rsidRPr="006E01E9">
        <w:rPr>
          <w:b/>
        </w:rPr>
        <w:t xml:space="preserve"> </w:t>
      </w:r>
      <w:r w:rsidRPr="006E01E9">
        <w:rPr>
          <w:b/>
        </w:rPr>
        <w:t xml:space="preserve">F </w:t>
      </w:r>
      <w:r w:rsidRPr="006E01E9">
        <w:t>1 g</w:t>
      </w:r>
      <w:r w:rsidR="006E01E9" w:rsidRPr="006E01E9">
        <w:t xml:space="preserve"> </w:t>
      </w:r>
      <w:r w:rsidRPr="006E01E9">
        <w:t xml:space="preserve">intrauterinní tableta pro krávy </w:t>
      </w:r>
    </w:p>
    <w:p w14:paraId="1641ACE0" w14:textId="77777777" w:rsidR="002C367C" w:rsidRPr="006E01E9" w:rsidRDefault="00EC57B2" w:rsidP="006E01E9">
      <w:pPr>
        <w:pStyle w:val="Zkladntext"/>
        <w:spacing w:before="1" w:line="244" w:lineRule="auto"/>
        <w:ind w:left="685"/>
      </w:pPr>
      <w:r w:rsidRPr="006E01E9">
        <w:t>Oxytetracyclini hydrochloridum</w:t>
      </w:r>
    </w:p>
    <w:p w14:paraId="1641ACE1" w14:textId="77777777" w:rsidR="002C367C" w:rsidRPr="006E01E9" w:rsidRDefault="002C367C" w:rsidP="006E01E9">
      <w:pPr>
        <w:pStyle w:val="Zkladntext"/>
        <w:rPr>
          <w:lang w:val="en-GB"/>
        </w:rPr>
      </w:pPr>
    </w:p>
    <w:p w14:paraId="1641ACE2" w14:textId="77777777" w:rsidR="002C367C" w:rsidRPr="006E01E9" w:rsidRDefault="002C367C" w:rsidP="006E01E9">
      <w:pPr>
        <w:pStyle w:val="Zkladntext"/>
        <w:spacing w:before="7"/>
        <w:rPr>
          <w:sz w:val="23"/>
          <w:lang w:val="en-GB"/>
        </w:rPr>
      </w:pPr>
    </w:p>
    <w:p w14:paraId="1641ACE3" w14:textId="77777777" w:rsidR="002C367C" w:rsidRPr="006E01E9" w:rsidRDefault="00EC57B2" w:rsidP="006E01E9">
      <w:pPr>
        <w:pStyle w:val="Nadpis1"/>
        <w:numPr>
          <w:ilvl w:val="0"/>
          <w:numId w:val="2"/>
        </w:numPr>
        <w:tabs>
          <w:tab w:val="left" w:pos="686"/>
        </w:tabs>
      </w:pPr>
      <w:r w:rsidRPr="006E01E9">
        <w:t>OBSAH LÉČIVÝCH A OSTATNÍCH LÁTEK</w:t>
      </w:r>
    </w:p>
    <w:p w14:paraId="1641ACE4" w14:textId="77777777" w:rsidR="002C367C" w:rsidRPr="006E01E9" w:rsidRDefault="002C367C" w:rsidP="006E01E9">
      <w:pPr>
        <w:pStyle w:val="Zkladntext"/>
        <w:spacing w:before="7"/>
        <w:rPr>
          <w:b/>
          <w:lang w:val="en-GB"/>
        </w:rPr>
      </w:pPr>
    </w:p>
    <w:p w14:paraId="1641ACE5" w14:textId="77777777" w:rsidR="006E01E9" w:rsidRDefault="00EC57B2" w:rsidP="006E01E9">
      <w:pPr>
        <w:spacing w:line="244" w:lineRule="auto"/>
        <w:ind w:left="685"/>
      </w:pPr>
      <w:r w:rsidRPr="006E01E9">
        <w:t xml:space="preserve">Jedna intrauterinní tableta obsahuje: </w:t>
      </w:r>
    </w:p>
    <w:p w14:paraId="1E43B58F" w14:textId="77777777" w:rsidR="00177D77" w:rsidRDefault="00EC57B2" w:rsidP="006E01E9">
      <w:pPr>
        <w:spacing w:line="244" w:lineRule="auto"/>
        <w:ind w:left="685"/>
        <w:rPr>
          <w:b/>
        </w:rPr>
      </w:pPr>
      <w:r w:rsidRPr="006E01E9">
        <w:rPr>
          <w:b/>
        </w:rPr>
        <w:t xml:space="preserve">Léčivá látka: </w:t>
      </w:r>
    </w:p>
    <w:p w14:paraId="1641ACE6" w14:textId="31477AED" w:rsidR="002C367C" w:rsidRPr="006E01E9" w:rsidRDefault="00EC57B2" w:rsidP="006E01E9">
      <w:pPr>
        <w:spacing w:line="244" w:lineRule="auto"/>
        <w:ind w:left="685"/>
      </w:pPr>
      <w:proofErr w:type="spellStart"/>
      <w:r w:rsidRPr="006E01E9">
        <w:t>Oxytetracyclini</w:t>
      </w:r>
      <w:proofErr w:type="spellEnd"/>
      <w:r w:rsidRPr="006E01E9">
        <w:t xml:space="preserve"> </w:t>
      </w:r>
      <w:proofErr w:type="spellStart"/>
      <w:r w:rsidRPr="006E01E9">
        <w:t>hydrochloridum</w:t>
      </w:r>
      <w:proofErr w:type="spellEnd"/>
      <w:r w:rsidRPr="006E01E9">
        <w:t xml:space="preserve"> 1 g</w:t>
      </w:r>
    </w:p>
    <w:p w14:paraId="1641ACE7" w14:textId="77777777" w:rsidR="002C367C" w:rsidRPr="006E01E9" w:rsidRDefault="002C367C" w:rsidP="006E01E9">
      <w:pPr>
        <w:pStyle w:val="Zkladntext"/>
        <w:spacing w:before="7"/>
        <w:rPr>
          <w:lang w:val="en-GB"/>
        </w:rPr>
      </w:pPr>
    </w:p>
    <w:p w14:paraId="1641ACE8" w14:textId="77777777" w:rsidR="002C367C" w:rsidRPr="006E01E9" w:rsidRDefault="00EC57B2" w:rsidP="006E01E9">
      <w:pPr>
        <w:pStyle w:val="Zkladntext"/>
        <w:ind w:left="685"/>
      </w:pPr>
      <w:r w:rsidRPr="006E01E9">
        <w:t>Žluté oválné tablety</w:t>
      </w:r>
    </w:p>
    <w:p w14:paraId="1641ACE9" w14:textId="77777777" w:rsidR="002C367C" w:rsidRPr="006E01E9" w:rsidRDefault="002C367C" w:rsidP="006E01E9">
      <w:pPr>
        <w:pStyle w:val="Zkladntext"/>
        <w:rPr>
          <w:lang w:val="en-GB"/>
        </w:rPr>
      </w:pPr>
    </w:p>
    <w:p w14:paraId="1641ACEA" w14:textId="77777777" w:rsidR="002C367C" w:rsidRPr="006E01E9" w:rsidRDefault="002C367C" w:rsidP="006E01E9">
      <w:pPr>
        <w:pStyle w:val="Zkladntext"/>
        <w:rPr>
          <w:sz w:val="24"/>
          <w:lang w:val="en-GB"/>
        </w:rPr>
      </w:pPr>
    </w:p>
    <w:p w14:paraId="1641ACEB" w14:textId="77777777" w:rsidR="002C367C" w:rsidRPr="006E01E9" w:rsidRDefault="00EC57B2" w:rsidP="006E01E9">
      <w:pPr>
        <w:pStyle w:val="Nadpis1"/>
        <w:numPr>
          <w:ilvl w:val="0"/>
          <w:numId w:val="2"/>
        </w:numPr>
        <w:tabs>
          <w:tab w:val="left" w:pos="686"/>
        </w:tabs>
        <w:spacing w:before="1"/>
      </w:pPr>
      <w:r w:rsidRPr="006E01E9">
        <w:t>INDIKACE</w:t>
      </w:r>
    </w:p>
    <w:p w14:paraId="1641ACEC" w14:textId="77777777" w:rsidR="002C367C" w:rsidRPr="006E01E9" w:rsidRDefault="002C367C" w:rsidP="006E01E9">
      <w:pPr>
        <w:pStyle w:val="Zkladntext"/>
        <w:spacing w:before="6"/>
        <w:rPr>
          <w:b/>
          <w:lang w:val="en-GB"/>
        </w:rPr>
      </w:pPr>
    </w:p>
    <w:p w14:paraId="1641ACED" w14:textId="157B8C86" w:rsidR="002C367C" w:rsidRPr="006E01E9" w:rsidRDefault="00EC57B2" w:rsidP="006E01E9">
      <w:pPr>
        <w:pStyle w:val="Zkladntext"/>
        <w:ind w:left="658"/>
      </w:pPr>
      <w:r w:rsidRPr="006E01E9">
        <w:t xml:space="preserve">Prevence a minimalizace </w:t>
      </w:r>
      <w:r w:rsidR="004A2C53" w:rsidRPr="004A2C53">
        <w:t>rozvoje</w:t>
      </w:r>
      <w:r w:rsidRPr="006E01E9">
        <w:t xml:space="preserve"> metritidy v časném stádiu způsobené vybraným patogeny (jako jsou </w:t>
      </w:r>
      <w:r w:rsidRPr="006E01E9">
        <w:rPr>
          <w:i/>
        </w:rPr>
        <w:t>E.</w:t>
      </w:r>
      <w:r w:rsidR="00981DFC">
        <w:rPr>
          <w:i/>
        </w:rPr>
        <w:t xml:space="preserve"> </w:t>
      </w:r>
      <w:r w:rsidRPr="006E01E9">
        <w:rPr>
          <w:i/>
        </w:rPr>
        <w:t>coli</w:t>
      </w:r>
      <w:r w:rsidRPr="006E01E9">
        <w:t xml:space="preserve">, </w:t>
      </w:r>
      <w:r w:rsidRPr="006E01E9">
        <w:rPr>
          <w:i/>
        </w:rPr>
        <w:t>Streptococcus uberis</w:t>
      </w:r>
      <w:r w:rsidRPr="006E01E9">
        <w:t>, S</w:t>
      </w:r>
      <w:r w:rsidRPr="006E01E9">
        <w:rPr>
          <w:i/>
        </w:rPr>
        <w:t xml:space="preserve">taphylococcus </w:t>
      </w:r>
      <w:r w:rsidRPr="006E01E9">
        <w:t xml:space="preserve">spp.) </w:t>
      </w:r>
      <w:r w:rsidR="004A2C53" w:rsidRPr="004A2C53">
        <w:t>citlivými</w:t>
      </w:r>
      <w:r w:rsidRPr="006E01E9">
        <w:t xml:space="preserve"> k oxytetracyklinu v souvislosti s poporodními poruchami u krav, tj. </w:t>
      </w:r>
      <w:proofErr w:type="spellStart"/>
      <w:r w:rsidRPr="006E01E9">
        <w:t>dystoci</w:t>
      </w:r>
      <w:r w:rsidR="004A2C53">
        <w:t>í</w:t>
      </w:r>
      <w:proofErr w:type="spellEnd"/>
      <w:r w:rsidRPr="006E01E9">
        <w:t>, zadržen</w:t>
      </w:r>
      <w:r w:rsidR="004A2C53" w:rsidRPr="004A2C53">
        <w:t>ím</w:t>
      </w:r>
      <w:r w:rsidRPr="006E01E9">
        <w:t xml:space="preserve"> plodov</w:t>
      </w:r>
      <w:r w:rsidR="004A2C53" w:rsidRPr="004A2C53">
        <w:t>ých obalů</w:t>
      </w:r>
      <w:r w:rsidRPr="006E01E9">
        <w:t>, prolaps</w:t>
      </w:r>
      <w:r w:rsidR="004A2C53">
        <w:t>em</w:t>
      </w:r>
      <w:r w:rsidRPr="006E01E9">
        <w:t xml:space="preserve"> dělohy, </w:t>
      </w:r>
      <w:r w:rsidR="004A2C53" w:rsidRPr="006E01E9">
        <w:t>torz</w:t>
      </w:r>
      <w:r w:rsidR="00981DFC">
        <w:t>í</w:t>
      </w:r>
      <w:r w:rsidRPr="006E01E9">
        <w:t xml:space="preserve">, </w:t>
      </w:r>
      <w:proofErr w:type="spellStart"/>
      <w:r w:rsidRPr="006E01E9">
        <w:t>embryotomi</w:t>
      </w:r>
      <w:r w:rsidR="004A2C53">
        <w:t>í</w:t>
      </w:r>
      <w:proofErr w:type="spellEnd"/>
      <w:r w:rsidRPr="006E01E9">
        <w:t xml:space="preserve"> nebo komplikovan</w:t>
      </w:r>
      <w:r w:rsidR="004A2C53" w:rsidRPr="004A2C53">
        <w:t>ými</w:t>
      </w:r>
      <w:r w:rsidRPr="006E01E9">
        <w:t xml:space="preserve"> porody, </w:t>
      </w:r>
      <w:r w:rsidR="004A2C53" w:rsidRPr="004A2C53">
        <w:t>s poraněními</w:t>
      </w:r>
      <w:r w:rsidRPr="006E01E9">
        <w:t xml:space="preserve"> porodního kanálu.</w:t>
      </w:r>
    </w:p>
    <w:p w14:paraId="1641ACEE" w14:textId="77777777" w:rsidR="002C367C" w:rsidRPr="006E01E9" w:rsidRDefault="002C367C" w:rsidP="006E01E9">
      <w:pPr>
        <w:pStyle w:val="Zkladntext"/>
        <w:rPr>
          <w:lang w:val="en-GB"/>
        </w:rPr>
      </w:pPr>
    </w:p>
    <w:p w14:paraId="1641ACEF" w14:textId="77777777" w:rsidR="002C367C" w:rsidRPr="006E01E9" w:rsidRDefault="002C367C" w:rsidP="006E01E9">
      <w:pPr>
        <w:pStyle w:val="Zkladntext"/>
        <w:spacing w:before="8"/>
        <w:rPr>
          <w:lang w:val="en-GB"/>
        </w:rPr>
      </w:pPr>
    </w:p>
    <w:p w14:paraId="1641ACF0" w14:textId="77777777" w:rsidR="002C367C" w:rsidRPr="006E01E9" w:rsidRDefault="00EC57B2" w:rsidP="006E01E9">
      <w:pPr>
        <w:pStyle w:val="Nadpis1"/>
        <w:numPr>
          <w:ilvl w:val="0"/>
          <w:numId w:val="2"/>
        </w:numPr>
        <w:tabs>
          <w:tab w:val="left" w:pos="686"/>
        </w:tabs>
      </w:pPr>
      <w:r w:rsidRPr="006E01E9">
        <w:t>KONTRAINDIKACE</w:t>
      </w:r>
    </w:p>
    <w:p w14:paraId="1641ACF1" w14:textId="77777777" w:rsidR="002C367C" w:rsidRPr="006E01E9" w:rsidRDefault="002C367C" w:rsidP="006E01E9">
      <w:pPr>
        <w:pStyle w:val="Zkladntext"/>
        <w:spacing w:before="8"/>
        <w:rPr>
          <w:b/>
          <w:lang w:val="en-GB"/>
        </w:rPr>
      </w:pPr>
    </w:p>
    <w:p w14:paraId="1641ACF2" w14:textId="3FCAB491" w:rsidR="004A2C53" w:rsidRDefault="00EC57B2" w:rsidP="006E01E9">
      <w:pPr>
        <w:pStyle w:val="Zkladntext"/>
        <w:spacing w:line="244" w:lineRule="auto"/>
        <w:ind w:left="658"/>
      </w:pPr>
      <w:r w:rsidRPr="006E01E9">
        <w:t xml:space="preserve">Nepoužívat </w:t>
      </w:r>
      <w:r w:rsidR="004A2C53" w:rsidRPr="004A2C53">
        <w:t>u zvířat se známou</w:t>
      </w:r>
      <w:r w:rsidRPr="006E01E9">
        <w:t xml:space="preserve"> přecitlivělost</w:t>
      </w:r>
      <w:r w:rsidR="00981DFC">
        <w:t>í</w:t>
      </w:r>
      <w:r w:rsidRPr="006E01E9">
        <w:t xml:space="preserve"> na tetracykliny nebo na některou z pomocných látek. </w:t>
      </w:r>
    </w:p>
    <w:p w14:paraId="1641ACF3" w14:textId="77777777" w:rsidR="002C367C" w:rsidRPr="006E01E9" w:rsidRDefault="004A2C53" w:rsidP="006E01E9">
      <w:pPr>
        <w:pStyle w:val="Zkladntext"/>
        <w:spacing w:line="244" w:lineRule="auto"/>
        <w:ind w:left="658"/>
      </w:pPr>
      <w:r w:rsidRPr="004A2C53">
        <w:t>Nepoužívat</w:t>
      </w:r>
      <w:r w:rsidR="00EC57B2" w:rsidRPr="006E01E9">
        <w:t xml:space="preserve"> při infekcích způsobených patogeny rezistentními na tetracykliny.</w:t>
      </w:r>
    </w:p>
    <w:p w14:paraId="1641ACF4" w14:textId="77777777" w:rsidR="002C367C" w:rsidRPr="006E01E9" w:rsidRDefault="00E14B42" w:rsidP="006E01E9">
      <w:pPr>
        <w:pStyle w:val="Zkladntext"/>
        <w:spacing w:before="1"/>
        <w:ind w:left="658"/>
      </w:pPr>
      <w:r w:rsidRPr="00E14B42">
        <w:t>Nepoužívat</w:t>
      </w:r>
      <w:r w:rsidRPr="00E14B42" w:rsidDel="00E14B42">
        <w:t xml:space="preserve"> </w:t>
      </w:r>
      <w:r w:rsidR="00EC57B2" w:rsidRPr="006E01E9">
        <w:t>v případě poškození ledvin nebo jater.</w:t>
      </w:r>
    </w:p>
    <w:p w14:paraId="1641ACF5" w14:textId="77777777" w:rsidR="002C367C" w:rsidRPr="00334E8C" w:rsidRDefault="002C367C" w:rsidP="006E01E9">
      <w:pPr>
        <w:pStyle w:val="Zkladntext"/>
      </w:pPr>
    </w:p>
    <w:p w14:paraId="1641ACF6" w14:textId="77777777" w:rsidR="002C367C" w:rsidRPr="00334E8C" w:rsidRDefault="002C367C" w:rsidP="006E01E9">
      <w:pPr>
        <w:pStyle w:val="Zkladntext"/>
        <w:rPr>
          <w:sz w:val="24"/>
        </w:rPr>
      </w:pPr>
    </w:p>
    <w:p w14:paraId="1641ACF7" w14:textId="77777777" w:rsidR="002C367C" w:rsidRPr="006E01E9" w:rsidRDefault="00EC57B2" w:rsidP="006E01E9">
      <w:pPr>
        <w:pStyle w:val="Nadpis1"/>
        <w:numPr>
          <w:ilvl w:val="0"/>
          <w:numId w:val="2"/>
        </w:numPr>
        <w:tabs>
          <w:tab w:val="left" w:pos="686"/>
        </w:tabs>
      </w:pPr>
      <w:r w:rsidRPr="006E01E9">
        <w:t>NEŽÁDOUCÍ ÚČINKY</w:t>
      </w:r>
    </w:p>
    <w:p w14:paraId="1641ACF8" w14:textId="77777777" w:rsidR="002C367C" w:rsidRPr="006E01E9" w:rsidRDefault="002C367C" w:rsidP="006E01E9">
      <w:pPr>
        <w:pStyle w:val="Zkladntext"/>
        <w:spacing w:before="10"/>
        <w:rPr>
          <w:b/>
          <w:lang w:val="en-GB"/>
        </w:rPr>
      </w:pPr>
    </w:p>
    <w:p w14:paraId="1641ACF9" w14:textId="77777777" w:rsidR="002C367C" w:rsidRPr="006E01E9" w:rsidRDefault="00EC57B2" w:rsidP="006E01E9">
      <w:pPr>
        <w:pStyle w:val="Zkladntext"/>
        <w:spacing w:line="244" w:lineRule="auto"/>
        <w:ind w:left="750"/>
      </w:pPr>
      <w:r w:rsidRPr="006E01E9">
        <w:t>Alergické reakce jsou vzácné. V případě alergických nebo anafylaktických reakcí léčbu okamžitě ukončete. V takovém případě je indikováno parenterální podání kortikosteroidů a antihistaminik.</w:t>
      </w:r>
    </w:p>
    <w:p w14:paraId="1641ACFA" w14:textId="77777777" w:rsidR="002C367C" w:rsidRPr="006E01E9" w:rsidRDefault="00EC57B2" w:rsidP="006E01E9">
      <w:pPr>
        <w:pStyle w:val="Zkladntext"/>
        <w:spacing w:line="244" w:lineRule="auto"/>
        <w:ind w:left="750"/>
      </w:pPr>
      <w:r w:rsidRPr="006E01E9">
        <w:t>Jestliže zaznamenáte jakékoliv závažné nežádoucí účinky či jiné reakce, které nejsou uvedeny v této příbalové informaci, oznamte to prosím vašemu veterinárnímu lékaři.</w:t>
      </w:r>
    </w:p>
    <w:p w14:paraId="1641ACFB" w14:textId="77777777" w:rsidR="002C367C" w:rsidRPr="00334E8C" w:rsidRDefault="002C367C" w:rsidP="006E01E9">
      <w:pPr>
        <w:spacing w:line="244" w:lineRule="auto"/>
        <w:sectPr w:rsidR="002C367C" w:rsidRPr="00334E8C">
          <w:pgSz w:w="11910" w:h="16850"/>
          <w:pgMar w:top="1080" w:right="1320" w:bottom="900" w:left="1300" w:header="0" w:footer="702" w:gutter="0"/>
          <w:cols w:space="708"/>
        </w:sectPr>
      </w:pPr>
    </w:p>
    <w:p w14:paraId="1641ACFC" w14:textId="77777777" w:rsidR="002C367C" w:rsidRPr="006E01E9" w:rsidRDefault="00EC57B2" w:rsidP="006E01E9">
      <w:pPr>
        <w:pStyle w:val="Nadpis1"/>
        <w:numPr>
          <w:ilvl w:val="0"/>
          <w:numId w:val="2"/>
        </w:numPr>
        <w:tabs>
          <w:tab w:val="left" w:pos="686"/>
        </w:tabs>
        <w:spacing w:before="60"/>
      </w:pPr>
      <w:r w:rsidRPr="006E01E9">
        <w:lastRenderedPageBreak/>
        <w:t>CÍLOVÝ DRUH ZVÍŘAT</w:t>
      </w:r>
    </w:p>
    <w:p w14:paraId="1641ACFD" w14:textId="77777777" w:rsidR="002C367C" w:rsidRPr="006E01E9" w:rsidRDefault="002C367C" w:rsidP="006E01E9">
      <w:pPr>
        <w:pStyle w:val="Zkladntext"/>
        <w:spacing w:before="8"/>
        <w:rPr>
          <w:b/>
          <w:lang w:val="en-GB"/>
        </w:rPr>
      </w:pPr>
    </w:p>
    <w:p w14:paraId="1641ACFE" w14:textId="77777777" w:rsidR="002C367C" w:rsidRPr="006E01E9" w:rsidRDefault="00EC57B2" w:rsidP="006E01E9">
      <w:pPr>
        <w:pStyle w:val="Zkladntext"/>
        <w:ind w:left="685"/>
      </w:pPr>
      <w:r w:rsidRPr="006E01E9">
        <w:t>Skot (krávy).</w:t>
      </w:r>
    </w:p>
    <w:p w14:paraId="1641ACFF" w14:textId="77777777" w:rsidR="002C367C" w:rsidRPr="006E01E9" w:rsidRDefault="002C367C" w:rsidP="006E01E9">
      <w:pPr>
        <w:pStyle w:val="Zkladntext"/>
        <w:rPr>
          <w:lang w:val="en-GB"/>
        </w:rPr>
      </w:pPr>
    </w:p>
    <w:p w14:paraId="1641AD00" w14:textId="77777777" w:rsidR="002C367C" w:rsidRPr="006E01E9" w:rsidRDefault="002C367C" w:rsidP="006E01E9">
      <w:pPr>
        <w:pStyle w:val="Zkladntext"/>
        <w:rPr>
          <w:sz w:val="24"/>
          <w:lang w:val="en-GB"/>
        </w:rPr>
      </w:pPr>
    </w:p>
    <w:p w14:paraId="1641AD01" w14:textId="77777777" w:rsidR="002C367C" w:rsidRPr="006E01E9" w:rsidRDefault="00EC57B2" w:rsidP="006E01E9">
      <w:pPr>
        <w:pStyle w:val="Nadpis1"/>
        <w:numPr>
          <w:ilvl w:val="0"/>
          <w:numId w:val="2"/>
        </w:numPr>
        <w:tabs>
          <w:tab w:val="left" w:pos="686"/>
        </w:tabs>
      </w:pPr>
      <w:r w:rsidRPr="006E01E9">
        <w:t>DÁVKOVÁNÍ PRO KAŽDÝ DRUH, CESTA(Y) A ZPŮSOB PODÁNÍ</w:t>
      </w:r>
    </w:p>
    <w:p w14:paraId="1641AD02" w14:textId="77777777" w:rsidR="002C367C" w:rsidRPr="006E01E9" w:rsidRDefault="002C367C" w:rsidP="006E01E9">
      <w:pPr>
        <w:pStyle w:val="Zkladntext"/>
        <w:spacing w:before="7"/>
        <w:rPr>
          <w:b/>
          <w:lang w:val="en-GB"/>
        </w:rPr>
      </w:pPr>
    </w:p>
    <w:p w14:paraId="1641AD03" w14:textId="77777777" w:rsidR="002C367C" w:rsidRPr="006E01E9" w:rsidRDefault="00E14B42" w:rsidP="006E01E9">
      <w:pPr>
        <w:pStyle w:val="Zkladntext"/>
        <w:ind w:left="685"/>
      </w:pPr>
      <w:r w:rsidRPr="00E14B42">
        <w:t>Intrauterinní</w:t>
      </w:r>
      <w:r w:rsidR="00EC57B2" w:rsidRPr="006E01E9">
        <w:t xml:space="preserve"> podání.</w:t>
      </w:r>
    </w:p>
    <w:p w14:paraId="1641AD04" w14:textId="77777777" w:rsidR="002C367C" w:rsidRPr="006E01E9" w:rsidRDefault="00EC57B2" w:rsidP="006E01E9">
      <w:pPr>
        <w:pStyle w:val="Zkladntext"/>
        <w:spacing w:before="6"/>
        <w:ind w:left="685"/>
      </w:pPr>
      <w:r w:rsidRPr="006E01E9">
        <w:t>Tableta je určena k zavedení do dutiny děložní. Tabletu nedělte.</w:t>
      </w:r>
    </w:p>
    <w:p w14:paraId="1641AD05" w14:textId="77777777" w:rsidR="002C367C" w:rsidRPr="00334E8C" w:rsidRDefault="002C367C" w:rsidP="006E01E9">
      <w:pPr>
        <w:pStyle w:val="Zkladntext"/>
        <w:rPr>
          <w:sz w:val="23"/>
        </w:rPr>
      </w:pPr>
    </w:p>
    <w:p w14:paraId="1641AD06" w14:textId="6FC2C941" w:rsidR="002C367C" w:rsidRPr="006E01E9" w:rsidRDefault="00EC57B2" w:rsidP="00F61D38">
      <w:pPr>
        <w:pStyle w:val="Zkladntext"/>
        <w:spacing w:before="1" w:line="244" w:lineRule="auto"/>
        <w:ind w:left="750"/>
      </w:pPr>
      <w:r w:rsidRPr="006E01E9">
        <w:t xml:space="preserve">Terapeutická dávka je 2 g </w:t>
      </w:r>
      <w:r w:rsidR="00E14B42" w:rsidRPr="00E14B42">
        <w:t xml:space="preserve">oxytetracyklin </w:t>
      </w:r>
      <w:r w:rsidRPr="006E01E9">
        <w:t>hydrochloridu na léčbu (tj.</w:t>
      </w:r>
      <w:r w:rsidR="00E14B42" w:rsidRPr="00E14B42">
        <w:t xml:space="preserve"> denně</w:t>
      </w:r>
      <w:r w:rsidRPr="006E01E9">
        <w:t xml:space="preserve"> 2 intrauterinní tablety </w:t>
      </w:r>
      <w:r w:rsidR="006E01E9">
        <w:t xml:space="preserve">přípravku </w:t>
      </w:r>
      <w:proofErr w:type="spellStart"/>
      <w:r w:rsidR="006E01E9">
        <w:t>Genoxytab</w:t>
      </w:r>
      <w:proofErr w:type="spellEnd"/>
      <w:r w:rsidRPr="006E01E9">
        <w:t xml:space="preserve"> F</w:t>
      </w:r>
      <w:r w:rsidR="00981DFC">
        <w:t xml:space="preserve"> </w:t>
      </w:r>
      <w:r w:rsidR="00E14B42" w:rsidRPr="00E14B42">
        <w:rPr>
          <w:i/>
        </w:rPr>
        <w:t>pro toto</w:t>
      </w:r>
      <w:r w:rsidRPr="006E01E9">
        <w:t>). Dávku je nutno podávat 3 po sobě jdoucí dny.</w:t>
      </w:r>
    </w:p>
    <w:p w14:paraId="1641AD07" w14:textId="77777777" w:rsidR="002C367C" w:rsidRPr="006E01E9" w:rsidRDefault="002C367C" w:rsidP="006E01E9">
      <w:pPr>
        <w:pStyle w:val="Zkladntext"/>
        <w:rPr>
          <w:lang w:val="en-GB"/>
        </w:rPr>
      </w:pPr>
    </w:p>
    <w:p w14:paraId="1641AD08" w14:textId="77777777" w:rsidR="002C367C" w:rsidRPr="006E01E9" w:rsidRDefault="002C367C" w:rsidP="006E01E9">
      <w:pPr>
        <w:pStyle w:val="Zkladntext"/>
        <w:spacing w:before="7"/>
        <w:rPr>
          <w:sz w:val="23"/>
          <w:lang w:val="en-GB"/>
        </w:rPr>
      </w:pPr>
    </w:p>
    <w:p w14:paraId="1641AD09" w14:textId="77777777" w:rsidR="002C367C" w:rsidRPr="006E01E9" w:rsidRDefault="00EC57B2" w:rsidP="006E01E9">
      <w:pPr>
        <w:pStyle w:val="Nadpis1"/>
        <w:numPr>
          <w:ilvl w:val="0"/>
          <w:numId w:val="2"/>
        </w:numPr>
        <w:tabs>
          <w:tab w:val="left" w:pos="686"/>
        </w:tabs>
      </w:pPr>
      <w:r w:rsidRPr="006E01E9">
        <w:t>POKYNY PRO SPRÁVNÉ PODÁNÍ</w:t>
      </w:r>
    </w:p>
    <w:p w14:paraId="1641AD0A" w14:textId="77777777" w:rsidR="002C367C" w:rsidRPr="006E01E9" w:rsidRDefault="002C367C" w:rsidP="006E01E9">
      <w:pPr>
        <w:pStyle w:val="Zkladntext"/>
        <w:spacing w:before="8"/>
        <w:rPr>
          <w:b/>
          <w:lang w:val="en-GB"/>
        </w:rPr>
      </w:pPr>
    </w:p>
    <w:p w14:paraId="1641AD0B" w14:textId="77777777" w:rsidR="002C367C" w:rsidRPr="006E01E9" w:rsidRDefault="00EC57B2" w:rsidP="006E01E9">
      <w:pPr>
        <w:pStyle w:val="Zkladntext"/>
        <w:spacing w:line="244" w:lineRule="auto"/>
        <w:ind w:left="750"/>
      </w:pPr>
      <w:r w:rsidRPr="006E01E9">
        <w:t xml:space="preserve">Protože je </w:t>
      </w:r>
      <w:r w:rsidR="006E01E9">
        <w:t xml:space="preserve">přípravek </w:t>
      </w:r>
      <w:proofErr w:type="spellStart"/>
      <w:r w:rsidRPr="006E01E9">
        <w:t>Genoxytab</w:t>
      </w:r>
      <w:proofErr w:type="spellEnd"/>
      <w:r w:rsidRPr="006E01E9">
        <w:t xml:space="preserve"> F pěnivá tableta a produkuje minimálně 1500 ml pěny na tabletu, k zahájení tvorby pěny je nutná přítomnost tekutiny. Pokud děloha tekutinu neobsahuje, nebo je obsah tekutiny malý, podejte sterilním katétrem infuzi 200 až 400 ml čisté převařené vody před zavedením tablet. Když bude naopak děloha plná tekutiny, doporučuje se odstranit část </w:t>
      </w:r>
      <w:proofErr w:type="spellStart"/>
      <w:r w:rsidRPr="006E01E9">
        <w:t>očistků</w:t>
      </w:r>
      <w:proofErr w:type="spellEnd"/>
      <w:r w:rsidRPr="006E01E9">
        <w:t xml:space="preserve"> rektální masáží před léčbou.</w:t>
      </w:r>
    </w:p>
    <w:p w14:paraId="1641AD0C" w14:textId="77777777" w:rsidR="002C367C" w:rsidRPr="00334E8C" w:rsidRDefault="002C367C" w:rsidP="006E01E9">
      <w:pPr>
        <w:pStyle w:val="Zkladntext"/>
      </w:pPr>
    </w:p>
    <w:p w14:paraId="1641AD0D" w14:textId="77777777" w:rsidR="002C367C" w:rsidRPr="00334E8C" w:rsidRDefault="002C367C" w:rsidP="006E01E9">
      <w:pPr>
        <w:pStyle w:val="Zkladntext"/>
        <w:spacing w:before="7"/>
        <w:rPr>
          <w:sz w:val="23"/>
        </w:rPr>
      </w:pPr>
    </w:p>
    <w:p w14:paraId="1641AD0E" w14:textId="5E9D8D6D" w:rsidR="002C367C" w:rsidRPr="006E01E9" w:rsidRDefault="00EC57B2" w:rsidP="006E01E9">
      <w:pPr>
        <w:pStyle w:val="Nadpis1"/>
        <w:numPr>
          <w:ilvl w:val="0"/>
          <w:numId w:val="2"/>
        </w:numPr>
        <w:tabs>
          <w:tab w:val="left" w:pos="686"/>
        </w:tabs>
      </w:pPr>
      <w:r w:rsidRPr="006E01E9">
        <w:t>OCHRANNÁ</w:t>
      </w:r>
      <w:r w:rsidR="00287217">
        <w:t>(É)</w:t>
      </w:r>
      <w:r w:rsidRPr="006E01E9">
        <w:t xml:space="preserve"> LHŮTA</w:t>
      </w:r>
      <w:r w:rsidR="00287217">
        <w:t>(Y)</w:t>
      </w:r>
    </w:p>
    <w:p w14:paraId="1641AD0F" w14:textId="77777777" w:rsidR="002C367C" w:rsidRPr="006E01E9" w:rsidRDefault="002C367C" w:rsidP="006E01E9">
      <w:pPr>
        <w:pStyle w:val="Zkladntext"/>
        <w:spacing w:before="7"/>
        <w:rPr>
          <w:b/>
          <w:lang w:val="en-GB"/>
        </w:rPr>
      </w:pPr>
    </w:p>
    <w:p w14:paraId="1641AD10" w14:textId="77777777" w:rsidR="00B335FF" w:rsidRDefault="00EC57B2" w:rsidP="006E01E9">
      <w:pPr>
        <w:pStyle w:val="Zkladntext"/>
        <w:spacing w:line="244" w:lineRule="auto"/>
        <w:ind w:left="658"/>
      </w:pPr>
      <w:r w:rsidRPr="006E01E9">
        <w:t xml:space="preserve">Maso: 7 dnů </w:t>
      </w:r>
    </w:p>
    <w:p w14:paraId="1641AD11" w14:textId="77777777" w:rsidR="002C367C" w:rsidRPr="006E01E9" w:rsidRDefault="00EC57B2" w:rsidP="006E01E9">
      <w:pPr>
        <w:pStyle w:val="Zkladntext"/>
        <w:spacing w:line="244" w:lineRule="auto"/>
        <w:ind w:left="658"/>
      </w:pPr>
      <w:r w:rsidRPr="006E01E9">
        <w:t>Mléko: 5 dnů (120 hodin)</w:t>
      </w:r>
    </w:p>
    <w:p w14:paraId="1641AD12" w14:textId="77777777" w:rsidR="002C367C" w:rsidRPr="006E01E9" w:rsidRDefault="002C367C" w:rsidP="006E01E9">
      <w:pPr>
        <w:pStyle w:val="Zkladntext"/>
        <w:rPr>
          <w:lang w:val="en-GB"/>
        </w:rPr>
      </w:pPr>
    </w:p>
    <w:p w14:paraId="1641AD13" w14:textId="77777777" w:rsidR="002C367C" w:rsidRPr="006E01E9" w:rsidRDefault="002C367C" w:rsidP="006E01E9">
      <w:pPr>
        <w:pStyle w:val="Zkladntext"/>
        <w:spacing w:before="7"/>
        <w:rPr>
          <w:sz w:val="23"/>
          <w:lang w:val="en-GB"/>
        </w:rPr>
      </w:pPr>
    </w:p>
    <w:p w14:paraId="1641AD14" w14:textId="77777777" w:rsidR="002C367C" w:rsidRPr="006E01E9" w:rsidRDefault="00EC57B2" w:rsidP="006E01E9">
      <w:pPr>
        <w:pStyle w:val="Nadpis1"/>
        <w:numPr>
          <w:ilvl w:val="0"/>
          <w:numId w:val="2"/>
        </w:numPr>
        <w:tabs>
          <w:tab w:val="left" w:pos="686"/>
        </w:tabs>
      </w:pPr>
      <w:r w:rsidRPr="006E01E9">
        <w:t>ZVLÁŠTNÍ OPATŘENÍ PRO UCHOVÁVÁNÍ</w:t>
      </w:r>
    </w:p>
    <w:p w14:paraId="1641AD15" w14:textId="1797944F" w:rsidR="00E14B42" w:rsidRDefault="00EC57B2" w:rsidP="006E01E9">
      <w:pPr>
        <w:pStyle w:val="Zkladntext"/>
        <w:spacing w:before="40" w:line="532" w:lineRule="exact"/>
        <w:ind w:left="658" w:firstLine="26"/>
      </w:pPr>
      <w:r w:rsidRPr="006E01E9">
        <w:t>Uchovávat mimo do</w:t>
      </w:r>
      <w:r w:rsidR="00DB7D5E">
        <w:t>hled a do</w:t>
      </w:r>
      <w:r w:rsidRPr="006E01E9">
        <w:t xml:space="preserve">sah dětí. </w:t>
      </w:r>
    </w:p>
    <w:p w14:paraId="1641AD16" w14:textId="77777777" w:rsidR="002C367C" w:rsidRPr="006E01E9" w:rsidRDefault="00EC57B2" w:rsidP="006E01E9">
      <w:pPr>
        <w:pStyle w:val="Zkladntext"/>
        <w:spacing w:before="40" w:line="532" w:lineRule="exact"/>
        <w:ind w:left="658" w:firstLine="26"/>
      </w:pPr>
      <w:r w:rsidRPr="006E01E9">
        <w:t>Uchovávejte při teplotě do 25</w:t>
      </w:r>
      <w:r w:rsidR="006E01E9">
        <w:t> °</w:t>
      </w:r>
      <w:r w:rsidRPr="006E01E9">
        <w:t>C.</w:t>
      </w:r>
    </w:p>
    <w:p w14:paraId="1641AD17" w14:textId="77777777" w:rsidR="002C367C" w:rsidRPr="006E01E9" w:rsidRDefault="00EC57B2" w:rsidP="006E01E9">
      <w:pPr>
        <w:pStyle w:val="Zkladntext"/>
        <w:spacing w:line="200" w:lineRule="exact"/>
        <w:ind w:left="658"/>
      </w:pPr>
      <w:r w:rsidRPr="006E01E9">
        <w:t xml:space="preserve">Uchovávejte v původním obalu, aby byl </w:t>
      </w:r>
      <w:r w:rsidR="00E14B42" w:rsidRPr="00E14B42">
        <w:t xml:space="preserve">přípravek </w:t>
      </w:r>
      <w:r w:rsidRPr="006E01E9">
        <w:t>chráněn před světlem.</w:t>
      </w:r>
    </w:p>
    <w:p w14:paraId="1641AD18" w14:textId="77777777" w:rsidR="002C367C" w:rsidRPr="00334E8C" w:rsidRDefault="002C367C" w:rsidP="006E01E9">
      <w:pPr>
        <w:pStyle w:val="Zkladntext"/>
        <w:rPr>
          <w:sz w:val="23"/>
        </w:rPr>
      </w:pPr>
    </w:p>
    <w:p w14:paraId="1641AD19" w14:textId="5E7DE7E1" w:rsidR="002C367C" w:rsidRPr="006E01E9" w:rsidRDefault="00EC57B2" w:rsidP="006E01E9">
      <w:pPr>
        <w:pStyle w:val="Zkladntext"/>
        <w:spacing w:before="1" w:line="244" w:lineRule="auto"/>
        <w:ind w:left="658"/>
      </w:pPr>
      <w:r w:rsidRPr="006E01E9">
        <w:t xml:space="preserve">Nepoužívejte tento veterinární léčivý přípravek po uplynutí doby použitelnosti uvedené na </w:t>
      </w:r>
      <w:proofErr w:type="spellStart"/>
      <w:r w:rsidRPr="006E01E9">
        <w:t>stripu</w:t>
      </w:r>
      <w:proofErr w:type="spellEnd"/>
      <w:r w:rsidRPr="006E01E9">
        <w:t xml:space="preserve"> </w:t>
      </w:r>
      <w:r w:rsidR="00E20091">
        <w:t>po</w:t>
      </w:r>
      <w:r w:rsidR="00E20091" w:rsidRPr="006E01E9">
        <w:t xml:space="preserve"> </w:t>
      </w:r>
      <w:r w:rsidRPr="006E01E9">
        <w:t>EXP.</w:t>
      </w:r>
    </w:p>
    <w:p w14:paraId="1641AD1A" w14:textId="77777777" w:rsidR="002C367C" w:rsidRPr="00334E8C" w:rsidRDefault="002C367C" w:rsidP="006E01E9">
      <w:pPr>
        <w:pStyle w:val="Zkladntext"/>
        <w:spacing w:before="7"/>
      </w:pPr>
    </w:p>
    <w:p w14:paraId="1641AD1B" w14:textId="77777777" w:rsidR="002C367C" w:rsidRPr="006E01E9" w:rsidRDefault="00EC57B2" w:rsidP="006E01E9">
      <w:pPr>
        <w:pStyle w:val="Zkladntext"/>
        <w:ind w:left="658"/>
      </w:pPr>
      <w:r w:rsidRPr="006E01E9">
        <w:t xml:space="preserve">Doba použitelnosti po prvním otevření vnitřního obalu: </w:t>
      </w:r>
      <w:r w:rsidR="00E14B42" w:rsidRPr="00E14B42">
        <w:t>spotřebujte</w:t>
      </w:r>
      <w:r w:rsidRPr="006E01E9">
        <w:t xml:space="preserve"> ihned</w:t>
      </w:r>
      <w:r w:rsidR="00E14B42">
        <w:t>.</w:t>
      </w:r>
    </w:p>
    <w:p w14:paraId="1641AD1C" w14:textId="77777777" w:rsidR="002C367C" w:rsidRPr="00334E8C" w:rsidRDefault="002C367C" w:rsidP="006E01E9">
      <w:pPr>
        <w:pStyle w:val="Zkladntext"/>
      </w:pPr>
    </w:p>
    <w:p w14:paraId="1641AD1D" w14:textId="77777777" w:rsidR="002C367C" w:rsidRPr="00334E8C" w:rsidRDefault="002C367C" w:rsidP="006E01E9">
      <w:pPr>
        <w:pStyle w:val="Zkladntext"/>
        <w:spacing w:before="1"/>
        <w:rPr>
          <w:sz w:val="24"/>
        </w:rPr>
      </w:pPr>
    </w:p>
    <w:p w14:paraId="1641AD1E" w14:textId="77777777" w:rsidR="002C367C" w:rsidRPr="006E01E9" w:rsidRDefault="00EC57B2" w:rsidP="006E01E9">
      <w:pPr>
        <w:pStyle w:val="Nadpis1"/>
        <w:numPr>
          <w:ilvl w:val="0"/>
          <w:numId w:val="2"/>
        </w:numPr>
        <w:tabs>
          <w:tab w:val="left" w:pos="686"/>
        </w:tabs>
      </w:pPr>
      <w:r w:rsidRPr="006E01E9">
        <w:t>ZVLÁŠTNÍ UPOZORNĚNÍ</w:t>
      </w:r>
    </w:p>
    <w:p w14:paraId="1641AD1F" w14:textId="77777777" w:rsidR="002C367C" w:rsidRPr="006E01E9" w:rsidRDefault="002C367C" w:rsidP="006E01E9">
      <w:pPr>
        <w:pStyle w:val="Zkladntext"/>
        <w:spacing w:before="7"/>
        <w:rPr>
          <w:b/>
          <w:lang w:val="en-GB"/>
        </w:rPr>
      </w:pPr>
    </w:p>
    <w:p w14:paraId="1641AD20" w14:textId="77777777" w:rsidR="002C367C" w:rsidRPr="006E01E9" w:rsidRDefault="00EC57B2" w:rsidP="006E01E9">
      <w:pPr>
        <w:pStyle w:val="Zkladntext"/>
        <w:ind w:left="685"/>
      </w:pPr>
      <w:r w:rsidRPr="006E01E9">
        <w:rPr>
          <w:u w:val="single"/>
        </w:rPr>
        <w:t>Zvláštní opatření pro použití u zvířat</w:t>
      </w:r>
    </w:p>
    <w:p w14:paraId="1641AD21" w14:textId="1F358E56" w:rsidR="002C367C" w:rsidRPr="006E01E9" w:rsidRDefault="00EC57B2" w:rsidP="00E14B42">
      <w:pPr>
        <w:pStyle w:val="Zkladntext"/>
        <w:spacing w:before="8" w:line="244" w:lineRule="auto"/>
        <w:ind w:left="750"/>
      </w:pPr>
      <w:r w:rsidRPr="006E01E9">
        <w:t xml:space="preserve">Veterinárním léčivým přípravkem je intrauterinní tableta, </w:t>
      </w:r>
      <w:r w:rsidR="00E14B42" w:rsidRPr="00E14B42">
        <w:t>která není určena k perorálnímu podání.</w:t>
      </w:r>
      <w:r w:rsidR="00E14B42" w:rsidRPr="00E14B42" w:rsidDel="00E14B42">
        <w:t xml:space="preserve"> </w:t>
      </w:r>
      <w:r w:rsidRPr="006E01E9">
        <w:t xml:space="preserve">Malá tableta obsahující křemičitý gel slouží jako </w:t>
      </w:r>
      <w:r w:rsidR="00E14B42" w:rsidRPr="00E14B42">
        <w:t>desikant zamezující navlhnutí,</w:t>
      </w:r>
      <w:r w:rsidRPr="006E01E9">
        <w:t xml:space="preserve"> a není určena k </w:t>
      </w:r>
      <w:r w:rsidR="00E14B42" w:rsidRPr="00E14B42">
        <w:t>podání zvířeti.</w:t>
      </w:r>
      <w:r w:rsidRPr="006E01E9">
        <w:t xml:space="preserve"> Při zavádění intrauterinních tablet dbejte na to, abyste nezpůsobili další infekce. Proto si před podáním důkladně omyjte ruce. Při podávání přípravku se doporučuje používat čisté veterinární vyšetřovací rukavice. Před umístěním tablety do dělohy, je nutné důkladně omýt vulvu a oblast perinea zvířete, dezinfikovat je nedráždivým roztokem a vysušit jednorázovým papírovým tampónem.</w:t>
      </w:r>
    </w:p>
    <w:p w14:paraId="1641AD22" w14:textId="77777777" w:rsidR="002C367C" w:rsidRPr="006E01E9" w:rsidRDefault="00EC57B2" w:rsidP="006E01E9">
      <w:pPr>
        <w:pStyle w:val="Zkladntext"/>
        <w:spacing w:line="247" w:lineRule="auto"/>
        <w:ind w:left="750"/>
      </w:pPr>
      <w:r w:rsidRPr="006E01E9">
        <w:t xml:space="preserve">Je nutno dbát na zajištění pečlivého sledování zdravotního stavu zvířat a na </w:t>
      </w:r>
      <w:r w:rsidR="00C46620" w:rsidRPr="00C46620">
        <w:t>základě důkladného klinického vyšetření, buď podat přípravek preventivně</w:t>
      </w:r>
      <w:r w:rsidRPr="006E01E9">
        <w:t>, a</w:t>
      </w:r>
      <w:r w:rsidR="00C46620">
        <w:t>/</w:t>
      </w:r>
      <w:r w:rsidRPr="006E01E9">
        <w:t>nebo právě v časném stádiu infekce.</w:t>
      </w:r>
    </w:p>
    <w:p w14:paraId="1641AD23" w14:textId="77777777" w:rsidR="002C367C" w:rsidRPr="00334E8C" w:rsidRDefault="002C367C" w:rsidP="006E01E9">
      <w:pPr>
        <w:spacing w:line="247" w:lineRule="auto"/>
        <w:sectPr w:rsidR="002C367C" w:rsidRPr="00334E8C">
          <w:pgSz w:w="11910" w:h="16850"/>
          <w:pgMar w:top="1080" w:right="1300" w:bottom="900" w:left="1300" w:header="0" w:footer="702" w:gutter="0"/>
          <w:cols w:space="708"/>
        </w:sectPr>
      </w:pPr>
    </w:p>
    <w:p w14:paraId="1641AD24" w14:textId="64A24CC9" w:rsidR="002C367C" w:rsidRPr="006E01E9" w:rsidRDefault="00C46620" w:rsidP="006E01E9">
      <w:pPr>
        <w:pStyle w:val="Zkladntext"/>
        <w:spacing w:before="55" w:line="244" w:lineRule="auto"/>
        <w:ind w:left="750"/>
      </w:pPr>
      <w:r w:rsidRPr="00C46620">
        <w:lastRenderedPageBreak/>
        <w:t>Z důvodu prokázané vysoké regionální i časové proměnlivosti citlivosti hlavních cílových patogenů je nutné používat veterinární léčivý přípravek na základě testování citlivosti, tj. v souladu s historií stanovené citlivosti patogenů vyvolávajících metritidy v příslušném stádu, při respektování zásad racionálního použití antimikrobik stanoveného oficiálními a národními antibiotickými politikami.</w:t>
      </w:r>
      <w:r w:rsidRPr="00C46620" w:rsidDel="00C46620">
        <w:t xml:space="preserve"> </w:t>
      </w:r>
      <w:r w:rsidR="00014F19" w:rsidRPr="006E01E9">
        <w:t>Použití přípravku se nedoporučuje ve stádech</w:t>
      </w:r>
      <w:r w:rsidR="00014F19">
        <w:t xml:space="preserve"> s vysokou incidencí bakteriálních patogenů (zvláště </w:t>
      </w:r>
      <w:proofErr w:type="spellStart"/>
      <w:r w:rsidR="00014F19" w:rsidRPr="006E01E9">
        <w:rPr>
          <w:i/>
        </w:rPr>
        <w:t>Trueperella</w:t>
      </w:r>
      <w:proofErr w:type="spellEnd"/>
      <w:r w:rsidR="00014F19" w:rsidRPr="006E01E9">
        <w:rPr>
          <w:i/>
        </w:rPr>
        <w:t xml:space="preserve"> </w:t>
      </w:r>
      <w:proofErr w:type="spellStart"/>
      <w:r w:rsidR="00014F19" w:rsidRPr="006E01E9">
        <w:rPr>
          <w:i/>
        </w:rPr>
        <w:t>pyogenes</w:t>
      </w:r>
      <w:proofErr w:type="spellEnd"/>
      <w:r w:rsidR="00014F19" w:rsidRPr="006E01E9">
        <w:t xml:space="preserve">, </w:t>
      </w:r>
      <w:proofErr w:type="spellStart"/>
      <w:r w:rsidR="00014F19" w:rsidRPr="006E01E9">
        <w:rPr>
          <w:i/>
        </w:rPr>
        <w:t>Fusobacterium</w:t>
      </w:r>
      <w:proofErr w:type="spellEnd"/>
      <w:r w:rsidR="00014F19" w:rsidRPr="006E01E9">
        <w:rPr>
          <w:i/>
        </w:rPr>
        <w:t xml:space="preserve"> </w:t>
      </w:r>
      <w:proofErr w:type="spellStart"/>
      <w:r w:rsidR="00014F19" w:rsidRPr="006E01E9">
        <w:rPr>
          <w:i/>
        </w:rPr>
        <w:t>necrophorum</w:t>
      </w:r>
      <w:proofErr w:type="spellEnd"/>
      <w:r w:rsidR="00014F19" w:rsidRPr="006E01E9">
        <w:rPr>
          <w:i/>
        </w:rPr>
        <w:t xml:space="preserve"> </w:t>
      </w:r>
      <w:r w:rsidR="00014F19" w:rsidRPr="006E01E9">
        <w:t xml:space="preserve">a </w:t>
      </w:r>
      <w:proofErr w:type="spellStart"/>
      <w:r w:rsidR="00014F19" w:rsidRPr="006E01E9">
        <w:rPr>
          <w:i/>
        </w:rPr>
        <w:t>Prevotella</w:t>
      </w:r>
      <w:proofErr w:type="spellEnd"/>
      <w:r w:rsidR="00014F19" w:rsidRPr="006E01E9">
        <w:rPr>
          <w:i/>
        </w:rPr>
        <w:t xml:space="preserve"> </w:t>
      </w:r>
      <w:proofErr w:type="spellStart"/>
      <w:r w:rsidR="00014F19" w:rsidRPr="006E01E9">
        <w:rPr>
          <w:i/>
        </w:rPr>
        <w:t>melaninogenica</w:t>
      </w:r>
      <w:proofErr w:type="spellEnd"/>
      <w:r w:rsidR="00014F19" w:rsidRPr="006E01E9">
        <w:t>) s</w:t>
      </w:r>
      <w:r>
        <w:t> </w:t>
      </w:r>
      <w:r w:rsidR="00014F19" w:rsidRPr="006E01E9">
        <w:t>vysokou</w:t>
      </w:r>
      <w:r>
        <w:t>,</w:t>
      </w:r>
      <w:r w:rsidR="00014F19">
        <w:t xml:space="preserve"> již dříve</w:t>
      </w:r>
      <w:r w:rsidR="00014F19" w:rsidRPr="006E01E9">
        <w:t xml:space="preserve"> prokázanou mírou rezistence</w:t>
      </w:r>
      <w:r w:rsidR="00014F19">
        <w:t xml:space="preserve"> </w:t>
      </w:r>
      <w:r>
        <w:t xml:space="preserve">k </w:t>
      </w:r>
      <w:r w:rsidR="00014F19">
        <w:t>tetracyklin</w:t>
      </w:r>
      <w:r w:rsidR="00981DFC">
        <w:t>u</w:t>
      </w:r>
      <w:r w:rsidR="00014F19">
        <w:t xml:space="preserve">. </w:t>
      </w:r>
    </w:p>
    <w:p w14:paraId="1641AD25" w14:textId="77777777" w:rsidR="002C367C" w:rsidRPr="006E01E9" w:rsidRDefault="00EC57B2" w:rsidP="006E01E9">
      <w:pPr>
        <w:pStyle w:val="Zkladntext"/>
        <w:spacing w:before="1" w:line="244" w:lineRule="auto"/>
        <w:ind w:left="685"/>
      </w:pPr>
      <w:r w:rsidRPr="006E01E9">
        <w:t xml:space="preserve">Je zapotřebí používat všechny dostupné nástroje založené na správné klinické a správné </w:t>
      </w:r>
      <w:r w:rsidR="00C46620" w:rsidRPr="00C46620">
        <w:t>chovatelské</w:t>
      </w:r>
      <w:r w:rsidRPr="006E01E9">
        <w:t xml:space="preserve"> praxi, </w:t>
      </w:r>
      <w:r w:rsidR="00C46620" w:rsidRPr="00C46620">
        <w:t>které zabrání nadužívání přípravku.</w:t>
      </w:r>
    </w:p>
    <w:p w14:paraId="1641AD26" w14:textId="77777777" w:rsidR="002C367C" w:rsidRPr="006E01E9" w:rsidRDefault="00EC57B2" w:rsidP="006E01E9">
      <w:pPr>
        <w:pStyle w:val="Zkladntext"/>
        <w:spacing w:before="1" w:line="244" w:lineRule="auto"/>
        <w:ind w:left="685"/>
      </w:pPr>
      <w:r w:rsidRPr="006E01E9">
        <w:t xml:space="preserve">Mlékem z léčených krav nekrmte telata kvůli potenciální selekci rezistence </w:t>
      </w:r>
      <w:r w:rsidR="00C46620" w:rsidRPr="00C46620">
        <w:t xml:space="preserve">u mikroorganizmů střevního </w:t>
      </w:r>
      <w:proofErr w:type="spellStart"/>
      <w:r w:rsidR="00C46620" w:rsidRPr="00C46620">
        <w:t>mikrobiomu</w:t>
      </w:r>
      <w:proofErr w:type="spellEnd"/>
      <w:r w:rsidRPr="006E01E9">
        <w:t xml:space="preserve"> telat (nižší než minimální inhibiční koncentrace v rámci </w:t>
      </w:r>
      <w:proofErr w:type="spellStart"/>
      <w:r w:rsidR="00C46620" w:rsidRPr="00C46620">
        <w:t>mutačně­selekčního</w:t>
      </w:r>
      <w:proofErr w:type="spellEnd"/>
      <w:r w:rsidR="00C46620" w:rsidRPr="00C46620">
        <w:t xml:space="preserve"> </w:t>
      </w:r>
      <w:r w:rsidRPr="006E01E9">
        <w:t>okna).</w:t>
      </w:r>
    </w:p>
    <w:p w14:paraId="1641AD27" w14:textId="77777777" w:rsidR="002C367C" w:rsidRPr="00334E8C" w:rsidRDefault="002C367C" w:rsidP="006E01E9">
      <w:pPr>
        <w:pStyle w:val="Zkladntext"/>
        <w:spacing w:before="7"/>
      </w:pPr>
    </w:p>
    <w:p w14:paraId="1641AD28" w14:textId="2D216208" w:rsidR="002C367C" w:rsidRPr="006E01E9" w:rsidRDefault="00EC57B2" w:rsidP="00334E8C">
      <w:pPr>
        <w:pStyle w:val="Zkladntext"/>
        <w:keepNext/>
        <w:widowControl/>
        <w:spacing w:line="245" w:lineRule="auto"/>
        <w:ind w:left="686"/>
      </w:pPr>
      <w:r w:rsidRPr="006E01E9">
        <w:rPr>
          <w:u w:val="single"/>
        </w:rPr>
        <w:t>Zvláštní opatření určené osobám, které podávají veterinární léčivý přípravek zvířatům</w:t>
      </w:r>
      <w:r w:rsidR="00DB7D5E">
        <w:rPr>
          <w:u w:val="single"/>
        </w:rPr>
        <w:t>:</w:t>
      </w:r>
    </w:p>
    <w:p w14:paraId="1641AD29" w14:textId="77777777" w:rsidR="002C367C" w:rsidRPr="006E01E9" w:rsidRDefault="00EC57B2" w:rsidP="00334E8C">
      <w:pPr>
        <w:pStyle w:val="Zkladntext"/>
        <w:spacing w:before="2"/>
        <w:ind w:left="750"/>
        <w:jc w:val="both"/>
      </w:pPr>
      <w:r w:rsidRPr="006E01E9">
        <w:t xml:space="preserve">Při nakládání s přípravkem zabraňte přímému </w:t>
      </w:r>
      <w:r w:rsidR="00A328AD" w:rsidRPr="00A328AD">
        <w:t>kontaktu</w:t>
      </w:r>
      <w:r w:rsidRPr="006E01E9">
        <w:t xml:space="preserve"> s kůží, </w:t>
      </w:r>
      <w:r w:rsidR="00A328AD" w:rsidRPr="00A328AD">
        <w:t>očima a</w:t>
      </w:r>
      <w:r w:rsidRPr="006E01E9">
        <w:t xml:space="preserve"> sliznicemi.</w:t>
      </w:r>
    </w:p>
    <w:p w14:paraId="1641AD2A" w14:textId="77777777" w:rsidR="002C367C" w:rsidRPr="006E01E9" w:rsidRDefault="00EC57B2" w:rsidP="00334E8C">
      <w:pPr>
        <w:pStyle w:val="Zkladntext"/>
        <w:spacing w:before="6" w:line="244" w:lineRule="auto"/>
        <w:ind w:left="750"/>
        <w:jc w:val="both"/>
      </w:pPr>
      <w:r w:rsidRPr="006E01E9">
        <w:t>Lidé se známou přecitlivělostí na oxytetracyklin by se měli vyhnout kontaktu s veterinárním léčivým přípravkem.</w:t>
      </w:r>
    </w:p>
    <w:p w14:paraId="1641AD2B" w14:textId="2F0AFDB7" w:rsidR="002C367C" w:rsidRPr="006E01E9" w:rsidRDefault="00EC57B2" w:rsidP="00334E8C">
      <w:pPr>
        <w:pStyle w:val="Zkladntext"/>
        <w:spacing w:before="1"/>
        <w:ind w:left="750"/>
        <w:jc w:val="both"/>
      </w:pPr>
      <w:r w:rsidRPr="006E01E9">
        <w:t xml:space="preserve">Při nakládání s veterinárním léčivým přípravkem </w:t>
      </w:r>
      <w:r w:rsidR="00DB7D5E">
        <w:t>noste</w:t>
      </w:r>
      <w:r w:rsidR="00D13410">
        <w:t xml:space="preserve"> </w:t>
      </w:r>
      <w:bookmarkStart w:id="0" w:name="_GoBack"/>
      <w:bookmarkEnd w:id="0"/>
      <w:r w:rsidRPr="006E01E9">
        <w:t>ochranné rukavice.</w:t>
      </w:r>
    </w:p>
    <w:p w14:paraId="1641AD2C" w14:textId="77777777" w:rsidR="002C367C" w:rsidRPr="006E01E9" w:rsidRDefault="00EC57B2" w:rsidP="00334E8C">
      <w:pPr>
        <w:pStyle w:val="Zkladntext"/>
        <w:spacing w:before="6" w:line="244" w:lineRule="auto"/>
        <w:ind w:left="750"/>
        <w:jc w:val="both"/>
      </w:pPr>
      <w:r w:rsidRPr="006E01E9">
        <w:t xml:space="preserve">V případě náhodného </w:t>
      </w:r>
      <w:r w:rsidR="00A328AD" w:rsidRPr="00A328AD">
        <w:t>kontaktu</w:t>
      </w:r>
      <w:r w:rsidRPr="006E01E9">
        <w:t xml:space="preserve"> u citlivých osob vyhledejte ihned lékařskou pomoc a ukažte příbalovou informaci nebo etiketu praktickému lékaři.</w:t>
      </w:r>
    </w:p>
    <w:p w14:paraId="1641AD2D" w14:textId="77777777" w:rsidR="002C367C" w:rsidRPr="006E01E9" w:rsidRDefault="00EC57B2" w:rsidP="00334E8C">
      <w:pPr>
        <w:pStyle w:val="Zkladntext"/>
        <w:spacing w:before="1"/>
        <w:ind w:left="740"/>
        <w:jc w:val="both"/>
      </w:pPr>
      <w:r w:rsidRPr="006E01E9">
        <w:t>Po použití si umyjte ruce.</w:t>
      </w:r>
    </w:p>
    <w:p w14:paraId="1641AD2E" w14:textId="77777777" w:rsidR="002C367C" w:rsidRPr="00334E8C" w:rsidRDefault="002C367C" w:rsidP="006E01E9">
      <w:pPr>
        <w:pStyle w:val="Zkladntext"/>
        <w:rPr>
          <w:sz w:val="23"/>
        </w:rPr>
      </w:pPr>
    </w:p>
    <w:p w14:paraId="1641AD2F" w14:textId="77777777" w:rsidR="002C367C" w:rsidRPr="006E01E9" w:rsidRDefault="00EC57B2" w:rsidP="006E01E9">
      <w:pPr>
        <w:pStyle w:val="Zkladntext"/>
        <w:spacing w:before="1"/>
        <w:ind w:left="685"/>
      </w:pPr>
      <w:r w:rsidRPr="006E01E9">
        <w:rPr>
          <w:u w:val="single"/>
        </w:rPr>
        <w:t>Březost</w:t>
      </w:r>
      <w:r w:rsidRPr="006E01E9">
        <w:t>:</w:t>
      </w:r>
    </w:p>
    <w:p w14:paraId="1641AD30" w14:textId="77777777" w:rsidR="002C367C" w:rsidRPr="006E01E9" w:rsidRDefault="00EC57B2" w:rsidP="006E01E9">
      <w:pPr>
        <w:pStyle w:val="Zkladntext"/>
        <w:spacing w:before="6"/>
        <w:ind w:left="750"/>
      </w:pPr>
      <w:r w:rsidRPr="006E01E9">
        <w:t>Veterinární léčivý přípravek není indikován k podání během březosti.</w:t>
      </w:r>
    </w:p>
    <w:p w14:paraId="1641AD31" w14:textId="77777777" w:rsidR="002C367C" w:rsidRPr="00334E8C" w:rsidRDefault="002C367C" w:rsidP="006E01E9">
      <w:pPr>
        <w:pStyle w:val="Zkladntext"/>
        <w:rPr>
          <w:sz w:val="23"/>
        </w:rPr>
      </w:pPr>
    </w:p>
    <w:p w14:paraId="1641AD32" w14:textId="77777777" w:rsidR="002C367C" w:rsidRPr="006E01E9" w:rsidRDefault="00EC57B2" w:rsidP="006E01E9">
      <w:pPr>
        <w:pStyle w:val="Zkladntext"/>
        <w:spacing w:before="1"/>
        <w:ind w:left="685"/>
      </w:pPr>
      <w:r w:rsidRPr="006E01E9">
        <w:rPr>
          <w:u w:val="single"/>
        </w:rPr>
        <w:t>Laktace</w:t>
      </w:r>
      <w:r w:rsidRPr="006E01E9">
        <w:t>:</w:t>
      </w:r>
    </w:p>
    <w:p w14:paraId="1641AD33" w14:textId="77777777" w:rsidR="002C367C" w:rsidRPr="006E01E9" w:rsidRDefault="00EC57B2" w:rsidP="006E01E9">
      <w:pPr>
        <w:pStyle w:val="Zkladntext"/>
        <w:spacing w:before="6"/>
        <w:ind w:left="750"/>
      </w:pPr>
      <w:r w:rsidRPr="006E01E9">
        <w:t>Primárně by se měl použít krátce po otelení na začátku laktace.</w:t>
      </w:r>
    </w:p>
    <w:p w14:paraId="1641AD34" w14:textId="77777777" w:rsidR="002C367C" w:rsidRPr="00334E8C" w:rsidRDefault="002C367C" w:rsidP="006E01E9">
      <w:pPr>
        <w:pStyle w:val="Zkladntext"/>
        <w:spacing w:before="1"/>
        <w:rPr>
          <w:sz w:val="23"/>
        </w:rPr>
      </w:pPr>
    </w:p>
    <w:p w14:paraId="1641AD35" w14:textId="77777777" w:rsidR="002C367C" w:rsidRPr="006E01E9" w:rsidRDefault="00EC57B2" w:rsidP="006E01E9">
      <w:pPr>
        <w:pStyle w:val="Zkladntext"/>
        <w:ind w:left="685"/>
      </w:pPr>
      <w:r w:rsidRPr="006E01E9">
        <w:rPr>
          <w:u w:val="single"/>
        </w:rPr>
        <w:t>Interakce s dalšími léčivými přípravky a další formy interakce:</w:t>
      </w:r>
    </w:p>
    <w:p w14:paraId="1641AD36" w14:textId="77777777" w:rsidR="002C367C" w:rsidRPr="006E01E9" w:rsidRDefault="00A328AD" w:rsidP="006E01E9">
      <w:pPr>
        <w:pStyle w:val="Zkladntext"/>
        <w:spacing w:before="6" w:line="244" w:lineRule="auto"/>
        <w:ind w:left="750"/>
      </w:pPr>
      <w:r w:rsidRPr="00A328AD">
        <w:t>Nepodávat souběžně jiné intrauterinní veterinární léčivé přípravky.</w:t>
      </w:r>
      <w:r w:rsidRPr="00A328AD" w:rsidDel="00A328AD">
        <w:t xml:space="preserve"> </w:t>
      </w:r>
      <w:r w:rsidR="00EC57B2" w:rsidRPr="006E01E9">
        <w:t>Pokud bude nezbytné systémové použití antibiotik, je nutné vzít v úvahu potenciální antagonismus mezi tetracykliny a antibiotiky s baktericidním působením.</w:t>
      </w:r>
    </w:p>
    <w:p w14:paraId="1641AD37" w14:textId="77777777" w:rsidR="002C367C" w:rsidRPr="00334E8C" w:rsidRDefault="002C367C" w:rsidP="006E01E9">
      <w:pPr>
        <w:pStyle w:val="Zkladntext"/>
        <w:spacing w:before="7"/>
      </w:pPr>
    </w:p>
    <w:p w14:paraId="1641AD38" w14:textId="77777777" w:rsidR="002C367C" w:rsidRPr="006E01E9" w:rsidRDefault="00EC57B2" w:rsidP="006E01E9">
      <w:pPr>
        <w:pStyle w:val="Zkladntext"/>
        <w:ind w:left="658"/>
      </w:pPr>
      <w:r w:rsidRPr="006E01E9">
        <w:rPr>
          <w:u w:val="single"/>
        </w:rPr>
        <w:t>Předávkování (symptomy, první pomoc, antidota)</w:t>
      </w:r>
      <w:r w:rsidRPr="006E01E9">
        <w:t>:</w:t>
      </w:r>
    </w:p>
    <w:p w14:paraId="1641AD39" w14:textId="7F85F1F9" w:rsidR="002C367C" w:rsidRPr="006E01E9" w:rsidRDefault="00EC57B2" w:rsidP="006E01E9">
      <w:pPr>
        <w:pStyle w:val="Zkladntext"/>
        <w:spacing w:before="8" w:line="244" w:lineRule="auto"/>
        <w:ind w:left="658"/>
      </w:pPr>
      <w:r w:rsidRPr="006E01E9">
        <w:t xml:space="preserve">S ohledem na formu dávkování, metodu a cestu podání je riziko předávkování omezené. V případě dlouhodobé terapie lokálními antibiotiky by narušení </w:t>
      </w:r>
      <w:r w:rsidR="00A328AD" w:rsidRPr="00A328AD">
        <w:t xml:space="preserve">běžného </w:t>
      </w:r>
      <w:proofErr w:type="spellStart"/>
      <w:r w:rsidRPr="006E01E9">
        <w:t>genitourinární</w:t>
      </w:r>
      <w:r w:rsidR="00A328AD">
        <w:t>ho</w:t>
      </w:r>
      <w:proofErr w:type="spellEnd"/>
      <w:r w:rsidRPr="006E01E9">
        <w:t xml:space="preserve"> </w:t>
      </w:r>
      <w:proofErr w:type="spellStart"/>
      <w:r w:rsidR="00A328AD" w:rsidRPr="00A328AD">
        <w:t>mikrobiomu</w:t>
      </w:r>
      <w:proofErr w:type="spellEnd"/>
      <w:r w:rsidR="00A328AD" w:rsidRPr="00A328AD">
        <w:t xml:space="preserve"> mohlo</w:t>
      </w:r>
      <w:r w:rsidRPr="006E01E9">
        <w:t xml:space="preserve"> vést k výskytu superinfekcí souběžně se vyskytujícími mikroorganismy (</w:t>
      </w:r>
      <w:r w:rsidR="00A34EE2" w:rsidRPr="00A34EE2">
        <w:t>zejména infekcí vyvolaných kvasinkami</w:t>
      </w:r>
      <w:r w:rsidRPr="006E01E9">
        <w:t xml:space="preserve"> – </w:t>
      </w:r>
      <w:proofErr w:type="spellStart"/>
      <w:r w:rsidRPr="00B921D7">
        <w:rPr>
          <w:i/>
        </w:rPr>
        <w:t>Candida</w:t>
      </w:r>
      <w:proofErr w:type="spellEnd"/>
      <w:r w:rsidRPr="006E01E9">
        <w:t xml:space="preserve"> </w:t>
      </w:r>
      <w:proofErr w:type="spellStart"/>
      <w:r w:rsidRPr="006E01E9">
        <w:t>spp</w:t>
      </w:r>
      <w:proofErr w:type="spellEnd"/>
      <w:r w:rsidRPr="006E01E9">
        <w:t>.).</w:t>
      </w:r>
    </w:p>
    <w:p w14:paraId="1641AD3A" w14:textId="77777777" w:rsidR="002C367C" w:rsidRPr="00334E8C" w:rsidRDefault="002C367C" w:rsidP="006E01E9">
      <w:pPr>
        <w:pStyle w:val="Zkladntext"/>
        <w:spacing w:before="5"/>
      </w:pPr>
    </w:p>
    <w:p w14:paraId="1641AD3B" w14:textId="77777777" w:rsidR="002C367C" w:rsidRPr="006E01E9" w:rsidRDefault="00EC57B2" w:rsidP="006E01E9">
      <w:pPr>
        <w:pStyle w:val="Zkladntext"/>
        <w:ind w:left="658"/>
      </w:pPr>
      <w:r w:rsidRPr="006E01E9">
        <w:t>Farmakokinetika</w:t>
      </w:r>
    </w:p>
    <w:p w14:paraId="1641AD3C" w14:textId="77777777" w:rsidR="002C367C" w:rsidRPr="006E01E9" w:rsidRDefault="00EC57B2" w:rsidP="006E01E9">
      <w:pPr>
        <w:pStyle w:val="Zkladntext"/>
        <w:spacing w:before="7" w:line="244" w:lineRule="auto"/>
        <w:ind w:left="658"/>
        <w:jc w:val="both"/>
      </w:pPr>
      <w:r w:rsidRPr="006E01E9">
        <w:t xml:space="preserve">Veterinární léčivý přípravek je dodáván ve formě intrauterinní tablety, která je snadno rozpustná a v kontaktu s obsahem dělohy vytváří značné množství pěny oxidu uhličitého. Pěna oxidu uhličitého </w:t>
      </w:r>
      <w:r w:rsidR="00A34EE2" w:rsidRPr="00A34EE2">
        <w:t>zajistí distribuci</w:t>
      </w:r>
      <w:r w:rsidRPr="006E01E9">
        <w:t xml:space="preserve"> oxytetracyklin</w:t>
      </w:r>
      <w:r w:rsidR="00A34EE2">
        <w:t>u</w:t>
      </w:r>
      <w:r w:rsidRPr="006E01E9">
        <w:t xml:space="preserve"> v rámci celé děložní dutiny, čímž jej zpřístupní pro povrch endometria, což povede ke zvýšené koncentraci v endometriu. Pěna oxidu uhličitého navíc mechanicky čistí povrch endometria, evakuuje přítomné bakterie, upravuje tonus </w:t>
      </w:r>
      <w:proofErr w:type="spellStart"/>
      <w:r w:rsidRPr="006E01E9">
        <w:t>myometria</w:t>
      </w:r>
      <w:proofErr w:type="spellEnd"/>
      <w:r w:rsidRPr="006E01E9">
        <w:t xml:space="preserve"> a stimuluje kontrakce.</w:t>
      </w:r>
    </w:p>
    <w:p w14:paraId="1641AD3D" w14:textId="77777777" w:rsidR="002C367C" w:rsidRPr="00334E8C" w:rsidRDefault="002C367C" w:rsidP="006E01E9">
      <w:pPr>
        <w:pStyle w:val="Zkladntext"/>
      </w:pPr>
    </w:p>
    <w:p w14:paraId="1641AD3E" w14:textId="77777777" w:rsidR="002C367C" w:rsidRPr="00334E8C" w:rsidRDefault="002C367C" w:rsidP="006E01E9">
      <w:pPr>
        <w:pStyle w:val="Zkladntext"/>
        <w:spacing w:before="7"/>
        <w:rPr>
          <w:sz w:val="23"/>
        </w:rPr>
      </w:pPr>
    </w:p>
    <w:p w14:paraId="1641AD3F" w14:textId="664B0831" w:rsidR="002C367C" w:rsidRPr="006E01E9" w:rsidRDefault="00EC57B2" w:rsidP="00334E8C">
      <w:pPr>
        <w:pStyle w:val="Nadpis1"/>
        <w:keepNext/>
        <w:widowControl/>
        <w:numPr>
          <w:ilvl w:val="0"/>
          <w:numId w:val="2"/>
        </w:numPr>
        <w:tabs>
          <w:tab w:val="left" w:pos="686"/>
        </w:tabs>
        <w:spacing w:line="244" w:lineRule="auto"/>
      </w:pPr>
      <w:r w:rsidRPr="006E01E9">
        <w:t>ZVLÁŠTNÍ OPATŘENÍ PRO ZNEŠKODŇOVÁNÍ NEPOUŽIT</w:t>
      </w:r>
      <w:r w:rsidR="004C21F0">
        <w:t>ÝCH</w:t>
      </w:r>
      <w:r w:rsidRPr="006E01E9">
        <w:t xml:space="preserve"> PŘÍPRAVK</w:t>
      </w:r>
      <w:r w:rsidR="004C21F0">
        <w:t>Ů</w:t>
      </w:r>
      <w:r w:rsidRPr="006E01E9">
        <w:t xml:space="preserve"> NEBO ODPADU, POKUD JE JICH TŘEBA</w:t>
      </w:r>
    </w:p>
    <w:p w14:paraId="1641AD40" w14:textId="77777777" w:rsidR="002C367C" w:rsidRPr="00334E8C" w:rsidRDefault="002C367C" w:rsidP="00334E8C">
      <w:pPr>
        <w:pStyle w:val="Zkladntext"/>
        <w:keepNext/>
        <w:widowControl/>
        <w:spacing w:before="2"/>
        <w:rPr>
          <w:b/>
        </w:rPr>
      </w:pPr>
    </w:p>
    <w:p w14:paraId="1641AD41" w14:textId="77777777" w:rsidR="002C367C" w:rsidRPr="006E01E9" w:rsidRDefault="00EC57B2" w:rsidP="006E01E9">
      <w:pPr>
        <w:pStyle w:val="Zkladntext"/>
        <w:spacing w:line="247" w:lineRule="auto"/>
        <w:ind w:left="658"/>
      </w:pPr>
      <w:r w:rsidRPr="006E01E9">
        <w:t>Všechen nepoužitý veterinární léčivý přípravek nebo odpad, kter</w:t>
      </w:r>
      <w:r w:rsidR="00A34EE2">
        <w:t>ý</w:t>
      </w:r>
      <w:r w:rsidRPr="006E01E9">
        <w:t xml:space="preserve"> pochází z tohoto přípravku, musí být likvidován podle místních právních předpisů.</w:t>
      </w:r>
    </w:p>
    <w:p w14:paraId="1641AD42" w14:textId="77777777" w:rsidR="002C367C" w:rsidRPr="00334E8C" w:rsidRDefault="002C367C" w:rsidP="006E01E9">
      <w:pPr>
        <w:spacing w:line="247" w:lineRule="auto"/>
        <w:sectPr w:rsidR="002C367C" w:rsidRPr="00334E8C">
          <w:pgSz w:w="11910" w:h="16850"/>
          <w:pgMar w:top="1080" w:right="1300" w:bottom="900" w:left="1300" w:header="0" w:footer="702" w:gutter="0"/>
          <w:cols w:space="708"/>
        </w:sectPr>
      </w:pPr>
    </w:p>
    <w:p w14:paraId="1641AD43" w14:textId="77777777" w:rsidR="002C367C" w:rsidRPr="006E01E9" w:rsidRDefault="00EC57B2" w:rsidP="006E01E9">
      <w:pPr>
        <w:pStyle w:val="Nadpis1"/>
        <w:numPr>
          <w:ilvl w:val="0"/>
          <w:numId w:val="2"/>
        </w:numPr>
        <w:tabs>
          <w:tab w:val="left" w:pos="686"/>
        </w:tabs>
        <w:spacing w:before="59"/>
      </w:pPr>
      <w:r w:rsidRPr="006E01E9">
        <w:lastRenderedPageBreak/>
        <w:t>DATUM POSLEDNÍ REVIZE PŘÍBALOVÉ INFORMACE</w:t>
      </w:r>
    </w:p>
    <w:p w14:paraId="1641AD44" w14:textId="5B4A493E" w:rsidR="002C367C" w:rsidRDefault="002C367C" w:rsidP="000116C7">
      <w:pPr>
        <w:pStyle w:val="Zkladntext"/>
        <w:ind w:left="118"/>
        <w:rPr>
          <w:b/>
          <w:lang w:val="en-GB"/>
        </w:rPr>
      </w:pPr>
    </w:p>
    <w:p w14:paraId="4BE8AF35" w14:textId="51D322D3" w:rsidR="000116C7" w:rsidRPr="000116C7" w:rsidRDefault="000116C7" w:rsidP="000116C7">
      <w:pPr>
        <w:pStyle w:val="Zkladntext"/>
        <w:ind w:left="685"/>
        <w:rPr>
          <w:lang w:val="en-GB"/>
        </w:rPr>
      </w:pPr>
      <w:proofErr w:type="spellStart"/>
      <w:r w:rsidRPr="000116C7">
        <w:rPr>
          <w:lang w:val="en-GB"/>
        </w:rPr>
        <w:t>Únor</w:t>
      </w:r>
      <w:proofErr w:type="spellEnd"/>
      <w:r w:rsidRPr="000116C7">
        <w:rPr>
          <w:lang w:val="en-GB"/>
        </w:rPr>
        <w:t xml:space="preserve"> 2022</w:t>
      </w:r>
    </w:p>
    <w:p w14:paraId="1641AD45" w14:textId="77777777" w:rsidR="002C367C" w:rsidRPr="006E01E9" w:rsidRDefault="002C367C" w:rsidP="006E01E9">
      <w:pPr>
        <w:pStyle w:val="Zkladntext"/>
        <w:spacing w:before="2"/>
        <w:rPr>
          <w:b/>
          <w:sz w:val="24"/>
          <w:lang w:val="en-GB"/>
        </w:rPr>
      </w:pPr>
    </w:p>
    <w:p w14:paraId="1641AD46" w14:textId="77777777" w:rsidR="002C367C" w:rsidRPr="006E01E9" w:rsidRDefault="00EC57B2" w:rsidP="006E01E9">
      <w:pPr>
        <w:pStyle w:val="Odstavecseseznamem"/>
        <w:numPr>
          <w:ilvl w:val="0"/>
          <w:numId w:val="2"/>
        </w:numPr>
        <w:tabs>
          <w:tab w:val="left" w:pos="686"/>
        </w:tabs>
        <w:rPr>
          <w:b/>
        </w:rPr>
      </w:pPr>
      <w:r w:rsidRPr="006E01E9">
        <w:rPr>
          <w:b/>
        </w:rPr>
        <w:t>DALŠÍ INFORMACE</w:t>
      </w:r>
    </w:p>
    <w:p w14:paraId="1641AD47" w14:textId="77777777" w:rsidR="002C367C" w:rsidRPr="006E01E9" w:rsidRDefault="002C367C" w:rsidP="006E01E9">
      <w:pPr>
        <w:pStyle w:val="Zkladntext"/>
        <w:spacing w:before="7"/>
        <w:rPr>
          <w:b/>
          <w:lang w:val="en-GB"/>
        </w:rPr>
      </w:pPr>
    </w:p>
    <w:p w14:paraId="1641AD48" w14:textId="6786257A" w:rsidR="002C367C" w:rsidRPr="006E01E9" w:rsidRDefault="00EC57B2" w:rsidP="006E01E9">
      <w:pPr>
        <w:pStyle w:val="Zkladntext"/>
        <w:spacing w:line="244" w:lineRule="auto"/>
        <w:ind w:left="658"/>
      </w:pPr>
      <w:r w:rsidRPr="006E01E9">
        <w:t>Každá intrauterinní tableta</w:t>
      </w:r>
      <w:r w:rsidR="006E01E9">
        <w:t xml:space="preserve"> přípravku</w:t>
      </w:r>
      <w:r w:rsidRPr="006E01E9">
        <w:t xml:space="preserve"> </w:t>
      </w:r>
      <w:proofErr w:type="spellStart"/>
      <w:r w:rsidRPr="006E01E9">
        <w:t>Genoxytab</w:t>
      </w:r>
      <w:proofErr w:type="spellEnd"/>
      <w:r w:rsidRPr="006E01E9">
        <w:t xml:space="preserve"> F je samostatně zabalena do fólie z hliníku a </w:t>
      </w:r>
      <w:proofErr w:type="spellStart"/>
      <w:r w:rsidRPr="006E01E9">
        <w:t>polyet</w:t>
      </w:r>
      <w:r w:rsidR="00E20091">
        <w:t>h</w:t>
      </w:r>
      <w:r w:rsidRPr="006E01E9">
        <w:t>yl</w:t>
      </w:r>
      <w:r w:rsidR="00E20091">
        <w:t>e</w:t>
      </w:r>
      <w:r w:rsidRPr="006E01E9">
        <w:t>nu</w:t>
      </w:r>
      <w:proofErr w:type="spellEnd"/>
      <w:r w:rsidRPr="006E01E9">
        <w:t xml:space="preserve">. </w:t>
      </w:r>
      <w:r w:rsidR="00A34EE2" w:rsidRPr="00A34EE2">
        <w:t>Do každé fólie je přidána tableta silikátového gelu pro kontrolu vlhkosti (nepodávat zvířatům).</w:t>
      </w:r>
      <w:r w:rsidRPr="006E01E9">
        <w:t xml:space="preserve"> Nafouknutá fólie neovlivňuje kvalitu výrobku.</w:t>
      </w:r>
    </w:p>
    <w:p w14:paraId="1641AD49" w14:textId="77777777" w:rsidR="002C367C" w:rsidRPr="00334E8C" w:rsidRDefault="002C367C" w:rsidP="006E01E9">
      <w:pPr>
        <w:pStyle w:val="Zkladntext"/>
        <w:spacing w:before="7"/>
      </w:pPr>
    </w:p>
    <w:p w14:paraId="1641AD4A" w14:textId="77777777" w:rsidR="002C367C" w:rsidRPr="006E01E9" w:rsidRDefault="00EC57B2" w:rsidP="006E01E9">
      <w:pPr>
        <w:pStyle w:val="Zkladntext"/>
        <w:ind w:left="658"/>
      </w:pPr>
      <w:r w:rsidRPr="006E01E9">
        <w:t>Velikost balení:</w:t>
      </w:r>
    </w:p>
    <w:p w14:paraId="1641AD4B" w14:textId="77777777" w:rsidR="006E01E9" w:rsidRDefault="00EC57B2" w:rsidP="006E01E9">
      <w:pPr>
        <w:pStyle w:val="Zkladntext"/>
        <w:spacing w:before="6" w:line="244" w:lineRule="auto"/>
        <w:ind w:left="658"/>
        <w:jc w:val="both"/>
      </w:pPr>
      <w:r w:rsidRPr="006E01E9">
        <w:t xml:space="preserve">Papírová krabička s 10 intrauterinními tabletami </w:t>
      </w:r>
    </w:p>
    <w:p w14:paraId="1641AD4C" w14:textId="5D3A12FE" w:rsidR="006E01E9" w:rsidRDefault="00EC57B2" w:rsidP="006E01E9">
      <w:pPr>
        <w:pStyle w:val="Zkladntext"/>
        <w:spacing w:before="6" w:line="244" w:lineRule="auto"/>
        <w:ind w:left="658"/>
        <w:jc w:val="both"/>
      </w:pPr>
      <w:r w:rsidRPr="006E01E9">
        <w:t>Papírová krabička s</w:t>
      </w:r>
      <w:r w:rsidR="00E20091">
        <w:t>e</w:t>
      </w:r>
      <w:r w:rsidRPr="006E01E9">
        <w:t xml:space="preserve"> 40 intrauterinními tabletami </w:t>
      </w:r>
    </w:p>
    <w:p w14:paraId="1641AD4D" w14:textId="77777777" w:rsidR="002C367C" w:rsidRPr="006E01E9" w:rsidRDefault="00EC57B2" w:rsidP="006E01E9">
      <w:pPr>
        <w:pStyle w:val="Zkladntext"/>
        <w:spacing w:before="6" w:line="244" w:lineRule="auto"/>
        <w:ind w:left="658"/>
        <w:jc w:val="both"/>
      </w:pPr>
      <w:r w:rsidRPr="006E01E9">
        <w:t>Papírová krabička s</w:t>
      </w:r>
      <w:r w:rsidR="006E01E9">
        <w:t>e</w:t>
      </w:r>
      <w:r w:rsidRPr="006E01E9">
        <w:t xml:space="preserve"> 100 intrauterinními tabletami</w:t>
      </w:r>
    </w:p>
    <w:p w14:paraId="1641AD4E" w14:textId="77777777" w:rsidR="002C367C" w:rsidRPr="00334E8C" w:rsidRDefault="002C367C" w:rsidP="006E01E9">
      <w:pPr>
        <w:pStyle w:val="Zkladntext"/>
        <w:spacing w:before="8"/>
      </w:pPr>
    </w:p>
    <w:p w14:paraId="1641AD4F" w14:textId="77777777" w:rsidR="002C367C" w:rsidRPr="006E01E9" w:rsidRDefault="00EC57B2" w:rsidP="006E01E9">
      <w:pPr>
        <w:pStyle w:val="Zkladntext"/>
        <w:ind w:left="658"/>
      </w:pPr>
      <w:r w:rsidRPr="006E01E9">
        <w:t>Na trhu nemusí být všechny velikosti balení.</w:t>
      </w:r>
    </w:p>
    <w:p w14:paraId="1641AD50" w14:textId="77777777" w:rsidR="002C367C" w:rsidRPr="00334E8C" w:rsidRDefault="002C367C" w:rsidP="006E01E9">
      <w:pPr>
        <w:pStyle w:val="Zkladntext"/>
      </w:pPr>
    </w:p>
    <w:p w14:paraId="1641AD51" w14:textId="77777777" w:rsidR="002C367C" w:rsidRPr="00334E8C" w:rsidRDefault="002C367C" w:rsidP="006E01E9">
      <w:pPr>
        <w:pStyle w:val="Zkladntext"/>
        <w:spacing w:before="7"/>
        <w:rPr>
          <w:sz w:val="23"/>
        </w:rPr>
      </w:pPr>
    </w:p>
    <w:p w14:paraId="1641AD52" w14:textId="77777777" w:rsidR="002C367C" w:rsidRPr="006E01E9" w:rsidRDefault="00EC57B2" w:rsidP="006E01E9">
      <w:pPr>
        <w:pStyle w:val="Zkladntext"/>
        <w:ind w:left="658"/>
      </w:pPr>
      <w:r w:rsidRPr="006E01E9">
        <w:t>ATCvet kód: QG51AA01</w:t>
      </w:r>
    </w:p>
    <w:p w14:paraId="1641AD53" w14:textId="77777777" w:rsidR="002C367C" w:rsidRPr="00334E8C" w:rsidRDefault="002C367C" w:rsidP="006E01E9">
      <w:pPr>
        <w:pStyle w:val="Zkladntext"/>
        <w:spacing w:before="3"/>
        <w:rPr>
          <w:sz w:val="23"/>
        </w:rPr>
      </w:pPr>
    </w:p>
    <w:p w14:paraId="1641AD54" w14:textId="77777777" w:rsidR="002C367C" w:rsidRPr="006E01E9" w:rsidRDefault="00EC57B2" w:rsidP="006E01E9">
      <w:pPr>
        <w:pStyle w:val="Zkladntext"/>
        <w:ind w:left="685"/>
      </w:pPr>
      <w:r w:rsidRPr="006E01E9">
        <w:t>Veterinární léčivý přípravek je vydáván pouze na předpis.</w:t>
      </w:r>
    </w:p>
    <w:p w14:paraId="1641AD55" w14:textId="77777777" w:rsidR="002C367C" w:rsidRPr="00334E8C" w:rsidRDefault="002C367C" w:rsidP="006E01E9">
      <w:pPr>
        <w:pStyle w:val="Zkladntext"/>
      </w:pPr>
    </w:p>
    <w:p w14:paraId="1641AD56" w14:textId="77777777" w:rsidR="002C367C" w:rsidRPr="00334E8C" w:rsidRDefault="002C367C" w:rsidP="006E01E9">
      <w:pPr>
        <w:pStyle w:val="Zkladntext"/>
        <w:spacing w:before="4"/>
        <w:rPr>
          <w:sz w:val="23"/>
        </w:rPr>
      </w:pPr>
    </w:p>
    <w:p w14:paraId="1641AD57" w14:textId="77777777" w:rsidR="002C367C" w:rsidRPr="006E01E9" w:rsidRDefault="00EC57B2" w:rsidP="006E01E9">
      <w:pPr>
        <w:pStyle w:val="Zkladntext"/>
        <w:spacing w:line="244" w:lineRule="auto"/>
        <w:ind w:left="658"/>
      </w:pPr>
      <w:r w:rsidRPr="006E01E9">
        <w:t>Pokud chcete získat informace o tomto veterinárním léčivém přípravku, kontaktujte prosím příslušného místního zástupce držitele rozhodnutí o registraci.</w:t>
      </w:r>
    </w:p>
    <w:sectPr w:rsidR="002C367C" w:rsidRPr="006E01E9">
      <w:pgSz w:w="11910" w:h="16850"/>
      <w:pgMar w:top="1340" w:right="1580" w:bottom="900" w:left="1300" w:header="0" w:footer="7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EA9EA" w14:textId="77777777" w:rsidR="00A200E9" w:rsidRDefault="00A200E9">
      <w:r>
        <w:separator/>
      </w:r>
    </w:p>
  </w:endnote>
  <w:endnote w:type="continuationSeparator" w:id="0">
    <w:p w14:paraId="73847247" w14:textId="77777777" w:rsidR="00A200E9" w:rsidRDefault="00A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1AD8C" w14:textId="77777777" w:rsidR="00BF72FD" w:rsidRDefault="00BF72FD">
    <w:pPr>
      <w:pStyle w:val="Zkladntext"/>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14:anchorId="1641AD8D" wp14:editId="1641AD8E">
              <wp:simplePos x="0" y="0"/>
              <wp:positionH relativeFrom="page">
                <wp:posOffset>3703320</wp:posOffset>
              </wp:positionH>
              <wp:positionV relativeFrom="page">
                <wp:posOffset>10108565</wp:posOffset>
              </wp:positionV>
              <wp:extent cx="154940" cy="1276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1ADAB" w14:textId="77777777" w:rsidR="00BF72FD" w:rsidRDefault="00BF72FD">
                          <w:pPr>
                            <w:ind w:left="40"/>
                            <w:rPr>
                              <w:sz w:val="16"/>
                            </w:rPr>
                          </w:pPr>
                          <w:r>
                            <w:fldChar w:fldCharType="begin"/>
                          </w:r>
                          <w:r>
                            <w:rPr>
                              <w:sz w:val="16"/>
                            </w:rPr>
                            <w:instrText xml:space="preserve"> PAGE </w:instrText>
                          </w:r>
                          <w:r>
                            <w:fldChar w:fldCharType="separate"/>
                          </w:r>
                          <w:r w:rsidR="00A33E8F">
                            <w:rPr>
                              <w:noProof/>
                              <w:sz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1AD8D" id="_x0000_t202" coordsize="21600,21600" o:spt="202" path="m,l,21600r21600,l21600,xe">
              <v:stroke joinstyle="miter"/>
              <v:path gradientshapeok="t" o:connecttype="rect"/>
            </v:shapetype>
            <v:shape id="Text Box 1" o:spid="_x0000_s1026" type="#_x0000_t202" style="position:absolute;margin-left:291.6pt;margin-top:795.95pt;width:12.2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" filled="f" stroked="f">
              <v:textbox inset="0,0,0,0">
                <w:txbxContent>
                  <w:p w14:paraId="1641ADAB" w14:textId="77777777" w:rsidR="00BF72FD" w:rsidRDefault="00BF72FD">
                    <w:pPr>
                      <w:ind w:left="40"/>
                      <w:rPr>
                        <w:sz w:val="16"/>
                      </w:rPr>
                    </w:pPr>
                    <w:r>
                      <w:fldChar w:fldCharType="begin"/>
                    </w:r>
                    <w:r>
                      <w:rPr>
                        <w:sz w:val="16"/>
                      </w:rPr>
                      <w:instrText xml:space="preserve"> PAGE </w:instrText>
                    </w:r>
                    <w:r>
                      <w:fldChar w:fldCharType="separate"/>
                    </w:r>
                    <w:r w:rsidR="00A33E8F">
                      <w:rPr>
                        <w:noProof/>
                        <w:sz w:val="16"/>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B158E" w14:textId="77777777" w:rsidR="00A200E9" w:rsidRDefault="00A200E9">
      <w:r>
        <w:separator/>
      </w:r>
    </w:p>
  </w:footnote>
  <w:footnote w:type="continuationSeparator" w:id="0">
    <w:p w14:paraId="6AB48C87" w14:textId="77777777" w:rsidR="00A200E9" w:rsidRDefault="00A20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21DA0"/>
    <w:multiLevelType w:val="multilevel"/>
    <w:tmpl w:val="812E3820"/>
    <w:lvl w:ilvl="0">
      <w:start w:val="6"/>
      <w:numFmt w:val="decimal"/>
      <w:lvlText w:val="%1"/>
      <w:lvlJc w:val="left"/>
      <w:pPr>
        <w:ind w:left="685" w:hanging="567"/>
      </w:pPr>
      <w:rPr>
        <w:rFonts w:hint="default"/>
      </w:rPr>
    </w:lvl>
    <w:lvl w:ilvl="1">
      <w:start w:val="5"/>
      <w:numFmt w:val="decimal"/>
      <w:lvlText w:val="%1.%2"/>
      <w:lvlJc w:val="left"/>
      <w:pPr>
        <w:ind w:left="685" w:hanging="567"/>
      </w:pPr>
      <w:rPr>
        <w:rFonts w:ascii="Times New Roman" w:eastAsia="Times New Roman" w:hAnsi="Times New Roman" w:cs="Times New Roman" w:hint="default"/>
        <w:b/>
        <w:bCs/>
        <w:w w:val="100"/>
        <w:sz w:val="22"/>
        <w:szCs w:val="22"/>
      </w:rPr>
    </w:lvl>
    <w:lvl w:ilvl="2">
      <w:start w:val="1"/>
      <w:numFmt w:val="bullet"/>
      <w:lvlText w:val="•"/>
      <w:lvlJc w:val="left"/>
      <w:pPr>
        <w:ind w:left="2349" w:hanging="567"/>
      </w:pPr>
      <w:rPr>
        <w:rFonts w:hint="default"/>
      </w:rPr>
    </w:lvl>
    <w:lvl w:ilvl="3">
      <w:start w:val="1"/>
      <w:numFmt w:val="bullet"/>
      <w:lvlText w:val="•"/>
      <w:lvlJc w:val="left"/>
      <w:pPr>
        <w:ind w:left="3183" w:hanging="567"/>
      </w:pPr>
      <w:rPr>
        <w:rFonts w:hint="default"/>
      </w:rPr>
    </w:lvl>
    <w:lvl w:ilvl="4">
      <w:start w:val="1"/>
      <w:numFmt w:val="bullet"/>
      <w:lvlText w:val="•"/>
      <w:lvlJc w:val="left"/>
      <w:pPr>
        <w:ind w:left="4018" w:hanging="567"/>
      </w:pPr>
      <w:rPr>
        <w:rFonts w:hint="default"/>
      </w:rPr>
    </w:lvl>
    <w:lvl w:ilvl="5">
      <w:start w:val="1"/>
      <w:numFmt w:val="bullet"/>
      <w:lvlText w:val="•"/>
      <w:lvlJc w:val="left"/>
      <w:pPr>
        <w:ind w:left="4853" w:hanging="567"/>
      </w:pPr>
      <w:rPr>
        <w:rFonts w:hint="default"/>
      </w:rPr>
    </w:lvl>
    <w:lvl w:ilvl="6">
      <w:start w:val="1"/>
      <w:numFmt w:val="bullet"/>
      <w:lvlText w:val="•"/>
      <w:lvlJc w:val="left"/>
      <w:pPr>
        <w:ind w:left="5687" w:hanging="567"/>
      </w:pPr>
      <w:rPr>
        <w:rFonts w:hint="default"/>
      </w:rPr>
    </w:lvl>
    <w:lvl w:ilvl="7">
      <w:start w:val="1"/>
      <w:numFmt w:val="bullet"/>
      <w:lvlText w:val="•"/>
      <w:lvlJc w:val="left"/>
      <w:pPr>
        <w:ind w:left="6522" w:hanging="567"/>
      </w:pPr>
      <w:rPr>
        <w:rFonts w:hint="default"/>
      </w:rPr>
    </w:lvl>
    <w:lvl w:ilvl="8">
      <w:start w:val="1"/>
      <w:numFmt w:val="bullet"/>
      <w:lvlText w:val="•"/>
      <w:lvlJc w:val="left"/>
      <w:pPr>
        <w:ind w:left="7357" w:hanging="567"/>
      </w:pPr>
      <w:rPr>
        <w:rFonts w:hint="default"/>
      </w:rPr>
    </w:lvl>
  </w:abstractNum>
  <w:abstractNum w:abstractNumId="1" w15:restartNumberingAfterBreak="0">
    <w:nsid w:val="55D50D64"/>
    <w:multiLevelType w:val="hybridMultilevel"/>
    <w:tmpl w:val="B78E4598"/>
    <w:lvl w:ilvl="0" w:tplc="425E75BE">
      <w:start w:val="1"/>
      <w:numFmt w:val="upperLetter"/>
      <w:lvlText w:val="%1."/>
      <w:lvlJc w:val="left"/>
      <w:pPr>
        <w:ind w:left="3754" w:hanging="269"/>
        <w:jc w:val="right"/>
      </w:pPr>
      <w:rPr>
        <w:rFonts w:ascii="Times New Roman" w:eastAsia="Times New Roman" w:hAnsi="Times New Roman" w:cs="Times New Roman" w:hint="default"/>
        <w:b/>
        <w:bCs/>
        <w:spacing w:val="-2"/>
        <w:w w:val="100"/>
        <w:sz w:val="22"/>
        <w:szCs w:val="22"/>
      </w:rPr>
    </w:lvl>
    <w:lvl w:ilvl="1" w:tplc="7A0CB44E">
      <w:start w:val="1"/>
      <w:numFmt w:val="bullet"/>
      <w:lvlText w:val="•"/>
      <w:lvlJc w:val="left"/>
      <w:pPr>
        <w:ind w:left="4238" w:hanging="269"/>
      </w:pPr>
      <w:rPr>
        <w:rFonts w:hint="default"/>
      </w:rPr>
    </w:lvl>
    <w:lvl w:ilvl="2" w:tplc="8ACE85E6">
      <w:start w:val="1"/>
      <w:numFmt w:val="bullet"/>
      <w:lvlText w:val="•"/>
      <w:lvlJc w:val="left"/>
      <w:pPr>
        <w:ind w:left="4717" w:hanging="269"/>
      </w:pPr>
      <w:rPr>
        <w:rFonts w:hint="default"/>
      </w:rPr>
    </w:lvl>
    <w:lvl w:ilvl="3" w:tplc="40B83848">
      <w:start w:val="1"/>
      <w:numFmt w:val="bullet"/>
      <w:lvlText w:val="•"/>
      <w:lvlJc w:val="left"/>
      <w:pPr>
        <w:ind w:left="5195" w:hanging="269"/>
      </w:pPr>
      <w:rPr>
        <w:rFonts w:hint="default"/>
      </w:rPr>
    </w:lvl>
    <w:lvl w:ilvl="4" w:tplc="94367804">
      <w:start w:val="1"/>
      <w:numFmt w:val="bullet"/>
      <w:lvlText w:val="•"/>
      <w:lvlJc w:val="left"/>
      <w:pPr>
        <w:ind w:left="5674" w:hanging="269"/>
      </w:pPr>
      <w:rPr>
        <w:rFonts w:hint="default"/>
      </w:rPr>
    </w:lvl>
    <w:lvl w:ilvl="5" w:tplc="B6126984">
      <w:start w:val="1"/>
      <w:numFmt w:val="bullet"/>
      <w:lvlText w:val="•"/>
      <w:lvlJc w:val="left"/>
      <w:pPr>
        <w:ind w:left="6153" w:hanging="269"/>
      </w:pPr>
      <w:rPr>
        <w:rFonts w:hint="default"/>
      </w:rPr>
    </w:lvl>
    <w:lvl w:ilvl="6" w:tplc="66FEB53E">
      <w:start w:val="1"/>
      <w:numFmt w:val="bullet"/>
      <w:lvlText w:val="•"/>
      <w:lvlJc w:val="left"/>
      <w:pPr>
        <w:ind w:left="6631" w:hanging="269"/>
      </w:pPr>
      <w:rPr>
        <w:rFonts w:hint="default"/>
      </w:rPr>
    </w:lvl>
    <w:lvl w:ilvl="7" w:tplc="C262BDB4">
      <w:start w:val="1"/>
      <w:numFmt w:val="bullet"/>
      <w:lvlText w:val="•"/>
      <w:lvlJc w:val="left"/>
      <w:pPr>
        <w:ind w:left="7110" w:hanging="269"/>
      </w:pPr>
      <w:rPr>
        <w:rFonts w:hint="default"/>
      </w:rPr>
    </w:lvl>
    <w:lvl w:ilvl="8" w:tplc="54BAC15E">
      <w:start w:val="1"/>
      <w:numFmt w:val="bullet"/>
      <w:lvlText w:val="•"/>
      <w:lvlJc w:val="left"/>
      <w:pPr>
        <w:ind w:left="7589" w:hanging="269"/>
      </w:pPr>
      <w:rPr>
        <w:rFonts w:hint="default"/>
      </w:rPr>
    </w:lvl>
  </w:abstractNum>
  <w:abstractNum w:abstractNumId="2" w15:restartNumberingAfterBreak="0">
    <w:nsid w:val="58C5386E"/>
    <w:multiLevelType w:val="hybridMultilevel"/>
    <w:tmpl w:val="4182ADC2"/>
    <w:lvl w:ilvl="0" w:tplc="792AAEB8">
      <w:start w:val="1"/>
      <w:numFmt w:val="decimal"/>
      <w:lvlText w:val="%1."/>
      <w:lvlJc w:val="left"/>
      <w:pPr>
        <w:ind w:left="685" w:hanging="567"/>
      </w:pPr>
      <w:rPr>
        <w:rFonts w:ascii="Times New Roman" w:eastAsia="Times New Roman" w:hAnsi="Times New Roman" w:cs="Times New Roman" w:hint="default"/>
        <w:b/>
        <w:bCs/>
        <w:w w:val="100"/>
        <w:sz w:val="22"/>
        <w:szCs w:val="22"/>
      </w:rPr>
    </w:lvl>
    <w:lvl w:ilvl="1" w:tplc="6F101FAA">
      <w:start w:val="1"/>
      <w:numFmt w:val="bullet"/>
      <w:lvlText w:val="•"/>
      <w:lvlJc w:val="left"/>
      <w:pPr>
        <w:ind w:left="1540" w:hanging="567"/>
      </w:pPr>
      <w:rPr>
        <w:rFonts w:hint="default"/>
      </w:rPr>
    </w:lvl>
    <w:lvl w:ilvl="2" w:tplc="2CF646B4">
      <w:start w:val="1"/>
      <w:numFmt w:val="bullet"/>
      <w:lvlText w:val="•"/>
      <w:lvlJc w:val="left"/>
      <w:pPr>
        <w:ind w:left="2401" w:hanging="567"/>
      </w:pPr>
      <w:rPr>
        <w:rFonts w:hint="default"/>
      </w:rPr>
    </w:lvl>
    <w:lvl w:ilvl="3" w:tplc="E200CF6E">
      <w:start w:val="1"/>
      <w:numFmt w:val="bullet"/>
      <w:lvlText w:val="•"/>
      <w:lvlJc w:val="left"/>
      <w:pPr>
        <w:ind w:left="3261" w:hanging="567"/>
      </w:pPr>
      <w:rPr>
        <w:rFonts w:hint="default"/>
      </w:rPr>
    </w:lvl>
    <w:lvl w:ilvl="4" w:tplc="31700538">
      <w:start w:val="1"/>
      <w:numFmt w:val="bullet"/>
      <w:lvlText w:val="•"/>
      <w:lvlJc w:val="left"/>
      <w:pPr>
        <w:ind w:left="4122" w:hanging="567"/>
      </w:pPr>
      <w:rPr>
        <w:rFonts w:hint="default"/>
      </w:rPr>
    </w:lvl>
    <w:lvl w:ilvl="5" w:tplc="B772FF04">
      <w:start w:val="1"/>
      <w:numFmt w:val="bullet"/>
      <w:lvlText w:val="•"/>
      <w:lvlJc w:val="left"/>
      <w:pPr>
        <w:ind w:left="4983" w:hanging="567"/>
      </w:pPr>
      <w:rPr>
        <w:rFonts w:hint="default"/>
      </w:rPr>
    </w:lvl>
    <w:lvl w:ilvl="6" w:tplc="EE028AC4">
      <w:start w:val="1"/>
      <w:numFmt w:val="bullet"/>
      <w:lvlText w:val="•"/>
      <w:lvlJc w:val="left"/>
      <w:pPr>
        <w:ind w:left="5843" w:hanging="567"/>
      </w:pPr>
      <w:rPr>
        <w:rFonts w:hint="default"/>
      </w:rPr>
    </w:lvl>
    <w:lvl w:ilvl="7" w:tplc="194E3A0A">
      <w:start w:val="1"/>
      <w:numFmt w:val="bullet"/>
      <w:lvlText w:val="•"/>
      <w:lvlJc w:val="left"/>
      <w:pPr>
        <w:ind w:left="6704" w:hanging="567"/>
      </w:pPr>
      <w:rPr>
        <w:rFonts w:hint="default"/>
      </w:rPr>
    </w:lvl>
    <w:lvl w:ilvl="8" w:tplc="06962570">
      <w:start w:val="1"/>
      <w:numFmt w:val="bullet"/>
      <w:lvlText w:val="•"/>
      <w:lvlJc w:val="left"/>
      <w:pPr>
        <w:ind w:left="7565" w:hanging="567"/>
      </w:pPr>
      <w:rPr>
        <w:rFonts w:hint="default"/>
      </w:rPr>
    </w:lvl>
  </w:abstractNum>
  <w:abstractNum w:abstractNumId="3" w15:restartNumberingAfterBreak="0">
    <w:nsid w:val="5CB14B7A"/>
    <w:multiLevelType w:val="multilevel"/>
    <w:tmpl w:val="8BC46834"/>
    <w:lvl w:ilvl="0">
      <w:start w:val="1"/>
      <w:numFmt w:val="decimal"/>
      <w:lvlText w:val="%1."/>
      <w:lvlJc w:val="left"/>
      <w:pPr>
        <w:ind w:left="685" w:hanging="567"/>
      </w:pPr>
      <w:rPr>
        <w:rFonts w:ascii="Times New Roman" w:eastAsia="Times New Roman" w:hAnsi="Times New Roman" w:cs="Times New Roman" w:hint="default"/>
        <w:b/>
        <w:bCs/>
        <w:w w:val="100"/>
        <w:sz w:val="22"/>
        <w:szCs w:val="22"/>
      </w:rPr>
    </w:lvl>
    <w:lvl w:ilvl="1">
      <w:start w:val="1"/>
      <w:numFmt w:val="decimal"/>
      <w:lvlText w:val="%1.%2"/>
      <w:lvlJc w:val="left"/>
      <w:pPr>
        <w:ind w:left="685" w:hanging="567"/>
      </w:pPr>
      <w:rPr>
        <w:rFonts w:ascii="Times New Roman" w:eastAsia="Times New Roman" w:hAnsi="Times New Roman" w:cs="Times New Roman" w:hint="default"/>
        <w:b/>
        <w:bCs/>
        <w:w w:val="100"/>
        <w:sz w:val="22"/>
        <w:szCs w:val="22"/>
      </w:rPr>
    </w:lvl>
    <w:lvl w:ilvl="2">
      <w:start w:val="1"/>
      <w:numFmt w:val="decimal"/>
      <w:lvlText w:val="%3)"/>
      <w:lvlJc w:val="left"/>
      <w:pPr>
        <w:ind w:left="1018" w:hanging="360"/>
      </w:pPr>
      <w:rPr>
        <w:rFonts w:ascii="Times New Roman" w:eastAsia="Times New Roman" w:hAnsi="Times New Roman" w:cs="Times New Roman" w:hint="default"/>
        <w:w w:val="100"/>
        <w:sz w:val="22"/>
        <w:szCs w:val="22"/>
      </w:rPr>
    </w:lvl>
    <w:lvl w:ilvl="3">
      <w:start w:val="1"/>
      <w:numFmt w:val="bullet"/>
      <w:lvlText w:val="•"/>
      <w:lvlJc w:val="left"/>
      <w:pPr>
        <w:ind w:left="2799" w:hanging="360"/>
      </w:pPr>
      <w:rPr>
        <w:rFonts w:hint="default"/>
      </w:rPr>
    </w:lvl>
    <w:lvl w:ilvl="4">
      <w:start w:val="1"/>
      <w:numFmt w:val="bullet"/>
      <w:lvlText w:val="•"/>
      <w:lvlJc w:val="left"/>
      <w:pPr>
        <w:ind w:left="3688" w:hanging="360"/>
      </w:pPr>
      <w:rPr>
        <w:rFonts w:hint="default"/>
      </w:rPr>
    </w:lvl>
    <w:lvl w:ilvl="5">
      <w:start w:val="1"/>
      <w:numFmt w:val="bullet"/>
      <w:lvlText w:val="•"/>
      <w:lvlJc w:val="left"/>
      <w:pPr>
        <w:ind w:left="4578" w:hanging="360"/>
      </w:pPr>
      <w:rPr>
        <w:rFonts w:hint="default"/>
      </w:rPr>
    </w:lvl>
    <w:lvl w:ilvl="6">
      <w:start w:val="1"/>
      <w:numFmt w:val="bullet"/>
      <w:lvlText w:val="•"/>
      <w:lvlJc w:val="left"/>
      <w:pPr>
        <w:ind w:left="5468" w:hanging="360"/>
      </w:pPr>
      <w:rPr>
        <w:rFonts w:hint="default"/>
      </w:rPr>
    </w:lvl>
    <w:lvl w:ilvl="7">
      <w:start w:val="1"/>
      <w:numFmt w:val="bullet"/>
      <w:lvlText w:val="•"/>
      <w:lvlJc w:val="left"/>
      <w:pPr>
        <w:ind w:left="6357" w:hanging="360"/>
      </w:pPr>
      <w:rPr>
        <w:rFonts w:hint="default"/>
      </w:rPr>
    </w:lvl>
    <w:lvl w:ilvl="8">
      <w:start w:val="1"/>
      <w:numFmt w:val="bullet"/>
      <w:lvlText w:val="•"/>
      <w:lvlJc w:val="left"/>
      <w:pPr>
        <w:ind w:left="7247" w:hanging="360"/>
      </w:pPr>
      <w:rPr>
        <w:rFonts w:hint="default"/>
      </w:rPr>
    </w:lvl>
  </w:abstractNum>
  <w:abstractNum w:abstractNumId="4" w15:restartNumberingAfterBreak="0">
    <w:nsid w:val="7DC83BCF"/>
    <w:multiLevelType w:val="hybridMultilevel"/>
    <w:tmpl w:val="522CFB96"/>
    <w:lvl w:ilvl="0" w:tplc="76367732">
      <w:start w:val="1"/>
      <w:numFmt w:val="upperLetter"/>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7C"/>
    <w:rsid w:val="000116C7"/>
    <w:rsid w:val="00014F19"/>
    <w:rsid w:val="000253BE"/>
    <w:rsid w:val="00050297"/>
    <w:rsid w:val="0007161F"/>
    <w:rsid w:val="00091DCE"/>
    <w:rsid w:val="000F1EEF"/>
    <w:rsid w:val="0011233E"/>
    <w:rsid w:val="001738E2"/>
    <w:rsid w:val="001768CC"/>
    <w:rsid w:val="00177D77"/>
    <w:rsid w:val="001E23DF"/>
    <w:rsid w:val="00237E2C"/>
    <w:rsid w:val="00287217"/>
    <w:rsid w:val="002906A2"/>
    <w:rsid w:val="0029527D"/>
    <w:rsid w:val="002C367C"/>
    <w:rsid w:val="002D26D2"/>
    <w:rsid w:val="002D4F08"/>
    <w:rsid w:val="002F4929"/>
    <w:rsid w:val="00334E8C"/>
    <w:rsid w:val="003865AD"/>
    <w:rsid w:val="003A4EDF"/>
    <w:rsid w:val="003F7BE7"/>
    <w:rsid w:val="00411D84"/>
    <w:rsid w:val="00434DEA"/>
    <w:rsid w:val="004759A8"/>
    <w:rsid w:val="004A2C53"/>
    <w:rsid w:val="004C21F0"/>
    <w:rsid w:val="004C4C77"/>
    <w:rsid w:val="00522402"/>
    <w:rsid w:val="00522DF8"/>
    <w:rsid w:val="005709E0"/>
    <w:rsid w:val="0058360F"/>
    <w:rsid w:val="005B06F2"/>
    <w:rsid w:val="005C3194"/>
    <w:rsid w:val="005C4692"/>
    <w:rsid w:val="005C499F"/>
    <w:rsid w:val="005F26E1"/>
    <w:rsid w:val="00660DA3"/>
    <w:rsid w:val="006616EA"/>
    <w:rsid w:val="006858BA"/>
    <w:rsid w:val="006D10FA"/>
    <w:rsid w:val="006D6B4F"/>
    <w:rsid w:val="006E01E9"/>
    <w:rsid w:val="00710005"/>
    <w:rsid w:val="007607E7"/>
    <w:rsid w:val="00781CFA"/>
    <w:rsid w:val="007C42B7"/>
    <w:rsid w:val="007D12CB"/>
    <w:rsid w:val="008147B6"/>
    <w:rsid w:val="00835540"/>
    <w:rsid w:val="008711C2"/>
    <w:rsid w:val="008A7D3C"/>
    <w:rsid w:val="008E5E15"/>
    <w:rsid w:val="00914140"/>
    <w:rsid w:val="00974F20"/>
    <w:rsid w:val="00981DFC"/>
    <w:rsid w:val="009B0681"/>
    <w:rsid w:val="009C761A"/>
    <w:rsid w:val="00A200E9"/>
    <w:rsid w:val="00A328AD"/>
    <w:rsid w:val="00A33E8F"/>
    <w:rsid w:val="00A34EE2"/>
    <w:rsid w:val="00AD013C"/>
    <w:rsid w:val="00B165C9"/>
    <w:rsid w:val="00B335FF"/>
    <w:rsid w:val="00B83F35"/>
    <w:rsid w:val="00B921D7"/>
    <w:rsid w:val="00B923BD"/>
    <w:rsid w:val="00BE701F"/>
    <w:rsid w:val="00BF72FD"/>
    <w:rsid w:val="00C36333"/>
    <w:rsid w:val="00C43636"/>
    <w:rsid w:val="00C46620"/>
    <w:rsid w:val="00CB02AF"/>
    <w:rsid w:val="00D02DDB"/>
    <w:rsid w:val="00D13410"/>
    <w:rsid w:val="00D46BA7"/>
    <w:rsid w:val="00D532FE"/>
    <w:rsid w:val="00DB7611"/>
    <w:rsid w:val="00DB7D5E"/>
    <w:rsid w:val="00E14B42"/>
    <w:rsid w:val="00E20091"/>
    <w:rsid w:val="00E33720"/>
    <w:rsid w:val="00E41B46"/>
    <w:rsid w:val="00EA6BBC"/>
    <w:rsid w:val="00EC57B2"/>
    <w:rsid w:val="00ED2C42"/>
    <w:rsid w:val="00F02E66"/>
    <w:rsid w:val="00F555D7"/>
    <w:rsid w:val="00F61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AB52"/>
  <w15:docId w15:val="{0B7B54D8-3137-4003-9A8B-B5BA97EC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685" w:hanging="56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85" w:hanging="567"/>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4759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59A8"/>
    <w:rPr>
      <w:rFonts w:ascii="Segoe UI" w:eastAsia="Times New Roman" w:hAnsi="Segoe UI" w:cs="Segoe UI"/>
      <w:sz w:val="18"/>
      <w:szCs w:val="18"/>
    </w:rPr>
  </w:style>
  <w:style w:type="character" w:styleId="Hypertextovodkaz">
    <w:name w:val="Hyperlink"/>
    <w:basedOn w:val="Standardnpsmoodstavce"/>
    <w:uiPriority w:val="99"/>
    <w:unhideWhenUsed/>
    <w:rsid w:val="00E33720"/>
    <w:rPr>
      <w:color w:val="0000FF" w:themeColor="hyperlink"/>
      <w:u w:val="single"/>
    </w:rPr>
  </w:style>
  <w:style w:type="paragraph" w:styleId="Zhlav">
    <w:name w:val="header"/>
    <w:basedOn w:val="Normln"/>
    <w:link w:val="ZhlavChar"/>
    <w:uiPriority w:val="99"/>
    <w:unhideWhenUsed/>
    <w:rsid w:val="00B923BD"/>
    <w:pPr>
      <w:tabs>
        <w:tab w:val="center" w:pos="4536"/>
        <w:tab w:val="right" w:pos="9072"/>
      </w:tabs>
    </w:pPr>
  </w:style>
  <w:style w:type="character" w:customStyle="1" w:styleId="ZhlavChar">
    <w:name w:val="Záhlaví Char"/>
    <w:basedOn w:val="Standardnpsmoodstavce"/>
    <w:link w:val="Zhlav"/>
    <w:uiPriority w:val="99"/>
    <w:rsid w:val="00B923BD"/>
    <w:rPr>
      <w:rFonts w:ascii="Times New Roman" w:eastAsia="Times New Roman" w:hAnsi="Times New Roman" w:cs="Times New Roman"/>
    </w:rPr>
  </w:style>
  <w:style w:type="paragraph" w:styleId="Zpat">
    <w:name w:val="footer"/>
    <w:basedOn w:val="Normln"/>
    <w:link w:val="ZpatChar"/>
    <w:uiPriority w:val="99"/>
    <w:unhideWhenUsed/>
    <w:rsid w:val="00B923BD"/>
    <w:pPr>
      <w:tabs>
        <w:tab w:val="center" w:pos="4536"/>
        <w:tab w:val="right" w:pos="9072"/>
      </w:tabs>
    </w:pPr>
  </w:style>
  <w:style w:type="character" w:customStyle="1" w:styleId="ZpatChar">
    <w:name w:val="Zápatí Char"/>
    <w:basedOn w:val="Standardnpsmoodstavce"/>
    <w:link w:val="Zpat"/>
    <w:uiPriority w:val="99"/>
    <w:rsid w:val="00B923B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1092</Words>
  <Characters>6449</Characters>
  <Application>Microsoft Office Word</Application>
  <DocSecurity>0</DocSecurity>
  <Lines>53</Lines>
  <Paragraphs>15</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EN_qrd_veterinary template_v.8 en</vt:lpstr>
      <vt:lpstr>EN_qrd_veterinary template_v.8 en</vt:lpstr>
      <vt:lpstr>EN_qrd_veterinary template_v.8 en</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EN_qrd_veterinary template_v.8 en</dc:title>
  <dc:subject>General-EMA/201224/2010</dc:subject>
  <dc:creator>Dejan</dc:creator>
  <cp:lastModifiedBy>Neugebauerová Kateřina</cp:lastModifiedBy>
  <cp:revision>20</cp:revision>
  <cp:lastPrinted>2022-02-10T10:18:00Z</cp:lastPrinted>
  <dcterms:created xsi:type="dcterms:W3CDTF">2022-01-03T13:32:00Z</dcterms:created>
  <dcterms:modified xsi:type="dcterms:W3CDTF">2022-02-10T10:18:00Z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Microsoft® Word 2010</vt:lpwstr>
  </property>
  <property fmtid="{D5CDD505-2E9C-101B-9397-08002B2CF9AE}" pid="4" name="LastSaved">
    <vt:filetime>2016-10-17T00:00:00Z</vt:filetime>
  </property>
</Properties>
</file>