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FEF1" w14:textId="597CFD1B" w:rsidR="00384EC1" w:rsidRPr="00DC29E1" w:rsidRDefault="00F675F9" w:rsidP="004366C4">
      <w:pPr>
        <w:pStyle w:val="Default"/>
        <w:rPr>
          <w:rFonts w:asciiTheme="minorHAnsi" w:hAnsiTheme="minorHAnsi"/>
          <w:b/>
          <w:sz w:val="32"/>
          <w:szCs w:val="32"/>
        </w:rPr>
      </w:pPr>
      <w:r w:rsidRPr="00DC29E1">
        <w:rPr>
          <w:rFonts w:asciiTheme="minorHAnsi" w:hAnsiTheme="minorHAnsi"/>
          <w:b/>
          <w:sz w:val="32"/>
          <w:szCs w:val="32"/>
        </w:rPr>
        <w:t>Testovací sada na průkaz antigenů viru bovinní virové diarey (BVDV)/</w:t>
      </w:r>
      <w:proofErr w:type="spellStart"/>
      <w:r w:rsidRPr="00DC29E1">
        <w:rPr>
          <w:rFonts w:asciiTheme="minorHAnsi" w:hAnsiTheme="minorHAnsi"/>
          <w:b/>
          <w:sz w:val="32"/>
          <w:szCs w:val="32"/>
        </w:rPr>
        <w:t>S</w:t>
      </w:r>
      <w:r w:rsidR="00507738">
        <w:rPr>
          <w:rFonts w:asciiTheme="minorHAnsi" w:hAnsiTheme="minorHAnsi"/>
          <w:b/>
          <w:sz w:val="32"/>
          <w:szCs w:val="32"/>
        </w:rPr>
        <w:t>e</w:t>
      </w:r>
      <w:r w:rsidRPr="00DC29E1">
        <w:rPr>
          <w:rFonts w:asciiTheme="minorHAnsi" w:hAnsiTheme="minorHAnsi"/>
          <w:b/>
          <w:sz w:val="32"/>
          <w:szCs w:val="32"/>
        </w:rPr>
        <w:t>rum</w:t>
      </w:r>
      <w:proofErr w:type="spellEnd"/>
      <w:r w:rsidRPr="00DC29E1">
        <w:rPr>
          <w:rFonts w:asciiTheme="minorHAnsi" w:hAnsiTheme="minorHAnsi"/>
          <w:b/>
          <w:sz w:val="32"/>
          <w:szCs w:val="32"/>
        </w:rPr>
        <w:t xml:space="preserve"> plus</w:t>
      </w:r>
    </w:p>
    <w:p w14:paraId="10DB2C02" w14:textId="77777777" w:rsidR="004366C4" w:rsidRPr="004366C4" w:rsidRDefault="004366C4" w:rsidP="004366C4">
      <w:pPr>
        <w:pStyle w:val="Default"/>
        <w:rPr>
          <w:rStyle w:val="A1"/>
          <w:rFonts w:asciiTheme="minorHAnsi" w:hAnsiTheme="minorHAnsi"/>
          <w:b/>
          <w:sz w:val="24"/>
          <w:szCs w:val="24"/>
        </w:rPr>
      </w:pPr>
    </w:p>
    <w:p w14:paraId="43341501" w14:textId="671F2873" w:rsidR="00F675F9" w:rsidRPr="00DC29E1" w:rsidRDefault="00F675F9" w:rsidP="00DC29E1">
      <w:pPr>
        <w:jc w:val="right"/>
      </w:pPr>
      <w:r w:rsidRPr="00DC29E1">
        <w:t xml:space="preserve">Pouze pro veterinární </w:t>
      </w:r>
      <w:r w:rsidR="00E4723B">
        <w:t>po</w:t>
      </w:r>
      <w:r w:rsidRPr="00DC29E1">
        <w:t>užití</w:t>
      </w:r>
      <w:r w:rsidR="00E4723B">
        <w:t>.</w:t>
      </w:r>
    </w:p>
    <w:p w14:paraId="40169DC2" w14:textId="3EB26B1A" w:rsidR="00F675F9" w:rsidRPr="00DC29E1" w:rsidRDefault="00F675F9" w:rsidP="00F675F9">
      <w:pPr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 xml:space="preserve">Název a zamýšlené </w:t>
      </w:r>
      <w:r w:rsidR="00E4723B">
        <w:rPr>
          <w:b/>
          <w:sz w:val="32"/>
          <w:szCs w:val="32"/>
        </w:rPr>
        <w:t>po</w:t>
      </w:r>
      <w:r w:rsidRPr="00DC29E1">
        <w:rPr>
          <w:b/>
          <w:sz w:val="32"/>
          <w:szCs w:val="32"/>
        </w:rPr>
        <w:t>užití</w:t>
      </w:r>
    </w:p>
    <w:p w14:paraId="3EAEDF83" w14:textId="776D5E96" w:rsidR="00F675F9" w:rsidRDefault="00F675F9" w:rsidP="00F675F9">
      <w:r>
        <w:t xml:space="preserve">IDEXX BVDV </w:t>
      </w:r>
      <w:proofErr w:type="spellStart"/>
      <w:r>
        <w:t>Ag</w:t>
      </w:r>
      <w:proofErr w:type="spellEnd"/>
      <w:r>
        <w:t>/</w:t>
      </w:r>
      <w:proofErr w:type="spellStart"/>
      <w:r>
        <w:t>S</w:t>
      </w:r>
      <w:r w:rsidR="00DC04A9">
        <w:t>e</w:t>
      </w:r>
      <w:r>
        <w:t>rum</w:t>
      </w:r>
      <w:proofErr w:type="spellEnd"/>
      <w:r>
        <w:t xml:space="preserve"> Plus je enzymatický imunologický test od firmy IDEXX, sloužící k detekci antigenů BVDV v kravském séru, plazmě, plné krvi a výřezech tkáně z ušního boltce.</w:t>
      </w:r>
    </w:p>
    <w:p w14:paraId="55C17BBB" w14:textId="77777777" w:rsidR="00F675F9" w:rsidRPr="00DC29E1" w:rsidRDefault="004366C4" w:rsidP="00F675F9">
      <w:pPr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>Obecné informace</w:t>
      </w:r>
    </w:p>
    <w:p w14:paraId="7AB49849" w14:textId="0E4CD8B8" w:rsidR="00F675F9" w:rsidRDefault="00F675F9" w:rsidP="00F675F9">
      <w:r>
        <w:t>Virus bovinní virové diarey (BVDV), BDV (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virus) a virus klasického moru prasat (CSFV) </w:t>
      </w:r>
      <w:r w:rsidR="007473B5">
        <w:t xml:space="preserve">společně tvoří rod </w:t>
      </w:r>
      <w:proofErr w:type="spellStart"/>
      <w:r w:rsidR="007473B5">
        <w:t>Pestivirus</w:t>
      </w:r>
      <w:proofErr w:type="spellEnd"/>
      <w:r w:rsidR="007473B5">
        <w:t xml:space="preserve"> v rámci čeledi </w:t>
      </w:r>
      <w:proofErr w:type="spellStart"/>
      <w:r w:rsidR="007473B5">
        <w:t>Flaviviridae</w:t>
      </w:r>
      <w:proofErr w:type="spellEnd"/>
      <w:r w:rsidR="007473B5">
        <w:t>. BVDV patří k nejvýznamnějším virovým patogenům dobytka a způsobuje značné škody masnému i mléčnému průmyslu po celém světě.</w:t>
      </w:r>
      <w:r w:rsidR="0086689A">
        <w:t xml:space="preserve"> Mezi typické příznaky BVDV patří průjem, horečka, následované snížením produkce mléka.</w:t>
      </w:r>
      <w:r w:rsidR="007473B5">
        <w:t xml:space="preserve"> Imunosupresivní efekt BVDV může navíc umocnit infekci jinými mikroorganismy. U infikovaných březích krav virus prostupuje přes placentu a způsobuje reprodukční ztráty prostřednictvím abortů, porodů mrtvě narozených telat nebo telat, která záhy umírají. Některá telata, která přežijí, jsou k viru </w:t>
      </w:r>
      <w:proofErr w:type="spellStart"/>
      <w:r w:rsidR="007473B5">
        <w:t>imunotolerantní</w:t>
      </w:r>
      <w:proofErr w:type="spellEnd"/>
      <w:r w:rsidR="007473B5">
        <w:t xml:space="preserve"> a po celý život vylučují značná množství infekčního viru.  Identifikace těchto perzistentně infikovaných zvířat je nutná pro přerušení cyklu infekce ve stádě. </w:t>
      </w:r>
    </w:p>
    <w:p w14:paraId="7D43232C" w14:textId="34AEC4A5" w:rsidR="007473B5" w:rsidRDefault="007473B5" w:rsidP="00F675F9">
      <w:r>
        <w:t>Perzistentně infikovaná zvířata často umírají v prvních dvou letech života na „slizniční chorobu“. Následkem intrauterinní infekce je BVDV častým kontaminantem biologických produktů, jako jsou vakcíny a léčiva. B</w:t>
      </w:r>
      <w:r w:rsidR="00495CC8">
        <w:t>V</w:t>
      </w:r>
      <w:r>
        <w:t xml:space="preserve">DV vyvolává podobné </w:t>
      </w:r>
      <w:r w:rsidR="0044306B">
        <w:t xml:space="preserve">syndromy u ovcí, zatímco CSFV stojí (vzhledem ke své vysoké patogenitě a schopnosti způsobit rozsáhlou mortalitu) za značnými ztrátami v chovu prasat. </w:t>
      </w:r>
    </w:p>
    <w:p w14:paraId="13A95C87" w14:textId="77777777" w:rsidR="0044306B" w:rsidRPr="00DC29E1" w:rsidRDefault="0044306B" w:rsidP="00F675F9">
      <w:pPr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>Popis a principy</w:t>
      </w:r>
    </w:p>
    <w:p w14:paraId="634F5F2A" w14:textId="7E8F35F5" w:rsidR="0044306B" w:rsidRDefault="0044306B" w:rsidP="00F675F9">
      <w:r>
        <w:t xml:space="preserve">IDEXX BVDV </w:t>
      </w:r>
      <w:proofErr w:type="spellStart"/>
      <w:r>
        <w:t>Ag</w:t>
      </w:r>
      <w:proofErr w:type="spellEnd"/>
      <w:r>
        <w:t>/</w:t>
      </w:r>
      <w:proofErr w:type="spellStart"/>
      <w:r>
        <w:t>S</w:t>
      </w:r>
      <w:r w:rsidR="00F20BC6">
        <w:t>e</w:t>
      </w:r>
      <w:bookmarkStart w:id="0" w:name="_GoBack"/>
      <w:bookmarkEnd w:id="0"/>
      <w:r>
        <w:t>rum</w:t>
      </w:r>
      <w:proofErr w:type="spellEnd"/>
      <w:r>
        <w:t xml:space="preserve"> plus je enzymatický imunologický test navržený pro detekci antigenů BVDV (</w:t>
      </w:r>
      <w:proofErr w:type="spellStart"/>
      <w:r>
        <w:t>Ag</w:t>
      </w:r>
      <w:proofErr w:type="spellEnd"/>
      <w:r>
        <w:t xml:space="preserve">) v séru, plazmě, plné krvi a výřezech tkáně z ušního boltce u hovězího dobytka. </w:t>
      </w:r>
      <w:proofErr w:type="spellStart"/>
      <w:r>
        <w:t>Mikrotitrační</w:t>
      </w:r>
      <w:proofErr w:type="spellEnd"/>
      <w:r>
        <w:t xml:space="preserve"> formát byl nastaven imobilizací specifických monoklonálních protilátek proti BVDV (</w:t>
      </w:r>
      <w:proofErr w:type="spellStart"/>
      <w:r>
        <w:t>Ern</w:t>
      </w:r>
      <w:r w:rsidR="00F339DE">
        <w:t>s</w:t>
      </w:r>
      <w:proofErr w:type="spellEnd"/>
      <w:r>
        <w:t xml:space="preserve">) na destičkách. BVDV </w:t>
      </w:r>
      <w:proofErr w:type="spellStart"/>
      <w:r>
        <w:t>Ag</w:t>
      </w:r>
      <w:proofErr w:type="spellEnd"/>
      <w:r>
        <w:t xml:space="preserve"> ze vzorku jsou zachyceny na těchto destičkách. Po inkubaci testovacího vzorku v jamce jsou zachycené BVDV </w:t>
      </w:r>
      <w:proofErr w:type="spellStart"/>
      <w:r>
        <w:t>Ag</w:t>
      </w:r>
      <w:proofErr w:type="spellEnd"/>
      <w:r>
        <w:t xml:space="preserve"> detekovány pomocí specifických protilátek a konjugát</w:t>
      </w:r>
      <w:r w:rsidR="00F339DE">
        <w:t>u křenové peroxidázy. Následně se nenavázaný konjugát vymyje</w:t>
      </w:r>
      <w:r>
        <w:t xml:space="preserve"> a přidá se substrát/chromogenní roztok. V přítomnosti enzymu je substrát konvertován na produkt, který reaguje s chromogenem a vytváří modré zabarvení. Po přidání zastavovacího roztoku vznikne žluté zabarvení. Absorbance se změří spektrofotometrem. </w:t>
      </w:r>
      <w:r w:rsidR="00F339DE">
        <w:t xml:space="preserve"> Upravená optická hustota vzorku se vypočítá odečtením absorbance testovaného vzorku od absorbance negativní kontroly. </w:t>
      </w:r>
    </w:p>
    <w:p w14:paraId="7702A9F8" w14:textId="7499324B" w:rsidR="00F339DE" w:rsidRDefault="001F79AF" w:rsidP="00F675F9">
      <w:r>
        <w:t>Činidla</w:t>
      </w:r>
      <w:r w:rsidR="00F339DE">
        <w:t xml:space="preserve">        </w:t>
      </w:r>
      <w:r>
        <w:tab/>
      </w:r>
      <w:r>
        <w:tab/>
      </w:r>
      <w:r w:rsidR="00F339DE">
        <w:t xml:space="preserve">                                                                                            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"/>
        <w:gridCol w:w="4729"/>
        <w:gridCol w:w="1258"/>
        <w:gridCol w:w="1258"/>
        <w:gridCol w:w="1288"/>
      </w:tblGrid>
      <w:tr w:rsidR="00F339DE" w14:paraId="404E5DEB" w14:textId="77777777" w:rsidTr="00D07728">
        <w:tc>
          <w:tcPr>
            <w:tcW w:w="534" w:type="dxa"/>
          </w:tcPr>
          <w:p w14:paraId="3C3F7585" w14:textId="77777777" w:rsidR="00F339DE" w:rsidRDefault="00F339DE" w:rsidP="00F675F9">
            <w:r>
              <w:t>1</w:t>
            </w:r>
          </w:p>
        </w:tc>
        <w:tc>
          <w:tcPr>
            <w:tcW w:w="4819" w:type="dxa"/>
          </w:tcPr>
          <w:p w14:paraId="698C54D8" w14:textId="77777777" w:rsidR="00F339DE" w:rsidRDefault="00F339DE" w:rsidP="00F675F9">
            <w:r>
              <w:t>Destička potažená Anti-</w:t>
            </w:r>
            <w:proofErr w:type="spellStart"/>
            <w:r w:rsidRPr="00F339DE">
              <w:rPr>
                <w:vertAlign w:val="superscript"/>
              </w:rPr>
              <w:t>Erns</w:t>
            </w:r>
            <w:proofErr w:type="spellEnd"/>
            <w:r>
              <w:t xml:space="preserve"> </w:t>
            </w:r>
            <w:proofErr w:type="spellStart"/>
            <w:r>
              <w:t>mAb</w:t>
            </w:r>
            <w:proofErr w:type="spellEnd"/>
          </w:p>
        </w:tc>
        <w:tc>
          <w:tcPr>
            <w:tcW w:w="1276" w:type="dxa"/>
          </w:tcPr>
          <w:p w14:paraId="479FC107" w14:textId="77777777" w:rsidR="00F339DE" w:rsidRDefault="00F339DE" w:rsidP="00F675F9">
            <w:r>
              <w:t>2</w:t>
            </w:r>
          </w:p>
        </w:tc>
        <w:tc>
          <w:tcPr>
            <w:tcW w:w="1276" w:type="dxa"/>
          </w:tcPr>
          <w:p w14:paraId="56BD0C39" w14:textId="77777777" w:rsidR="00F339DE" w:rsidRDefault="00F339DE" w:rsidP="00F675F9">
            <w:r>
              <w:t>5</w:t>
            </w:r>
          </w:p>
        </w:tc>
        <w:tc>
          <w:tcPr>
            <w:tcW w:w="1307" w:type="dxa"/>
          </w:tcPr>
          <w:p w14:paraId="2D8AC904" w14:textId="77777777" w:rsidR="00F339DE" w:rsidRDefault="00F339DE" w:rsidP="00F675F9">
            <w:r>
              <w:t>30</w:t>
            </w:r>
          </w:p>
        </w:tc>
      </w:tr>
      <w:tr w:rsidR="00F339DE" w14:paraId="3BA88134" w14:textId="77777777" w:rsidTr="00D07728">
        <w:tc>
          <w:tcPr>
            <w:tcW w:w="534" w:type="dxa"/>
          </w:tcPr>
          <w:p w14:paraId="1975D471" w14:textId="77777777" w:rsidR="00F339DE" w:rsidRDefault="00F339DE" w:rsidP="00F675F9">
            <w:r>
              <w:lastRenderedPageBreak/>
              <w:t>2</w:t>
            </w:r>
          </w:p>
        </w:tc>
        <w:tc>
          <w:tcPr>
            <w:tcW w:w="4819" w:type="dxa"/>
          </w:tcPr>
          <w:p w14:paraId="5863C53F" w14:textId="77777777" w:rsidR="00F339DE" w:rsidRDefault="00F339DE" w:rsidP="00F675F9">
            <w:r>
              <w:t>Pozitivní kontrolní vzorek</w:t>
            </w:r>
          </w:p>
        </w:tc>
        <w:tc>
          <w:tcPr>
            <w:tcW w:w="1276" w:type="dxa"/>
          </w:tcPr>
          <w:p w14:paraId="0692E5B2" w14:textId="77777777" w:rsidR="00F339DE" w:rsidRPr="00F5787E" w:rsidRDefault="00F339DE" w:rsidP="00F339DE">
            <w:r w:rsidRPr="00F5787E">
              <w:t>1 x 1</w:t>
            </w:r>
            <w:r>
              <w:t>,</w:t>
            </w:r>
            <w:r w:rsidRPr="00F5787E">
              <w:t>6 m</w:t>
            </w:r>
            <w:r>
              <w:t>l</w:t>
            </w:r>
          </w:p>
        </w:tc>
        <w:tc>
          <w:tcPr>
            <w:tcW w:w="1276" w:type="dxa"/>
          </w:tcPr>
          <w:p w14:paraId="4C828F0B" w14:textId="77E60B1A" w:rsidR="00F339DE" w:rsidRPr="00F5787E" w:rsidRDefault="00F339DE" w:rsidP="00F339DE">
            <w:r w:rsidRPr="00F5787E">
              <w:t xml:space="preserve">1 x </w:t>
            </w:r>
            <w:r w:rsidR="001F79AF">
              <w:t>2,0</w:t>
            </w:r>
            <w:r w:rsidRPr="00F5787E">
              <w:t xml:space="preserve"> m</w:t>
            </w:r>
            <w:r>
              <w:t>l</w:t>
            </w:r>
          </w:p>
        </w:tc>
        <w:tc>
          <w:tcPr>
            <w:tcW w:w="1307" w:type="dxa"/>
          </w:tcPr>
          <w:p w14:paraId="47B6675F" w14:textId="319F99C7" w:rsidR="00F339DE" w:rsidRPr="00F5787E" w:rsidRDefault="00F339DE" w:rsidP="00F339DE">
            <w:r w:rsidRPr="00F5787E">
              <w:t xml:space="preserve">1 x </w:t>
            </w:r>
            <w:r w:rsidR="001F79AF">
              <w:t>6,5</w:t>
            </w:r>
            <w:r w:rsidRPr="00F5787E">
              <w:t xml:space="preserve"> m</w:t>
            </w:r>
            <w:r>
              <w:t>l</w:t>
            </w:r>
          </w:p>
        </w:tc>
      </w:tr>
      <w:tr w:rsidR="00F339DE" w14:paraId="3A88FD61" w14:textId="77777777" w:rsidTr="00D07728">
        <w:tc>
          <w:tcPr>
            <w:tcW w:w="534" w:type="dxa"/>
          </w:tcPr>
          <w:p w14:paraId="4A716BA0" w14:textId="77777777" w:rsidR="00F339DE" w:rsidRDefault="00F339DE" w:rsidP="00F675F9">
            <w:r>
              <w:t>3</w:t>
            </w:r>
          </w:p>
        </w:tc>
        <w:tc>
          <w:tcPr>
            <w:tcW w:w="4819" w:type="dxa"/>
          </w:tcPr>
          <w:p w14:paraId="7C3ABAC1" w14:textId="77777777" w:rsidR="00F339DE" w:rsidRDefault="00F339DE" w:rsidP="00F675F9">
            <w:r>
              <w:t>Negativní kontrolní vzorek</w:t>
            </w:r>
          </w:p>
        </w:tc>
        <w:tc>
          <w:tcPr>
            <w:tcW w:w="1276" w:type="dxa"/>
          </w:tcPr>
          <w:p w14:paraId="741B71F3" w14:textId="77777777" w:rsidR="00F339DE" w:rsidRPr="00F5787E" w:rsidRDefault="00F339DE" w:rsidP="00F455EF">
            <w:r w:rsidRPr="00F5787E">
              <w:t>1 x 1</w:t>
            </w:r>
            <w:r>
              <w:t>,</w:t>
            </w:r>
            <w:r w:rsidRPr="00F5787E">
              <w:t>6 m</w:t>
            </w:r>
            <w:r>
              <w:t>l</w:t>
            </w:r>
          </w:p>
        </w:tc>
        <w:tc>
          <w:tcPr>
            <w:tcW w:w="1276" w:type="dxa"/>
          </w:tcPr>
          <w:p w14:paraId="5BEF7096" w14:textId="636FBD25" w:rsidR="00F339DE" w:rsidRPr="00F5787E" w:rsidRDefault="00F339DE" w:rsidP="00F455EF">
            <w:r w:rsidRPr="00F5787E">
              <w:t xml:space="preserve">1 x </w:t>
            </w:r>
            <w:r w:rsidR="001F79AF">
              <w:t>2,0</w:t>
            </w:r>
            <w:r w:rsidRPr="00F5787E">
              <w:t xml:space="preserve"> m</w:t>
            </w:r>
            <w:r>
              <w:t>l</w:t>
            </w:r>
          </w:p>
        </w:tc>
        <w:tc>
          <w:tcPr>
            <w:tcW w:w="1307" w:type="dxa"/>
          </w:tcPr>
          <w:p w14:paraId="0BBF0755" w14:textId="7408934C" w:rsidR="00F339DE" w:rsidRPr="00F5787E" w:rsidRDefault="00F339DE" w:rsidP="00F455EF">
            <w:r w:rsidRPr="00F5787E">
              <w:t xml:space="preserve">1 x </w:t>
            </w:r>
            <w:r w:rsidR="001F79AF">
              <w:t>6,5</w:t>
            </w:r>
            <w:r w:rsidRPr="00F5787E">
              <w:t xml:space="preserve"> m</w:t>
            </w:r>
            <w:r>
              <w:t>l</w:t>
            </w:r>
          </w:p>
        </w:tc>
      </w:tr>
      <w:tr w:rsidR="00F339DE" w14:paraId="44E4C84D" w14:textId="77777777" w:rsidTr="00D07728">
        <w:tc>
          <w:tcPr>
            <w:tcW w:w="534" w:type="dxa"/>
          </w:tcPr>
          <w:p w14:paraId="346D403D" w14:textId="77777777" w:rsidR="00F339DE" w:rsidRDefault="00F339DE" w:rsidP="00F675F9">
            <w:r>
              <w:t>4</w:t>
            </w:r>
          </w:p>
        </w:tc>
        <w:tc>
          <w:tcPr>
            <w:tcW w:w="4819" w:type="dxa"/>
          </w:tcPr>
          <w:p w14:paraId="5E46415F" w14:textId="77777777" w:rsidR="00F339DE" w:rsidRDefault="00F339DE" w:rsidP="00F675F9">
            <w:r>
              <w:t>Konjugát</w:t>
            </w:r>
          </w:p>
        </w:tc>
        <w:tc>
          <w:tcPr>
            <w:tcW w:w="1276" w:type="dxa"/>
          </w:tcPr>
          <w:p w14:paraId="4846B1DA" w14:textId="77777777" w:rsidR="00F339DE" w:rsidRPr="00D90BFD" w:rsidRDefault="00F339DE" w:rsidP="00D07728">
            <w:r w:rsidRPr="00D90BFD">
              <w:t>1 x 25 m</w:t>
            </w:r>
            <w:r w:rsidR="00D07728">
              <w:t>l</w:t>
            </w:r>
          </w:p>
        </w:tc>
        <w:tc>
          <w:tcPr>
            <w:tcW w:w="1276" w:type="dxa"/>
          </w:tcPr>
          <w:p w14:paraId="5B21D7F4" w14:textId="69FC3BEB" w:rsidR="00F339DE" w:rsidRPr="00D90BFD" w:rsidRDefault="00F339DE" w:rsidP="00D07728">
            <w:r w:rsidRPr="00D90BFD">
              <w:t xml:space="preserve">1 x </w:t>
            </w:r>
            <w:r w:rsidR="001F79AF">
              <w:t>60</w:t>
            </w:r>
            <w:r w:rsidRPr="00D90BFD">
              <w:t xml:space="preserve"> m</w:t>
            </w:r>
            <w:r w:rsidR="00D07728">
              <w:t>l</w:t>
            </w:r>
          </w:p>
        </w:tc>
        <w:tc>
          <w:tcPr>
            <w:tcW w:w="1307" w:type="dxa"/>
          </w:tcPr>
          <w:p w14:paraId="3C668ABA" w14:textId="32D475B3" w:rsidR="00F339DE" w:rsidRPr="00D90BFD" w:rsidRDefault="00F339DE" w:rsidP="00D07728">
            <w:r w:rsidRPr="00D90BFD">
              <w:t xml:space="preserve">1 x </w:t>
            </w:r>
            <w:r w:rsidR="001F79AF">
              <w:t>350</w:t>
            </w:r>
            <w:r w:rsidRPr="00D90BFD">
              <w:t xml:space="preserve"> m</w:t>
            </w:r>
            <w:r w:rsidR="00D07728">
              <w:t>l</w:t>
            </w:r>
          </w:p>
        </w:tc>
      </w:tr>
      <w:tr w:rsidR="00F339DE" w14:paraId="68535E1C" w14:textId="77777777" w:rsidTr="00D07728">
        <w:tc>
          <w:tcPr>
            <w:tcW w:w="534" w:type="dxa"/>
          </w:tcPr>
          <w:p w14:paraId="17E51DCC" w14:textId="77777777" w:rsidR="00F339DE" w:rsidRDefault="00F339DE" w:rsidP="00F675F9">
            <w:r>
              <w:t>5</w:t>
            </w:r>
          </w:p>
        </w:tc>
        <w:tc>
          <w:tcPr>
            <w:tcW w:w="4819" w:type="dxa"/>
          </w:tcPr>
          <w:p w14:paraId="4BB4DD32" w14:textId="77777777" w:rsidR="00F339DE" w:rsidRDefault="00F339DE" w:rsidP="00F675F9">
            <w:proofErr w:type="spellStart"/>
            <w:r>
              <w:t>Pufrační</w:t>
            </w:r>
            <w:proofErr w:type="spellEnd"/>
            <w:r>
              <w:t xml:space="preserve"> roztok pro výřezy tkáně z ušního boltce</w:t>
            </w:r>
          </w:p>
        </w:tc>
        <w:tc>
          <w:tcPr>
            <w:tcW w:w="1276" w:type="dxa"/>
          </w:tcPr>
          <w:p w14:paraId="7496A8F1" w14:textId="77777777" w:rsidR="00F339DE" w:rsidRPr="00D87B71" w:rsidRDefault="00F339DE" w:rsidP="00D07728">
            <w:r w:rsidRPr="00D87B71">
              <w:t>1 x 80 m</w:t>
            </w:r>
            <w:r w:rsidR="00D07728">
              <w:t>l</w:t>
            </w:r>
          </w:p>
        </w:tc>
        <w:tc>
          <w:tcPr>
            <w:tcW w:w="1276" w:type="dxa"/>
          </w:tcPr>
          <w:p w14:paraId="52DC2753" w14:textId="34CA5EED" w:rsidR="00F339DE" w:rsidRPr="00D87B71" w:rsidRDefault="001F79AF" w:rsidP="00D07728">
            <w:r>
              <w:t>2</w:t>
            </w:r>
            <w:r w:rsidR="00F339DE" w:rsidRPr="00D87B71">
              <w:t xml:space="preserve"> x 80 m</w:t>
            </w:r>
            <w:r w:rsidR="00D07728">
              <w:t>l</w:t>
            </w:r>
          </w:p>
        </w:tc>
        <w:tc>
          <w:tcPr>
            <w:tcW w:w="1307" w:type="dxa"/>
          </w:tcPr>
          <w:p w14:paraId="62DD8C11" w14:textId="255EC56C" w:rsidR="00F339DE" w:rsidRPr="00D87B71" w:rsidRDefault="001F79AF" w:rsidP="00D07728">
            <w:r>
              <w:t>2</w:t>
            </w:r>
            <w:r w:rsidR="00F339DE" w:rsidRPr="00D87B71">
              <w:t xml:space="preserve"> x </w:t>
            </w:r>
            <w:r>
              <w:t>4</w:t>
            </w:r>
            <w:r w:rsidR="00F339DE" w:rsidRPr="00D87B71">
              <w:t>80 m</w:t>
            </w:r>
            <w:r w:rsidR="00D07728">
              <w:t>l</w:t>
            </w:r>
          </w:p>
        </w:tc>
      </w:tr>
      <w:tr w:rsidR="00D07728" w14:paraId="4911348F" w14:textId="77777777" w:rsidTr="00D07728">
        <w:tc>
          <w:tcPr>
            <w:tcW w:w="534" w:type="dxa"/>
          </w:tcPr>
          <w:p w14:paraId="614E54A0" w14:textId="77777777" w:rsidR="00D07728" w:rsidRDefault="00D07728" w:rsidP="00F675F9">
            <w:r>
              <w:t>A</w:t>
            </w:r>
          </w:p>
        </w:tc>
        <w:tc>
          <w:tcPr>
            <w:tcW w:w="4819" w:type="dxa"/>
          </w:tcPr>
          <w:p w14:paraId="15117304" w14:textId="77777777" w:rsidR="00D07728" w:rsidRDefault="00D07728" w:rsidP="00D07728">
            <w:r>
              <w:t>TMB substrát</w:t>
            </w:r>
            <w:r w:rsidRPr="00D07728">
              <w:t xml:space="preserve"> </w:t>
            </w:r>
            <w:r>
              <w:t>č</w:t>
            </w:r>
            <w:r w:rsidRPr="00D07728">
              <w:t>.</w:t>
            </w:r>
            <w:r>
              <w:t xml:space="preserve"> </w:t>
            </w:r>
            <w:r w:rsidRPr="00D07728">
              <w:t>12</w:t>
            </w:r>
          </w:p>
        </w:tc>
        <w:tc>
          <w:tcPr>
            <w:tcW w:w="1276" w:type="dxa"/>
          </w:tcPr>
          <w:p w14:paraId="597621B7" w14:textId="77777777" w:rsidR="00D07728" w:rsidRPr="00462AAE" w:rsidRDefault="00D07728" w:rsidP="00D07728">
            <w:r w:rsidRPr="00462AAE">
              <w:t>1 x 20 m</w:t>
            </w:r>
            <w:r>
              <w:t>l</w:t>
            </w:r>
          </w:p>
        </w:tc>
        <w:tc>
          <w:tcPr>
            <w:tcW w:w="1276" w:type="dxa"/>
          </w:tcPr>
          <w:p w14:paraId="23F84B57" w14:textId="0B89D692" w:rsidR="00D07728" w:rsidRPr="00462AAE" w:rsidRDefault="00D07728" w:rsidP="00D07728">
            <w:r w:rsidRPr="00462AAE">
              <w:t xml:space="preserve">1 x </w:t>
            </w:r>
            <w:r w:rsidR="001F79AF">
              <w:t>6</w:t>
            </w:r>
            <w:r w:rsidRPr="00462AAE">
              <w:t>0 m</w:t>
            </w:r>
            <w:r>
              <w:t>l</w:t>
            </w:r>
          </w:p>
        </w:tc>
        <w:tc>
          <w:tcPr>
            <w:tcW w:w="1307" w:type="dxa"/>
          </w:tcPr>
          <w:p w14:paraId="076F04A0" w14:textId="48AEA40B" w:rsidR="00D07728" w:rsidRPr="00462AAE" w:rsidRDefault="00D07728" w:rsidP="00D07728">
            <w:r w:rsidRPr="00462AAE">
              <w:t xml:space="preserve">1 x </w:t>
            </w:r>
            <w:r w:rsidR="001F79AF">
              <w:t>40</w:t>
            </w:r>
            <w:r w:rsidRPr="00462AAE">
              <w:t>0 m</w:t>
            </w:r>
            <w:r>
              <w:t>l</w:t>
            </w:r>
          </w:p>
        </w:tc>
      </w:tr>
      <w:tr w:rsidR="00D07728" w14:paraId="0A50575E" w14:textId="77777777" w:rsidTr="00D07728">
        <w:tc>
          <w:tcPr>
            <w:tcW w:w="534" w:type="dxa"/>
          </w:tcPr>
          <w:p w14:paraId="341A21E6" w14:textId="77777777" w:rsidR="00D07728" w:rsidRDefault="00D07728" w:rsidP="00F675F9">
            <w:r>
              <w:t>B</w:t>
            </w:r>
          </w:p>
        </w:tc>
        <w:tc>
          <w:tcPr>
            <w:tcW w:w="4819" w:type="dxa"/>
          </w:tcPr>
          <w:p w14:paraId="69934720" w14:textId="77777777" w:rsidR="00D07728" w:rsidRDefault="00D07728" w:rsidP="00F675F9">
            <w:r>
              <w:t>Zastavovací roztok č. 3</w:t>
            </w:r>
          </w:p>
        </w:tc>
        <w:tc>
          <w:tcPr>
            <w:tcW w:w="1276" w:type="dxa"/>
          </w:tcPr>
          <w:p w14:paraId="521C76E8" w14:textId="77777777" w:rsidR="00D07728" w:rsidRPr="00462AAE" w:rsidRDefault="00D07728" w:rsidP="00F455EF">
            <w:r w:rsidRPr="00462AAE">
              <w:t>1 x 20 m</w:t>
            </w:r>
            <w:r>
              <w:t>l</w:t>
            </w:r>
          </w:p>
        </w:tc>
        <w:tc>
          <w:tcPr>
            <w:tcW w:w="1276" w:type="dxa"/>
          </w:tcPr>
          <w:p w14:paraId="290A8BC8" w14:textId="702DA50D" w:rsidR="00D07728" w:rsidRPr="00462AAE" w:rsidRDefault="00D07728" w:rsidP="00F455EF">
            <w:r w:rsidRPr="00462AAE">
              <w:t xml:space="preserve">1 x </w:t>
            </w:r>
            <w:r w:rsidR="001F79AF">
              <w:t>6</w:t>
            </w:r>
            <w:r w:rsidRPr="00462AAE">
              <w:t>0 m</w:t>
            </w:r>
            <w:r>
              <w:t>l</w:t>
            </w:r>
          </w:p>
        </w:tc>
        <w:tc>
          <w:tcPr>
            <w:tcW w:w="1307" w:type="dxa"/>
          </w:tcPr>
          <w:p w14:paraId="14A147E8" w14:textId="5DD28887" w:rsidR="00D07728" w:rsidRPr="00462AAE" w:rsidRDefault="00D07728" w:rsidP="00F455EF">
            <w:r w:rsidRPr="00462AAE">
              <w:t xml:space="preserve">1 x </w:t>
            </w:r>
            <w:r w:rsidR="001F79AF">
              <w:t>40</w:t>
            </w:r>
            <w:r w:rsidRPr="00462AAE">
              <w:t>0 m</w:t>
            </w:r>
            <w:r>
              <w:t>l</w:t>
            </w:r>
          </w:p>
        </w:tc>
      </w:tr>
      <w:tr w:rsidR="00D07728" w14:paraId="61FB97AA" w14:textId="77777777" w:rsidTr="00D07728">
        <w:tc>
          <w:tcPr>
            <w:tcW w:w="534" w:type="dxa"/>
          </w:tcPr>
          <w:p w14:paraId="47345A95" w14:textId="77777777" w:rsidR="00D07728" w:rsidRDefault="00D07728" w:rsidP="00F675F9">
            <w:r>
              <w:t>C</w:t>
            </w:r>
          </w:p>
        </w:tc>
        <w:tc>
          <w:tcPr>
            <w:tcW w:w="4819" w:type="dxa"/>
          </w:tcPr>
          <w:p w14:paraId="3E83F120" w14:textId="77777777" w:rsidR="00D07728" w:rsidRDefault="00D07728" w:rsidP="00F675F9">
            <w:r>
              <w:t>Mycí koncentrát (10 X)</w:t>
            </w:r>
          </w:p>
        </w:tc>
        <w:tc>
          <w:tcPr>
            <w:tcW w:w="1276" w:type="dxa"/>
          </w:tcPr>
          <w:p w14:paraId="66C64126" w14:textId="77777777" w:rsidR="00D07728" w:rsidRPr="00A24FDE" w:rsidRDefault="00D07728" w:rsidP="00D07728">
            <w:r w:rsidRPr="00A24FDE">
              <w:t>1 x 125 m</w:t>
            </w:r>
            <w:r>
              <w:t>l</w:t>
            </w:r>
          </w:p>
        </w:tc>
        <w:tc>
          <w:tcPr>
            <w:tcW w:w="1276" w:type="dxa"/>
          </w:tcPr>
          <w:p w14:paraId="5EBE378E" w14:textId="105F7156" w:rsidR="00D07728" w:rsidRPr="00A24FDE" w:rsidRDefault="00D07728" w:rsidP="00D07728">
            <w:r w:rsidRPr="00A24FDE">
              <w:t xml:space="preserve">1 x </w:t>
            </w:r>
            <w:r w:rsidR="001F79AF">
              <w:t>480</w:t>
            </w:r>
            <w:r w:rsidRPr="00A24FDE">
              <w:t xml:space="preserve"> m</w:t>
            </w:r>
            <w:r>
              <w:t>l</w:t>
            </w:r>
          </w:p>
        </w:tc>
        <w:tc>
          <w:tcPr>
            <w:tcW w:w="1307" w:type="dxa"/>
          </w:tcPr>
          <w:p w14:paraId="426619E1" w14:textId="15DB1B82" w:rsidR="00D07728" w:rsidRPr="00A24FDE" w:rsidRDefault="001F79AF" w:rsidP="00D07728">
            <w:r>
              <w:t>3</w:t>
            </w:r>
            <w:r w:rsidR="00D07728" w:rsidRPr="00A24FDE">
              <w:t xml:space="preserve"> x </w:t>
            </w:r>
            <w:r>
              <w:t>480</w:t>
            </w:r>
            <w:r w:rsidR="00D07728" w:rsidRPr="00A24FDE">
              <w:t xml:space="preserve"> m</w:t>
            </w:r>
            <w:r w:rsidR="00D07728">
              <w:t>l</w:t>
            </w:r>
          </w:p>
        </w:tc>
      </w:tr>
      <w:tr w:rsidR="00D07728" w14:paraId="05F34A4A" w14:textId="77777777" w:rsidTr="00D07728">
        <w:tc>
          <w:tcPr>
            <w:tcW w:w="534" w:type="dxa"/>
          </w:tcPr>
          <w:p w14:paraId="0BF6472D" w14:textId="77777777" w:rsidR="00D07728" w:rsidRDefault="00D07728" w:rsidP="00F675F9">
            <w:r>
              <w:t>D</w:t>
            </w:r>
          </w:p>
        </w:tc>
        <w:tc>
          <w:tcPr>
            <w:tcW w:w="4819" w:type="dxa"/>
          </w:tcPr>
          <w:p w14:paraId="02154AD7" w14:textId="77777777" w:rsidR="00D07728" w:rsidRDefault="00D07728" w:rsidP="00F675F9">
            <w:r>
              <w:t>Detekční roztok</w:t>
            </w:r>
          </w:p>
        </w:tc>
        <w:tc>
          <w:tcPr>
            <w:tcW w:w="1276" w:type="dxa"/>
          </w:tcPr>
          <w:p w14:paraId="05E4C425" w14:textId="77777777" w:rsidR="00D07728" w:rsidRPr="00CE5377" w:rsidRDefault="00D07728" w:rsidP="00D07728">
            <w:r w:rsidRPr="00CE5377">
              <w:t>1 x 15 m</w:t>
            </w:r>
            <w:r>
              <w:t>l</w:t>
            </w:r>
          </w:p>
        </w:tc>
        <w:tc>
          <w:tcPr>
            <w:tcW w:w="1276" w:type="dxa"/>
          </w:tcPr>
          <w:p w14:paraId="34456F19" w14:textId="314A55D0" w:rsidR="00D07728" w:rsidRPr="00CE5377" w:rsidRDefault="00D07728" w:rsidP="00D07728">
            <w:r w:rsidRPr="00CE5377">
              <w:t xml:space="preserve">1 x </w:t>
            </w:r>
            <w:r w:rsidR="001F79AF">
              <w:t>30</w:t>
            </w:r>
            <w:r w:rsidRPr="00CE5377">
              <w:t xml:space="preserve"> m</w:t>
            </w:r>
            <w:r>
              <w:t>l</w:t>
            </w:r>
          </w:p>
        </w:tc>
        <w:tc>
          <w:tcPr>
            <w:tcW w:w="1307" w:type="dxa"/>
          </w:tcPr>
          <w:p w14:paraId="66C3F0A1" w14:textId="05685F5B" w:rsidR="00D07728" w:rsidRPr="00CE5377" w:rsidRDefault="00D07728" w:rsidP="00D07728">
            <w:r w:rsidRPr="00CE5377">
              <w:t>1 x 1</w:t>
            </w:r>
            <w:r w:rsidR="001F79AF">
              <w:t>80</w:t>
            </w:r>
            <w:r w:rsidRPr="00CE5377">
              <w:t xml:space="preserve"> m</w:t>
            </w:r>
            <w:r>
              <w:t>l</w:t>
            </w:r>
          </w:p>
        </w:tc>
      </w:tr>
      <w:tr w:rsidR="00F339DE" w14:paraId="26B5E0AF" w14:textId="77777777" w:rsidTr="00D07728">
        <w:tc>
          <w:tcPr>
            <w:tcW w:w="5353" w:type="dxa"/>
            <w:gridSpan w:val="2"/>
          </w:tcPr>
          <w:p w14:paraId="6175A2FE" w14:textId="77777777" w:rsidR="00F339DE" w:rsidRDefault="00F339DE" w:rsidP="00F675F9">
            <w:r>
              <w:t>Další komponenty: sáček se zipovým uzávěrem</w:t>
            </w:r>
          </w:p>
        </w:tc>
        <w:tc>
          <w:tcPr>
            <w:tcW w:w="1276" w:type="dxa"/>
          </w:tcPr>
          <w:p w14:paraId="78FAC742" w14:textId="77777777" w:rsidR="00F339DE" w:rsidRDefault="00F339DE" w:rsidP="00F675F9">
            <w:r>
              <w:t>1</w:t>
            </w:r>
          </w:p>
        </w:tc>
        <w:tc>
          <w:tcPr>
            <w:tcW w:w="1276" w:type="dxa"/>
          </w:tcPr>
          <w:p w14:paraId="47BB18C6" w14:textId="77777777" w:rsidR="00F339DE" w:rsidRDefault="00F339DE" w:rsidP="00F675F9">
            <w:r>
              <w:t>1</w:t>
            </w:r>
          </w:p>
        </w:tc>
        <w:tc>
          <w:tcPr>
            <w:tcW w:w="1307" w:type="dxa"/>
          </w:tcPr>
          <w:p w14:paraId="6FB2500C" w14:textId="77777777" w:rsidR="00F339DE" w:rsidRDefault="00F339DE" w:rsidP="00F675F9">
            <w:r>
              <w:t>-</w:t>
            </w:r>
          </w:p>
        </w:tc>
      </w:tr>
    </w:tbl>
    <w:p w14:paraId="2813FD6C" w14:textId="77777777" w:rsidR="00495CC8" w:rsidRDefault="00495CC8" w:rsidP="00D479A9">
      <w:pPr>
        <w:spacing w:after="0"/>
        <w:rPr>
          <w:b/>
        </w:rPr>
      </w:pPr>
    </w:p>
    <w:p w14:paraId="2A796B06" w14:textId="2FBAB08E" w:rsidR="00F675F9" w:rsidRDefault="00D479A9" w:rsidP="00D479A9">
      <w:pPr>
        <w:spacing w:after="0"/>
      </w:pPr>
      <w:r w:rsidRPr="00DC29E1">
        <w:rPr>
          <w:b/>
        </w:rPr>
        <w:t>Poznámka:</w:t>
      </w:r>
      <w:r>
        <w:t xml:space="preserve"> Popis symbolů použitých v</w:t>
      </w:r>
      <w:r w:rsidR="001F79AF">
        <w:t> této příbalové informaci</w:t>
      </w:r>
      <w:r>
        <w:t xml:space="preserve"> </w:t>
      </w:r>
      <w:r w:rsidR="00E65269">
        <w:t>najdete</w:t>
      </w:r>
      <w:r>
        <w:t xml:space="preserve"> v tabulce na konci letáku.</w:t>
      </w:r>
    </w:p>
    <w:p w14:paraId="0F0B89AB" w14:textId="77777777" w:rsidR="00D479A9" w:rsidRPr="00DC29E1" w:rsidRDefault="00D479A9" w:rsidP="00D479A9">
      <w:pPr>
        <w:spacing w:after="0"/>
        <w:rPr>
          <w:sz w:val="32"/>
          <w:szCs w:val="32"/>
        </w:rPr>
      </w:pPr>
    </w:p>
    <w:p w14:paraId="48AD1959" w14:textId="77777777" w:rsidR="00D479A9" w:rsidRPr="00DC29E1" w:rsidRDefault="00D479A9" w:rsidP="00D479A9">
      <w:pPr>
        <w:spacing w:after="0"/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>Uchovávání</w:t>
      </w:r>
    </w:p>
    <w:p w14:paraId="33B235F6" w14:textId="77777777" w:rsidR="00D479A9" w:rsidRDefault="00D479A9" w:rsidP="00D479A9">
      <w:pPr>
        <w:spacing w:after="0"/>
      </w:pPr>
    </w:p>
    <w:p w14:paraId="56CCF4E9" w14:textId="39B08714" w:rsidR="00D479A9" w:rsidRDefault="00E65269" w:rsidP="00D479A9">
      <w:pPr>
        <w:spacing w:after="0"/>
      </w:pPr>
      <w:r>
        <w:t>Činidla</w:t>
      </w:r>
      <w:r w:rsidR="00D479A9">
        <w:t xml:space="preserve"> uchovávejte při teplotě 2–8 °C. </w:t>
      </w:r>
      <w:r>
        <w:t>Činidla</w:t>
      </w:r>
      <w:r w:rsidR="00D479A9">
        <w:t xml:space="preserve"> jsou za předpokladu řádného skladování stabilní do data exspirace.</w:t>
      </w:r>
    </w:p>
    <w:p w14:paraId="0FDC609F" w14:textId="77777777" w:rsidR="00D479A9" w:rsidRDefault="00D479A9" w:rsidP="00D479A9">
      <w:pPr>
        <w:spacing w:after="0"/>
      </w:pPr>
    </w:p>
    <w:p w14:paraId="14735C4D" w14:textId="77777777" w:rsidR="00D479A9" w:rsidRPr="00DC29E1" w:rsidRDefault="00D479A9" w:rsidP="00D479A9">
      <w:pPr>
        <w:spacing w:after="0"/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>Potřebné materiály, které nejsou součástí soupravy</w:t>
      </w:r>
    </w:p>
    <w:p w14:paraId="28A8B3B7" w14:textId="77777777" w:rsidR="00D479A9" w:rsidRDefault="00D479A9" w:rsidP="00D479A9">
      <w:pPr>
        <w:spacing w:after="0"/>
      </w:pPr>
    </w:p>
    <w:p w14:paraId="6B0340BB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>Přesné pipety nebo multikanálové pipety</w:t>
      </w:r>
    </w:p>
    <w:p w14:paraId="76D72A2F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14:paraId="377A4EC7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>Odměrný válec se stupnicí pro přípravu mycího roztoku</w:t>
      </w:r>
    </w:p>
    <w:p w14:paraId="6A2CEBF3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proofErr w:type="spellStart"/>
      <w:r>
        <w:t>Mikrodestička</w:t>
      </w:r>
      <w:proofErr w:type="spellEnd"/>
      <w:r>
        <w:t xml:space="preserve"> s 96 jamkami (vybavená filtrem s vlnovou délkou 450 </w:t>
      </w:r>
      <w:proofErr w:type="spellStart"/>
      <w:r>
        <w:t>nm</w:t>
      </w:r>
      <w:proofErr w:type="spellEnd"/>
      <w:r>
        <w:t xml:space="preserve"> nebo duálním filtrem pro 450 a 650 </w:t>
      </w:r>
      <w:proofErr w:type="spellStart"/>
      <w:r>
        <w:t>nm</w:t>
      </w:r>
      <w:proofErr w:type="spellEnd"/>
      <w:r>
        <w:t>)</w:t>
      </w:r>
    </w:p>
    <w:p w14:paraId="5864CA4D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 xml:space="preserve">Mycí zařízení na </w:t>
      </w:r>
      <w:proofErr w:type="spellStart"/>
      <w:r>
        <w:t>mikrodestičku</w:t>
      </w:r>
      <w:proofErr w:type="spellEnd"/>
      <w:r>
        <w:t xml:space="preserve"> (manuální, poloautomatický nebo automatický systém)</w:t>
      </w:r>
    </w:p>
    <w:p w14:paraId="2DB1E3EF" w14:textId="11A8AF26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 xml:space="preserve">Pro přípravu </w:t>
      </w:r>
      <w:r w:rsidR="00E65269">
        <w:t>činidel</w:t>
      </w:r>
      <w:r>
        <w:t xml:space="preserve">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14:paraId="1C821A3F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>Materiál na zakrytí destiček (víčka, aluminiová nebo přilnavá fólie)</w:t>
      </w:r>
    </w:p>
    <w:p w14:paraId="4635B53C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>Odstředivka (zrychlení 2000 x g)</w:t>
      </w:r>
    </w:p>
    <w:p w14:paraId="15768A2D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proofErr w:type="spellStart"/>
      <w:r>
        <w:t>Vortex</w:t>
      </w:r>
      <w:proofErr w:type="spellEnd"/>
      <w:r>
        <w:t xml:space="preserve"> nebo ekvivalentní třepačka</w:t>
      </w:r>
    </w:p>
    <w:p w14:paraId="7F9FAFD8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 xml:space="preserve">Třepačka na </w:t>
      </w:r>
      <w:proofErr w:type="spellStart"/>
      <w:r>
        <w:t>mikrodestičky</w:t>
      </w:r>
      <w:proofErr w:type="spellEnd"/>
    </w:p>
    <w:p w14:paraId="2C29E6F5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 xml:space="preserve">Vlhká komůrka nebo inkubátor schopný udržet teplotu </w:t>
      </w:r>
      <w:r w:rsidRPr="00D479A9">
        <w:t>+37°C (±3°C)</w:t>
      </w:r>
    </w:p>
    <w:p w14:paraId="5E8E17A6" w14:textId="77777777" w:rsidR="00D479A9" w:rsidRDefault="00D479A9" w:rsidP="00D479A9">
      <w:pPr>
        <w:pStyle w:val="Odstavecseseznamem"/>
        <w:numPr>
          <w:ilvl w:val="0"/>
          <w:numId w:val="1"/>
        </w:numPr>
        <w:spacing w:after="0"/>
      </w:pPr>
      <w:r>
        <w:t>Zkumavky pro namáčení vzorků tkáně</w:t>
      </w:r>
    </w:p>
    <w:p w14:paraId="0C2E228F" w14:textId="77777777" w:rsidR="00D479A9" w:rsidRDefault="00D479A9" w:rsidP="00D479A9"/>
    <w:p w14:paraId="60F086F6" w14:textId="77777777" w:rsidR="00D479A9" w:rsidRPr="00DC29E1" w:rsidRDefault="00D479A9" w:rsidP="00D479A9">
      <w:pPr>
        <w:spacing w:after="0"/>
        <w:rPr>
          <w:b/>
          <w:sz w:val="28"/>
          <w:szCs w:val="28"/>
        </w:rPr>
      </w:pPr>
      <w:r w:rsidRPr="00DC29E1">
        <w:rPr>
          <w:b/>
          <w:sz w:val="28"/>
          <w:szCs w:val="28"/>
        </w:rPr>
        <w:t>Bezpečnostní opatření a upozornění pro uživatele</w:t>
      </w:r>
    </w:p>
    <w:p w14:paraId="0676825B" w14:textId="77777777" w:rsidR="00D479A9" w:rsidRDefault="00D479A9" w:rsidP="00D479A9">
      <w:pPr>
        <w:spacing w:after="0"/>
      </w:pPr>
    </w:p>
    <w:p w14:paraId="0B73A19F" w14:textId="77777777" w:rsidR="00D479A9" w:rsidRDefault="00D479A9" w:rsidP="00D479A9">
      <w:pPr>
        <w:pStyle w:val="Odstavecseseznamem"/>
        <w:numPr>
          <w:ilvl w:val="0"/>
          <w:numId w:val="2"/>
        </w:numPr>
        <w:spacing w:after="0"/>
      </w:pPr>
      <w:r>
        <w:t xml:space="preserve">Se všemi biologickými materiály zacházejte jako s potenciálně infekčními. </w:t>
      </w:r>
    </w:p>
    <w:p w14:paraId="6E0C0BF4" w14:textId="3ECAF380" w:rsidR="00D479A9" w:rsidRDefault="00D479A9" w:rsidP="00D479A9">
      <w:pPr>
        <w:pStyle w:val="Odstavecseseznamem"/>
        <w:numPr>
          <w:ilvl w:val="0"/>
          <w:numId w:val="2"/>
        </w:numPr>
        <w:spacing w:after="0"/>
      </w:pPr>
      <w:r>
        <w:t xml:space="preserve">Při manipulaci se vzorky a </w:t>
      </w:r>
      <w:r w:rsidR="00E65269">
        <w:t>činidly</w:t>
      </w:r>
      <w:r>
        <w:t xml:space="preserve"> používejte ochranné rukavice / ochranné oblečení / ochranu očí nebo obličeje.</w:t>
      </w:r>
    </w:p>
    <w:p w14:paraId="5F337C83" w14:textId="77777777" w:rsidR="00D479A9" w:rsidRDefault="00D479A9" w:rsidP="00D479A9">
      <w:pPr>
        <w:pStyle w:val="Odstavecseseznamem"/>
        <w:numPr>
          <w:ilvl w:val="0"/>
          <w:numId w:val="2"/>
        </w:numPr>
        <w:spacing w:after="0"/>
      </w:pPr>
      <w:r>
        <w:t>Další informace najdete v materiálových bezpečnostních listech.</w:t>
      </w:r>
    </w:p>
    <w:p w14:paraId="553C8495" w14:textId="04E47B4B" w:rsidR="00D479A9" w:rsidRDefault="00D479A9" w:rsidP="00D479A9">
      <w:pPr>
        <w:pStyle w:val="Odstavecseseznamem"/>
        <w:numPr>
          <w:ilvl w:val="0"/>
          <w:numId w:val="2"/>
        </w:numPr>
        <w:spacing w:after="0"/>
      </w:pPr>
      <w:r>
        <w:lastRenderedPageBreak/>
        <w:t xml:space="preserve">Upozornění a bezpečnostní opatření pro použití </w:t>
      </w:r>
      <w:r w:rsidR="00E65269">
        <w:t>činidel</w:t>
      </w:r>
      <w:r>
        <w:t xml:space="preserve"> najdete na konci t</w:t>
      </w:r>
      <w:r w:rsidR="00E65269">
        <w:t>éto příbalové informace.</w:t>
      </w:r>
    </w:p>
    <w:p w14:paraId="0DB71D8D" w14:textId="77777777" w:rsidR="00D479A9" w:rsidRDefault="00D479A9" w:rsidP="00D479A9"/>
    <w:p w14:paraId="44F56065" w14:textId="77777777" w:rsidR="00D479A9" w:rsidRPr="00DC29E1" w:rsidRDefault="00D479A9" w:rsidP="00D479A9">
      <w:pPr>
        <w:spacing w:after="0"/>
        <w:rPr>
          <w:b/>
          <w:sz w:val="28"/>
          <w:szCs w:val="28"/>
        </w:rPr>
      </w:pPr>
      <w:r w:rsidRPr="00DC29E1">
        <w:rPr>
          <w:b/>
          <w:sz w:val="28"/>
          <w:szCs w:val="28"/>
        </w:rPr>
        <w:t>Laboratorní postupy</w:t>
      </w:r>
    </w:p>
    <w:p w14:paraId="147FE90C" w14:textId="77777777" w:rsidR="00D479A9" w:rsidRDefault="00D479A9" w:rsidP="00D479A9">
      <w:pPr>
        <w:spacing w:after="0"/>
      </w:pPr>
    </w:p>
    <w:p w14:paraId="0A1C297C" w14:textId="77777777" w:rsidR="00D479A9" w:rsidRDefault="00D479A9" w:rsidP="00D479A9">
      <w:pPr>
        <w:pStyle w:val="Odstavecseseznamem"/>
        <w:numPr>
          <w:ilvl w:val="0"/>
          <w:numId w:val="3"/>
        </w:numPr>
        <w:spacing w:after="0"/>
      </w:pPr>
      <w:r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>
        <w:t>pipetovací</w:t>
      </w:r>
      <w:proofErr w:type="spellEnd"/>
      <w:r>
        <w:t xml:space="preserve"> špičku.</w:t>
      </w:r>
    </w:p>
    <w:p w14:paraId="75702F65" w14:textId="77777777" w:rsidR="00D479A9" w:rsidRDefault="00D479A9" w:rsidP="00D479A9">
      <w:pPr>
        <w:pStyle w:val="Odstavecseseznamem"/>
        <w:numPr>
          <w:ilvl w:val="0"/>
          <w:numId w:val="3"/>
        </w:numPr>
        <w:spacing w:after="0"/>
      </w:pPr>
      <w:r>
        <w:t xml:space="preserve">TMB roztok nevystavujte silnému světlu nebo jakýmkoli oxidačním činidlům. Pro manipulaci s TMB roztokem používejte čisté skleněné nebo plastové nádoby. </w:t>
      </w:r>
    </w:p>
    <w:p w14:paraId="6BD71C1E" w14:textId="77777777" w:rsidR="00D479A9" w:rsidRDefault="00D479A9" w:rsidP="00D479A9">
      <w:pPr>
        <w:pStyle w:val="Odstavecseseznamem"/>
        <w:numPr>
          <w:ilvl w:val="0"/>
          <w:numId w:val="3"/>
        </w:numPr>
        <w:spacing w:after="0"/>
      </w:pPr>
      <w:r>
        <w:t>Všechny odpady je třeba před likvidací řádně dekontaminovat. Obsah likvidujte v souladu s místními, regionálními a státními předpisy.</w:t>
      </w:r>
    </w:p>
    <w:p w14:paraId="365E906D" w14:textId="3AF0CB59" w:rsidR="00D479A9" w:rsidRDefault="00D479A9" w:rsidP="00D479A9">
      <w:pPr>
        <w:pStyle w:val="Odstavecseseznamem"/>
        <w:numPr>
          <w:ilvl w:val="0"/>
          <w:numId w:val="3"/>
        </w:numPr>
        <w:spacing w:after="0"/>
      </w:pPr>
      <w:r>
        <w:t>Snažte se zabránit kontaminaci složek soupravy. Nenalévejte nepoužit</w:t>
      </w:r>
      <w:r w:rsidR="00E65269">
        <w:t>á</w:t>
      </w:r>
      <w:r>
        <w:t xml:space="preserve"> </w:t>
      </w:r>
      <w:r w:rsidR="00E65269">
        <w:t>činidla</w:t>
      </w:r>
      <w:r>
        <w:t xml:space="preserve"> zpět do nádob.</w:t>
      </w:r>
    </w:p>
    <w:p w14:paraId="64D7843B" w14:textId="4C5A9B73" w:rsidR="00D479A9" w:rsidRDefault="00D479A9" w:rsidP="00D479A9">
      <w:pPr>
        <w:pStyle w:val="Odstavecseseznamem"/>
        <w:numPr>
          <w:ilvl w:val="0"/>
          <w:numId w:val="3"/>
        </w:numPr>
        <w:spacing w:after="0"/>
      </w:pPr>
      <w:r>
        <w:t>Nepoužívejte soupravu po datu exspirace.</w:t>
      </w:r>
    </w:p>
    <w:p w14:paraId="3AF8B515" w14:textId="77777777" w:rsidR="00D479A9" w:rsidRPr="00743BF7" w:rsidRDefault="00D479A9" w:rsidP="00F675F9">
      <w:pPr>
        <w:rPr>
          <w:b/>
        </w:rPr>
      </w:pPr>
    </w:p>
    <w:p w14:paraId="7247C4D0" w14:textId="319D7E07" w:rsidR="00EE6B27" w:rsidRPr="00DC29E1" w:rsidRDefault="00EE6B27" w:rsidP="00F675F9">
      <w:pPr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 xml:space="preserve">Příprava </w:t>
      </w:r>
      <w:r w:rsidR="00E65269" w:rsidRPr="00DC29E1">
        <w:rPr>
          <w:b/>
          <w:sz w:val="32"/>
          <w:szCs w:val="32"/>
        </w:rPr>
        <w:t>činidel</w:t>
      </w:r>
    </w:p>
    <w:p w14:paraId="465645C4" w14:textId="77777777" w:rsidR="00287AB8" w:rsidRPr="00DC29E1" w:rsidRDefault="00287AB8" w:rsidP="00F675F9">
      <w:pPr>
        <w:rPr>
          <w:b/>
          <w:sz w:val="28"/>
          <w:szCs w:val="28"/>
        </w:rPr>
      </w:pPr>
      <w:r w:rsidRPr="00DC29E1">
        <w:rPr>
          <w:b/>
          <w:sz w:val="28"/>
          <w:szCs w:val="28"/>
        </w:rPr>
        <w:t>Mycí roztok</w:t>
      </w:r>
    </w:p>
    <w:p w14:paraId="76BF40BF" w14:textId="77777777" w:rsidR="00287AB8" w:rsidRDefault="00743BF7" w:rsidP="00F675F9">
      <w:r>
        <w:t xml:space="preserve">Mycí koncentrát (10X) zahřejte na </w:t>
      </w:r>
      <w:r w:rsidRPr="00743BF7">
        <w:t>18–26°C</w:t>
      </w:r>
      <w:r>
        <w:t xml:space="preserve"> a promíchejte, aby se rozpustily sražené soli. Mycí koncentrát (10X) musí být před použitím zředěn destilovanou nebo </w:t>
      </w:r>
      <w:proofErr w:type="spellStart"/>
      <w:r>
        <w:t>deionizovanou</w:t>
      </w:r>
      <w:proofErr w:type="spellEnd"/>
      <w:r>
        <w:t xml:space="preserve"> vodou v poměru 1 ku 10 (např. 30 ml mycího koncentrátu (10X) a 270 ml vody na každou testovanou destičku). Pokud je připravován za sterilních podmínek, může se mycí roztok uchovávat týden při </w:t>
      </w:r>
      <w:r w:rsidRPr="00743BF7">
        <w:t>2–8°C</w:t>
      </w:r>
      <w:r>
        <w:t xml:space="preserve">. </w:t>
      </w:r>
    </w:p>
    <w:p w14:paraId="2223E9B5" w14:textId="77777777" w:rsidR="00743BF7" w:rsidRPr="00DC29E1" w:rsidRDefault="00743BF7" w:rsidP="00F675F9">
      <w:pPr>
        <w:rPr>
          <w:b/>
          <w:sz w:val="28"/>
          <w:szCs w:val="28"/>
        </w:rPr>
      </w:pPr>
      <w:r w:rsidRPr="00DC29E1">
        <w:rPr>
          <w:b/>
          <w:sz w:val="28"/>
          <w:szCs w:val="28"/>
        </w:rPr>
        <w:t>Příprava vzorků</w:t>
      </w:r>
    </w:p>
    <w:p w14:paraId="56C98438" w14:textId="77777777" w:rsidR="00743BF7" w:rsidRDefault="00743BF7" w:rsidP="00F675F9">
      <w:r>
        <w:t xml:space="preserve">Lze testovat čerstvé nebo zmražené sérum, plazmu, plnou krev nebo výřezy tkáně z ušního boltce. </w:t>
      </w:r>
    </w:p>
    <w:p w14:paraId="0BE22C6B" w14:textId="77777777" w:rsidR="00743BF7" w:rsidRDefault="00743BF7" w:rsidP="00F675F9">
      <w:r>
        <w:t>Vzorky výřezů tkáně z ušního boltce</w:t>
      </w:r>
    </w:p>
    <w:p w14:paraId="7ECEB0B3" w14:textId="77777777" w:rsidR="002B3530" w:rsidRDefault="00743BF7" w:rsidP="002B3530">
      <w:pPr>
        <w:pStyle w:val="Odstavecseseznamem"/>
        <w:numPr>
          <w:ilvl w:val="0"/>
          <w:numId w:val="5"/>
        </w:numPr>
      </w:pPr>
      <w:r>
        <w:t>Použijte vzorky ve tvaru kruhu o průměru 2-3 mm (získané např. při aplikaci ušních štítků pomocí přiloženého zařízení na odběr vzorků).</w:t>
      </w:r>
    </w:p>
    <w:p w14:paraId="5A5DCD32" w14:textId="77777777" w:rsidR="002B3530" w:rsidRDefault="00743BF7" w:rsidP="002B3530">
      <w:pPr>
        <w:pStyle w:val="Odstavecseseznamem"/>
        <w:numPr>
          <w:ilvl w:val="0"/>
          <w:numId w:val="5"/>
        </w:numPr>
      </w:pPr>
      <w:r>
        <w:t xml:space="preserve"> </w:t>
      </w:r>
      <w:r w:rsidR="002B3530">
        <w:t xml:space="preserve">Je-li to možné, mohou vzorky zůstat v odběrovém zařízení pro inkubaci. Poznámka: lze testovat čerstvé, vlhké, sušené i zmražené vzorky tkáně. </w:t>
      </w:r>
    </w:p>
    <w:p w14:paraId="5B95CEE7" w14:textId="71F43447" w:rsidR="002B3530" w:rsidRDefault="002B3530" w:rsidP="002B3530">
      <w:pPr>
        <w:pStyle w:val="Odstavecseseznamem"/>
        <w:numPr>
          <w:ilvl w:val="0"/>
          <w:numId w:val="5"/>
        </w:numPr>
      </w:pPr>
      <w:r>
        <w:t xml:space="preserve">Ke vzorku přidejte </w:t>
      </w:r>
      <w:r w:rsidRPr="002B3530">
        <w:t xml:space="preserve">150–250 </w:t>
      </w:r>
      <w:proofErr w:type="spellStart"/>
      <w:r w:rsidRPr="002B3530">
        <w:t>μL</w:t>
      </w:r>
      <w:proofErr w:type="spellEnd"/>
      <w:r>
        <w:t xml:space="preserve"> pufru pro namáčení vzorků tkáně z ušního boltce IDEXX. Přesvědčte se, že je vzorek kompletně ponořen v roztoku (jemným poklepáním nebo promícháním). </w:t>
      </w:r>
    </w:p>
    <w:p w14:paraId="1D2F68A9" w14:textId="724FDF6F" w:rsidR="002B3530" w:rsidRDefault="002B3530" w:rsidP="002B3530">
      <w:pPr>
        <w:pStyle w:val="Odstavecseseznamem"/>
        <w:numPr>
          <w:ilvl w:val="0"/>
          <w:numId w:val="5"/>
        </w:numPr>
      </w:pPr>
      <w:r>
        <w:t xml:space="preserve">Vzorek nechte namáčet v namáčecím pufru mezi 12-24 hodinami při </w:t>
      </w:r>
      <w:r w:rsidRPr="002B3530">
        <w:t>18–26°C</w:t>
      </w:r>
      <w:r>
        <w:t xml:space="preserve">, nebo až 72 hodin přes víkend při </w:t>
      </w:r>
      <w:r w:rsidRPr="002B3530">
        <w:t>18–26°C</w:t>
      </w:r>
      <w:r>
        <w:t xml:space="preserve"> </w:t>
      </w:r>
      <w:r w:rsidR="00B00B8E">
        <w:t>(</w:t>
      </w:r>
      <w:r>
        <w:t xml:space="preserve">nebo při </w:t>
      </w:r>
      <w:r w:rsidRPr="002B3530">
        <w:t>2–8°C</w:t>
      </w:r>
      <w:r>
        <w:t xml:space="preserve">). Aby se zamezilo vypařování pufru, doporučuje se </w:t>
      </w:r>
      <w:r w:rsidR="00424BE0">
        <w:t>inkubovat v uzavřených zkumavkách nebo ve vlhké komůrce.</w:t>
      </w:r>
    </w:p>
    <w:p w14:paraId="3ECECEB9" w14:textId="77777777" w:rsidR="002B3530" w:rsidRDefault="00424BE0" w:rsidP="00F675F9">
      <w:pPr>
        <w:pStyle w:val="Odstavecseseznamem"/>
        <w:numPr>
          <w:ilvl w:val="0"/>
          <w:numId w:val="5"/>
        </w:numPr>
      </w:pPr>
      <w:r>
        <w:lastRenderedPageBreak/>
        <w:t xml:space="preserve">Pro účely testu odeberte </w:t>
      </w:r>
      <w:r w:rsidRPr="00424BE0">
        <w:t xml:space="preserve">50 </w:t>
      </w:r>
      <w:proofErr w:type="spellStart"/>
      <w:r w:rsidRPr="00424BE0">
        <w:t>μL</w:t>
      </w:r>
      <w:proofErr w:type="spellEnd"/>
      <w:r>
        <w:t xml:space="preserve"> namáčecího pufru. </w:t>
      </w:r>
      <w:r w:rsidRPr="004366C4">
        <w:rPr>
          <w:b/>
        </w:rPr>
        <w:t>Poznámka:</w:t>
      </w:r>
      <w:r>
        <w:t xml:space="preserve"> Zbývající pufr může být po vyjmutí vzorku tkáně zmražen </w:t>
      </w:r>
      <w:r w:rsidR="004366C4">
        <w:t>(-</w:t>
      </w:r>
      <w:r w:rsidRPr="00424BE0">
        <w:t>20°C)</w:t>
      </w:r>
      <w:r>
        <w:t xml:space="preserve"> a uložen pro pozdější opakování testu.</w:t>
      </w:r>
    </w:p>
    <w:p w14:paraId="1EDD52F2" w14:textId="77777777" w:rsidR="005A1625" w:rsidRPr="00DC29E1" w:rsidRDefault="005A1625" w:rsidP="005A1625">
      <w:pPr>
        <w:rPr>
          <w:b/>
          <w:sz w:val="32"/>
          <w:szCs w:val="32"/>
        </w:rPr>
      </w:pPr>
      <w:r w:rsidRPr="00DC29E1">
        <w:rPr>
          <w:b/>
          <w:sz w:val="32"/>
          <w:szCs w:val="32"/>
        </w:rPr>
        <w:t>Postup testu</w:t>
      </w:r>
    </w:p>
    <w:p w14:paraId="2BC3C92F" w14:textId="67CC6D84" w:rsidR="005A1625" w:rsidRPr="005A1625" w:rsidRDefault="005A1625" w:rsidP="005A1625">
      <w:r w:rsidRPr="005A1625">
        <w:t>Všechn</w:t>
      </w:r>
      <w:r w:rsidR="00B00B8E">
        <w:t xml:space="preserve">a činidla </w:t>
      </w:r>
      <w:r w:rsidRPr="005A1625">
        <w:t>použit</w:t>
      </w:r>
      <w:r w:rsidR="00B00B8E">
        <w:t>á</w:t>
      </w:r>
      <w:r w:rsidRPr="005A1625">
        <w:t xml:space="preserve"> v tomto testu musí mít teplotu 18–26°C. </w:t>
      </w:r>
      <w:r w:rsidR="00B00B8E">
        <w:t>Činidla</w:t>
      </w:r>
      <w:r w:rsidRPr="005A1625">
        <w:t xml:space="preserve"> se míchají je</w:t>
      </w:r>
      <w:r>
        <w:t xml:space="preserve">mným obracením nebo kroužením. </w:t>
      </w:r>
    </w:p>
    <w:p w14:paraId="1109DD8E" w14:textId="77777777" w:rsidR="005A1625" w:rsidRPr="005A1625" w:rsidRDefault="005A1625" w:rsidP="005A1625">
      <w:r w:rsidRPr="005A1625">
        <w:t>1. Připravte si potažené destičky a zaznamenejte umístění vzorku. Používáte-li pouze část destičky, oddělte množství jamek odpovídající počtu testovaných vzorků. Zbylé jamky uložte spolu s desikantem do přiloženého sáčku se zipovým uzávěrem a vraťte do chladna (2–8°C).</w:t>
      </w:r>
    </w:p>
    <w:p w14:paraId="42853D05" w14:textId="3481ECB2" w:rsidR="005A1625" w:rsidRPr="005A1625" w:rsidRDefault="005A1625" w:rsidP="005A1625">
      <w:r w:rsidRPr="005A1625">
        <w:t xml:space="preserve">2. </w:t>
      </w:r>
      <w:r>
        <w:t>D</w:t>
      </w:r>
      <w:r w:rsidR="00B76070">
        <w:t xml:space="preserve">o každé jamky </w:t>
      </w:r>
      <w:r w:rsidR="00B06200">
        <w:t>přeneste</w:t>
      </w:r>
      <w:r w:rsidRPr="005A1625">
        <w:t xml:space="preserve"> 50 </w:t>
      </w:r>
      <w:proofErr w:type="spellStart"/>
      <w:r w:rsidRPr="005A1625">
        <w:t>μl</w:t>
      </w:r>
      <w:proofErr w:type="spellEnd"/>
      <w:r w:rsidRPr="005A1625">
        <w:t xml:space="preserve"> </w:t>
      </w:r>
      <w:r w:rsidR="00B76070">
        <w:t>detekčních protilátek.</w:t>
      </w:r>
    </w:p>
    <w:p w14:paraId="0C82B7A5" w14:textId="1EDB52BC" w:rsidR="005A1625" w:rsidRPr="005A1625" w:rsidRDefault="005A1625" w:rsidP="005A1625">
      <w:r w:rsidRPr="005A1625">
        <w:t>3. D</w:t>
      </w:r>
      <w:r w:rsidR="00B76070">
        <w:t xml:space="preserve">o určených jamek </w:t>
      </w:r>
      <w:r w:rsidR="00B06200">
        <w:t>přeneste</w:t>
      </w:r>
      <w:r w:rsidRPr="005A1625">
        <w:t xml:space="preserve"> 50 </w:t>
      </w:r>
      <w:proofErr w:type="spellStart"/>
      <w:r w:rsidRPr="005A1625">
        <w:t>μl</w:t>
      </w:r>
      <w:proofErr w:type="spellEnd"/>
      <w:r w:rsidRPr="005A1625">
        <w:t xml:space="preserve"> negativního kontrolního vzorku (N</w:t>
      </w:r>
      <w:r w:rsidR="00B06200">
        <w:t>C</w:t>
      </w:r>
      <w:r w:rsidR="00B76070">
        <w:t>).</w:t>
      </w:r>
    </w:p>
    <w:p w14:paraId="0DCBEBB8" w14:textId="6EC4F49C" w:rsidR="005A1625" w:rsidRPr="005A1625" w:rsidRDefault="005A1625" w:rsidP="005A1625">
      <w:r w:rsidRPr="005A1625">
        <w:t>4. D</w:t>
      </w:r>
      <w:r w:rsidR="00B76070">
        <w:t xml:space="preserve">o určených jamek </w:t>
      </w:r>
      <w:r w:rsidR="00B06200">
        <w:t>přeneste</w:t>
      </w:r>
      <w:r w:rsidRPr="005A1625">
        <w:t xml:space="preserve"> 50 </w:t>
      </w:r>
      <w:proofErr w:type="spellStart"/>
      <w:r w:rsidRPr="005A1625">
        <w:t>μl</w:t>
      </w:r>
      <w:proofErr w:type="spellEnd"/>
      <w:r w:rsidRPr="005A1625">
        <w:t xml:space="preserve"> pozitivního kontrolního vzorku (P</w:t>
      </w:r>
      <w:r w:rsidR="00B06200">
        <w:t>C</w:t>
      </w:r>
      <w:r w:rsidR="00B76070">
        <w:t>).</w:t>
      </w:r>
    </w:p>
    <w:p w14:paraId="631E9CDA" w14:textId="28A0D6BA" w:rsidR="003B4DF7" w:rsidRDefault="003B4DF7" w:rsidP="005A1625">
      <w:r w:rsidRPr="003B4DF7">
        <w:t>5</w:t>
      </w:r>
      <w:r w:rsidR="005A1625" w:rsidRPr="003B4DF7">
        <w:t>. D</w:t>
      </w:r>
      <w:r w:rsidR="00B76070">
        <w:t xml:space="preserve">o zbývajících jamek </w:t>
      </w:r>
      <w:r w:rsidR="00B06200">
        <w:t>přeneste</w:t>
      </w:r>
      <w:r w:rsidR="005A1625" w:rsidRPr="003B4DF7">
        <w:t xml:space="preserve"> </w:t>
      </w:r>
      <w:r w:rsidRPr="003B4DF7">
        <w:t>5</w:t>
      </w:r>
      <w:r w:rsidR="005A1625" w:rsidRPr="003B4DF7">
        <w:t xml:space="preserve">0 </w:t>
      </w:r>
      <w:proofErr w:type="spellStart"/>
      <w:r w:rsidR="005A1625" w:rsidRPr="003B4DF7">
        <w:t>μl</w:t>
      </w:r>
      <w:proofErr w:type="spellEnd"/>
      <w:r w:rsidR="005A1625" w:rsidRPr="003B4DF7">
        <w:t xml:space="preserve"> testovaného vzorku</w:t>
      </w:r>
      <w:r w:rsidR="00B76070">
        <w:t>.</w:t>
      </w:r>
    </w:p>
    <w:p w14:paraId="28743B14" w14:textId="77777777" w:rsidR="003B4DF7" w:rsidRDefault="003B4DF7" w:rsidP="005A1625">
      <w:r>
        <w:t xml:space="preserve">6. Promíchejte obsah </w:t>
      </w:r>
      <w:proofErr w:type="spellStart"/>
      <w:r>
        <w:t>mikrojamek</w:t>
      </w:r>
      <w:proofErr w:type="spellEnd"/>
      <w:r>
        <w:t xml:space="preserve"> jemným poklepáním na destičku, nebo použijte třepačku. </w:t>
      </w:r>
    </w:p>
    <w:p w14:paraId="0E0B269D" w14:textId="77777777" w:rsidR="003B4DF7" w:rsidRDefault="003B4DF7" w:rsidP="005A1625">
      <w:r>
        <w:t>7. Inkubujte po 2 hodiny (±5 min.) při</w:t>
      </w:r>
      <w:r w:rsidRPr="003B4DF7">
        <w:t xml:space="preserve"> 37°C (±3°C)</w:t>
      </w:r>
      <w:r>
        <w:t xml:space="preserve">, nebo přes noc (12 - 18 hodin) při </w:t>
      </w:r>
      <w:r w:rsidRPr="003B4DF7">
        <w:t>2–8°C</w:t>
      </w:r>
      <w:r>
        <w:t xml:space="preserve">. Při použití kteréhokoli postupu by měly být destičky těsně uzavřeny, nebo inkubovány ve vlhké komůrce, aby se zabránilo vypařování. </w:t>
      </w:r>
    </w:p>
    <w:p w14:paraId="5CD51F4A" w14:textId="06D94EC4" w:rsidR="003B4DF7" w:rsidRDefault="003B4DF7" w:rsidP="005A1625">
      <w:r>
        <w:t xml:space="preserve">8. Odstraňte roztok a každou jamku 5x propláchněte asi 300 </w:t>
      </w:r>
      <w:proofErr w:type="spellStart"/>
      <w:r w:rsidRPr="003B4DF7">
        <w:t>μ</w:t>
      </w:r>
      <w:r>
        <w:t>l</w:t>
      </w:r>
      <w:proofErr w:type="spellEnd"/>
      <w:r>
        <w:t xml:space="preserve"> mycího roztoku. Mezi vymýváním a před přidáním další</w:t>
      </w:r>
      <w:r w:rsidR="00B06200">
        <w:t>ho činidla</w:t>
      </w:r>
      <w:r>
        <w:t xml:space="preserve"> nenechte destičku vyschnout. Pro odstranění zbylého mycího roztoku</w:t>
      </w:r>
      <w:r w:rsidR="00B06200">
        <w:t>,</w:t>
      </w:r>
      <w:r>
        <w:t xml:space="preserve"> po posledním vymytí destičkou</w:t>
      </w:r>
      <w:r w:rsidR="00B06200">
        <w:t>,</w:t>
      </w:r>
      <w:r>
        <w:t xml:space="preserve"> poklepejte na savý materiál. </w:t>
      </w:r>
      <w:r w:rsidRPr="00B06200">
        <w:rPr>
          <w:b/>
          <w:bCs/>
        </w:rPr>
        <w:t>Důležité</w:t>
      </w:r>
      <w:r>
        <w:t>! Pečlivě zkontrolujte, zda na stěnách</w:t>
      </w:r>
      <w:r w:rsidR="00B76070">
        <w:t xml:space="preserve"> a</w:t>
      </w:r>
      <w:r>
        <w:t xml:space="preserve"> okrajích jamky nezůstaly stopy krve. Před přistoupením k dalšímu kroku mohou být potřeba další 2-3 omytí pro odstranění </w:t>
      </w:r>
      <w:r w:rsidR="00B76070">
        <w:t>krve.</w:t>
      </w:r>
    </w:p>
    <w:p w14:paraId="771E33F2" w14:textId="48CE01F4" w:rsidR="00B76070" w:rsidRDefault="00B76070" w:rsidP="005A1625">
      <w:r>
        <w:t xml:space="preserve">9. Do každé jamky </w:t>
      </w:r>
      <w:r w:rsidR="00B06200">
        <w:t>přeneste</w:t>
      </w:r>
      <w:r>
        <w:t xml:space="preserve"> 100 </w:t>
      </w:r>
      <w:proofErr w:type="spellStart"/>
      <w:r w:rsidRPr="003B4DF7">
        <w:t>μl</w:t>
      </w:r>
      <w:proofErr w:type="spellEnd"/>
      <w:r>
        <w:t xml:space="preserve"> konjugátu.</w:t>
      </w:r>
    </w:p>
    <w:p w14:paraId="5CBBB17D" w14:textId="77777777" w:rsidR="00B76070" w:rsidRDefault="00B76070" w:rsidP="005A1625">
      <w:r>
        <w:t xml:space="preserve">10. Inkubujte po dobu 30 minut </w:t>
      </w:r>
      <w:r w:rsidRPr="00B76070">
        <w:t xml:space="preserve">(±2 min.) </w:t>
      </w:r>
      <w:r>
        <w:t>při</w:t>
      </w:r>
      <w:r w:rsidRPr="00B76070">
        <w:t xml:space="preserve"> 18–26°C.</w:t>
      </w:r>
    </w:p>
    <w:p w14:paraId="2794FBE0" w14:textId="77777777" w:rsidR="00B76070" w:rsidRDefault="00B76070" w:rsidP="005A1625">
      <w:r>
        <w:t>11. Opakujte krok č. 8.</w:t>
      </w:r>
    </w:p>
    <w:p w14:paraId="198F96B2" w14:textId="77777777" w:rsidR="00B76070" w:rsidRDefault="00B76070" w:rsidP="005A1625">
      <w:r>
        <w:t xml:space="preserve">12. Do každé jamky přidejte 100 </w:t>
      </w:r>
      <w:proofErr w:type="spellStart"/>
      <w:r w:rsidRPr="003B4DF7">
        <w:t>μl</w:t>
      </w:r>
      <w:proofErr w:type="spellEnd"/>
      <w:r>
        <w:t xml:space="preserve"> TMB substrátu č. 12.</w:t>
      </w:r>
    </w:p>
    <w:p w14:paraId="3494E7BB" w14:textId="77777777" w:rsidR="00B76070" w:rsidRDefault="00B76070" w:rsidP="005A1625">
      <w:r>
        <w:t xml:space="preserve">13. Inkubujte po dobu 10 minut </w:t>
      </w:r>
      <w:r w:rsidRPr="00B76070">
        <w:t xml:space="preserve">(±1 min.) </w:t>
      </w:r>
      <w:r>
        <w:t>při</w:t>
      </w:r>
      <w:r w:rsidRPr="00B76070">
        <w:t xml:space="preserve"> 18–26°C.</w:t>
      </w:r>
    </w:p>
    <w:p w14:paraId="4F8ACC32" w14:textId="77777777" w:rsidR="00B76070" w:rsidRDefault="00B76070" w:rsidP="005A1625">
      <w:r>
        <w:t xml:space="preserve">14. Do každé jamky přidejte 100 </w:t>
      </w:r>
      <w:proofErr w:type="spellStart"/>
      <w:r w:rsidRPr="003B4DF7">
        <w:t>μl</w:t>
      </w:r>
      <w:proofErr w:type="spellEnd"/>
      <w:r>
        <w:t xml:space="preserve"> zastavovacího roztoku č. 3. </w:t>
      </w:r>
    </w:p>
    <w:p w14:paraId="1AC87D26" w14:textId="77777777" w:rsidR="00D479A9" w:rsidRPr="007C45B0" w:rsidRDefault="00B76070" w:rsidP="00F675F9">
      <w:r>
        <w:t xml:space="preserve">15. Změřte a zaznamenejte absorbanci vzorků a kontrolních vzorků při 450 </w:t>
      </w:r>
      <w:proofErr w:type="spellStart"/>
      <w:r>
        <w:t>nm</w:t>
      </w:r>
      <w:proofErr w:type="spellEnd"/>
      <w:r>
        <w:t xml:space="preserve"> nebo použijte duální vlnovou délku 450 </w:t>
      </w:r>
      <w:proofErr w:type="spellStart"/>
      <w:r>
        <w:t>nm</w:t>
      </w:r>
      <w:proofErr w:type="spellEnd"/>
      <w:r>
        <w:t xml:space="preserve"> a 650 </w:t>
      </w:r>
      <w:proofErr w:type="spellStart"/>
      <w:r>
        <w:t>nm</w:t>
      </w:r>
      <w:proofErr w:type="spellEnd"/>
      <w:r>
        <w:t xml:space="preserve">.  </w:t>
      </w:r>
    </w:p>
    <w:p w14:paraId="7A29D551" w14:textId="40867A6F" w:rsidR="007C45B0" w:rsidRDefault="007C45B0" w:rsidP="007C45B0">
      <w:pPr>
        <w:spacing w:after="0"/>
      </w:pPr>
      <w:r w:rsidRPr="00B06200">
        <w:rPr>
          <w:bCs/>
        </w:rPr>
        <w:t xml:space="preserve">16. Výpočty: </w:t>
      </w:r>
    </w:p>
    <w:p w14:paraId="31E9805C" w14:textId="77777777" w:rsidR="007C45B0" w:rsidRPr="00B440A5" w:rsidRDefault="007C45B0" w:rsidP="007C45B0">
      <w:pPr>
        <w:spacing w:after="0"/>
        <w:rPr>
          <w:b/>
        </w:rPr>
      </w:pPr>
      <w:r w:rsidRPr="00B440A5">
        <w:rPr>
          <w:b/>
        </w:rPr>
        <w:lastRenderedPageBreak/>
        <w:t>Kontrolní vzorky</w:t>
      </w:r>
    </w:p>
    <w:p w14:paraId="788FB841" w14:textId="35212665" w:rsidR="007C45B0" w:rsidRDefault="008E0880" w:rsidP="007C45B0">
      <w:pPr>
        <w:spacing w:after="0"/>
      </w:pPr>
      <w:r>
        <w:rPr>
          <w:noProof/>
          <w:lang w:eastAsia="cs-CZ"/>
        </w:rPr>
        <w:drawing>
          <wp:inline distT="0" distB="0" distL="0" distR="0" wp14:anchorId="3989262A" wp14:editId="54F51285">
            <wp:extent cx="2185869" cy="368489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78" cy="37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</w:t>
      </w:r>
      <w:r>
        <w:rPr>
          <w:noProof/>
          <w:lang w:eastAsia="cs-CZ"/>
        </w:rPr>
        <w:drawing>
          <wp:inline distT="0" distB="0" distL="0" distR="0" wp14:anchorId="593BDBB8" wp14:editId="71D3B819">
            <wp:extent cx="2279176" cy="3694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060" cy="38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F0996" w14:textId="0213CADF" w:rsidR="007C45B0" w:rsidRDefault="007C45B0" w:rsidP="007C45B0">
      <w:pPr>
        <w:spacing w:after="0"/>
      </w:pPr>
      <w:r w:rsidRPr="00B440A5">
        <w:rPr>
          <w:b/>
        </w:rPr>
        <w:t xml:space="preserve">Kritéria validity </w:t>
      </w:r>
    </w:p>
    <w:p w14:paraId="127CF2DF" w14:textId="5264DED9" w:rsidR="007C45B0" w:rsidRDefault="008E0880" w:rsidP="007C45B0">
      <w:pPr>
        <w:spacing w:after="0"/>
      </w:pPr>
      <w:r>
        <w:rPr>
          <w:noProof/>
          <w:lang w:eastAsia="cs-CZ"/>
        </w:rPr>
        <w:drawing>
          <wp:inline distT="0" distB="0" distL="0" distR="0" wp14:anchorId="7C0D7BC0" wp14:editId="59DBAB58">
            <wp:extent cx="2245057" cy="234997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245" cy="23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6902FDDF" wp14:editId="06B8D7C0">
            <wp:extent cx="2354239" cy="24915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78" cy="26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E0D82" w14:textId="3803BFD6" w:rsidR="007C45B0" w:rsidRDefault="007C45B0" w:rsidP="007C45B0">
      <w:pPr>
        <w:spacing w:after="0"/>
      </w:pPr>
      <w:r>
        <w:t>Při neplatnosti výsledků je třeba předpokládat chybu v technice provedení. Doporučuje se důkladně znovu prostudovat př</w:t>
      </w:r>
      <w:r w:rsidR="008E0880">
        <w:t>íbalovou informaci</w:t>
      </w:r>
      <w:r>
        <w:t xml:space="preserve"> a test provést znovu. </w:t>
      </w:r>
      <w:r w:rsidRPr="007C45B0">
        <w:rPr>
          <w:b/>
        </w:rPr>
        <w:t>Poznámka:</w:t>
      </w:r>
      <w:r>
        <w:t xml:space="preserve"> Společnost IDEXX má přístrojové a softwarové systémy, které vypočítávají výsledky a poskytují souhrny údajů.</w:t>
      </w:r>
    </w:p>
    <w:p w14:paraId="24D90C6B" w14:textId="77777777" w:rsidR="007C45B0" w:rsidRDefault="007C45B0" w:rsidP="007C45B0">
      <w:pPr>
        <w:spacing w:after="0"/>
      </w:pPr>
    </w:p>
    <w:p w14:paraId="35BE36B2" w14:textId="77777777" w:rsidR="007C45B0" w:rsidRPr="00B440A5" w:rsidRDefault="007C45B0" w:rsidP="007C45B0">
      <w:pPr>
        <w:spacing w:after="0"/>
        <w:rPr>
          <w:b/>
        </w:rPr>
      </w:pPr>
      <w:r w:rsidRPr="00B440A5">
        <w:rPr>
          <w:b/>
        </w:rPr>
        <w:t>Vzorky</w:t>
      </w:r>
    </w:p>
    <w:p w14:paraId="3CDBE579" w14:textId="61948AB1" w:rsidR="007C45B0" w:rsidRDefault="008E0880" w:rsidP="007C45B0">
      <w:pPr>
        <w:spacing w:after="0"/>
        <w:rPr>
          <w:rFonts w:cs="Swiss 72 1 BT"/>
          <w:strike/>
          <w:color w:val="000000"/>
        </w:rPr>
      </w:pPr>
      <w:r>
        <w:rPr>
          <w:rFonts w:cs="Swiss 72 1 BT"/>
          <w:strike/>
          <w:noProof/>
          <w:color w:val="000000"/>
          <w:lang w:eastAsia="cs-CZ"/>
        </w:rPr>
        <w:drawing>
          <wp:inline distT="0" distB="0" distL="0" distR="0" wp14:anchorId="4975B7B3" wp14:editId="05ECE5F2">
            <wp:extent cx="2524836" cy="277961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23" cy="28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F1F75" w14:textId="77777777" w:rsidR="007C45B0" w:rsidRDefault="007C45B0" w:rsidP="007C45B0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Přítomnost nebo nepřítomnost BVDV antigenu je určena upravenou hodnotou optické hustoty (S-N) každého vzorku. </w:t>
      </w:r>
    </w:p>
    <w:p w14:paraId="0866B6CE" w14:textId="77777777" w:rsidR="004469C8" w:rsidRDefault="004469C8" w:rsidP="007C45B0">
      <w:pPr>
        <w:spacing w:after="0"/>
        <w:rPr>
          <w:rFonts w:cs="Swiss 72 1 BT"/>
          <w:color w:val="000000"/>
        </w:rPr>
      </w:pPr>
    </w:p>
    <w:p w14:paraId="66CBAA78" w14:textId="77777777" w:rsidR="008E0880" w:rsidRDefault="008E0880" w:rsidP="007C45B0">
      <w:pPr>
        <w:spacing w:after="0"/>
        <w:rPr>
          <w:rFonts w:cs="Swiss 72 1 BT"/>
          <w:color w:val="000000"/>
        </w:rPr>
      </w:pPr>
    </w:p>
    <w:p w14:paraId="74C33EAE" w14:textId="77777777" w:rsidR="008E0880" w:rsidRDefault="008E0880" w:rsidP="007C45B0">
      <w:pPr>
        <w:spacing w:after="0"/>
        <w:rPr>
          <w:rFonts w:cs="Swiss 72 1 BT"/>
          <w:color w:val="000000"/>
        </w:rPr>
      </w:pPr>
    </w:p>
    <w:p w14:paraId="677FB481" w14:textId="2E57AE37" w:rsidR="004469C8" w:rsidRDefault="004469C8" w:rsidP="007C45B0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>17. Interpretace:</w:t>
      </w:r>
    </w:p>
    <w:p w14:paraId="293CB77E" w14:textId="77777777" w:rsidR="004469C8" w:rsidRDefault="004469C8" w:rsidP="007C45B0">
      <w:pPr>
        <w:spacing w:after="0"/>
        <w:rPr>
          <w:rFonts w:cs="Swiss 72 1 BT"/>
          <w:color w:val="000000"/>
        </w:rPr>
      </w:pPr>
    </w:p>
    <w:p w14:paraId="19583591" w14:textId="77777777" w:rsidR="004469C8" w:rsidRPr="004366C4" w:rsidRDefault="004469C8" w:rsidP="007C45B0">
      <w:pPr>
        <w:spacing w:after="0"/>
        <w:rPr>
          <w:rFonts w:cs="Swiss 72 1 BT"/>
          <w:b/>
          <w:color w:val="000000"/>
        </w:rPr>
      </w:pPr>
      <w:r w:rsidRPr="004366C4">
        <w:rPr>
          <w:rFonts w:cs="Swiss 72 1 BT"/>
          <w:b/>
          <w:color w:val="000000"/>
        </w:rPr>
        <w:t>Vzorky séra, plazmy a plné krve:</w:t>
      </w:r>
    </w:p>
    <w:p w14:paraId="680BB884" w14:textId="74CA7829" w:rsidR="004469C8" w:rsidRDefault="004469C8" w:rsidP="008E0880">
      <w:pPr>
        <w:spacing w:after="0"/>
        <w:ind w:left="708" w:firstLine="708"/>
        <w:rPr>
          <w:rFonts w:cs="Swiss 72 1 BT"/>
          <w:color w:val="000000"/>
        </w:rPr>
      </w:pPr>
      <w:r>
        <w:rPr>
          <w:rFonts w:cs="Swiss 72 1 BT"/>
          <w:color w:val="000000"/>
        </w:rPr>
        <w:t>Negativní</w:t>
      </w:r>
      <w:r w:rsidR="008E0880">
        <w:rPr>
          <w:rFonts w:cs="Swiss 72 1 BT"/>
          <w:color w:val="000000"/>
        </w:rPr>
        <w:tab/>
      </w:r>
      <w:r w:rsidR="008E0880">
        <w:rPr>
          <w:rFonts w:cs="Swiss 72 1 BT"/>
          <w:color w:val="000000"/>
        </w:rPr>
        <w:tab/>
      </w:r>
      <w:r w:rsidR="008E0880">
        <w:rPr>
          <w:rFonts w:cs="Swiss 72 1 BT"/>
          <w:color w:val="000000"/>
        </w:rPr>
        <w:tab/>
      </w:r>
      <w:r w:rsidR="008E0880">
        <w:rPr>
          <w:rFonts w:cs="Swiss 72 1 BT"/>
          <w:color w:val="000000"/>
        </w:rPr>
        <w:tab/>
      </w:r>
      <w:r w:rsidR="008E0880">
        <w:rPr>
          <w:rFonts w:cs="Swiss 72 1 BT"/>
          <w:color w:val="000000"/>
        </w:rPr>
        <w:tab/>
        <w:t>Pozitivní</w:t>
      </w:r>
    </w:p>
    <w:p w14:paraId="1670AE57" w14:textId="47BF8546" w:rsidR="008E0880" w:rsidRDefault="008E0880" w:rsidP="008E0880">
      <w:pPr>
        <w:spacing w:after="0"/>
        <w:rPr>
          <w:rFonts w:cs="Swiss 72 1 BT"/>
          <w:color w:val="000000"/>
        </w:rPr>
      </w:pPr>
      <w:r>
        <w:rPr>
          <w:rFonts w:cs="Swiss 72 1 BT"/>
          <w:noProof/>
          <w:color w:val="000000"/>
          <w:lang w:eastAsia="cs-CZ"/>
        </w:rPr>
        <w:drawing>
          <wp:inline distT="0" distB="0" distL="0" distR="0" wp14:anchorId="2C490D5E" wp14:editId="2F047784">
            <wp:extent cx="2354239" cy="257704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36" cy="26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Swiss 72 1 BT"/>
          <w:color w:val="000000"/>
        </w:rPr>
        <w:tab/>
      </w:r>
      <w:r>
        <w:rPr>
          <w:rFonts w:cs="Swiss 72 1 BT"/>
          <w:noProof/>
          <w:color w:val="000000"/>
          <w:lang w:eastAsia="cs-CZ"/>
        </w:rPr>
        <w:drawing>
          <wp:inline distT="0" distB="0" distL="0" distR="0" wp14:anchorId="68CD2669" wp14:editId="0157A522">
            <wp:extent cx="2463421" cy="284505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693" cy="30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28CAD" w14:textId="77777777" w:rsidR="004469C8" w:rsidRDefault="004469C8" w:rsidP="007C45B0">
      <w:pPr>
        <w:spacing w:after="0"/>
        <w:rPr>
          <w:rFonts w:cs="Swiss 72 1 BT"/>
          <w:color w:val="000000"/>
        </w:rPr>
      </w:pPr>
    </w:p>
    <w:p w14:paraId="70CB91D3" w14:textId="77777777" w:rsidR="004469C8" w:rsidRDefault="004469C8" w:rsidP="007C45B0">
      <w:pPr>
        <w:spacing w:after="0"/>
        <w:rPr>
          <w:rFonts w:cs="Swiss 72 1 BT"/>
          <w:color w:val="000000"/>
        </w:rPr>
      </w:pPr>
      <w:r>
        <w:rPr>
          <w:rFonts w:cs="Swiss 72 1 BT"/>
          <w:color w:val="000000"/>
        </w:rPr>
        <w:t xml:space="preserve">Pozitivní výsledky získané tímto testem jsou platné pro telata jakéhokoli věku. Cirkulující vysoký titr </w:t>
      </w:r>
      <w:proofErr w:type="spellStart"/>
      <w:r>
        <w:rPr>
          <w:rFonts w:cs="Swiss 72 1 BT"/>
          <w:color w:val="000000"/>
        </w:rPr>
        <w:t>maternálních</w:t>
      </w:r>
      <w:proofErr w:type="spellEnd"/>
      <w:r>
        <w:rPr>
          <w:rFonts w:cs="Swiss 72 1 BT"/>
          <w:color w:val="000000"/>
        </w:rPr>
        <w:t xml:space="preserve"> protilátek proti BVDV může interferovat s detekcí BVDV antigenu v séru, plazmě a plné krvi. Detekce BVDV antigenu v séru, plazmě a plné krvi může být méně senzitivní po příjmu protilátek v kolostru. Po příjmu kolostra se mohou vyskytovat falešně negativní výsledky („diagnostická mezera“). Pro vyloučení vlivu kolostrálních protilátek se doporučuje testovat telata před příjmem kolostra. Negativní výsledky u telat po příjmu kolostra by měly být potvrzeny přetestováním po 30. dnu života. Pokud se liší od tohoto popisu, zachovávejte </w:t>
      </w:r>
      <w:r w:rsidR="00486C14">
        <w:rPr>
          <w:rFonts w:cs="Swiss 72 1 BT"/>
          <w:color w:val="000000"/>
        </w:rPr>
        <w:t>předpisy</w:t>
      </w:r>
      <w:r>
        <w:rPr>
          <w:rFonts w:cs="Swiss 72 1 BT"/>
          <w:color w:val="000000"/>
        </w:rPr>
        <w:t xml:space="preserve"> platné ve vaší zemi. </w:t>
      </w:r>
    </w:p>
    <w:p w14:paraId="4CA648B5" w14:textId="77777777" w:rsidR="007C45B0" w:rsidRDefault="007C45B0" w:rsidP="007C45B0">
      <w:pPr>
        <w:spacing w:after="0"/>
        <w:rPr>
          <w:rFonts w:cs="Swiss 72 1 BT"/>
          <w:color w:val="000000"/>
        </w:rPr>
      </w:pPr>
    </w:p>
    <w:p w14:paraId="224027BD" w14:textId="78726480" w:rsidR="004469C8" w:rsidRDefault="004469C8" w:rsidP="00F675F9">
      <w:r w:rsidRPr="004366C4">
        <w:rPr>
          <w:b/>
        </w:rPr>
        <w:t>Vzorky výřezů tkáně z ušního boltce:</w:t>
      </w:r>
      <w:r>
        <w:br/>
        <w:t>Negativní</w:t>
      </w:r>
      <w:r w:rsidR="006809CA">
        <w:tab/>
      </w:r>
      <w:r w:rsidR="006809CA">
        <w:tab/>
      </w:r>
      <w:r w:rsidR="006809CA">
        <w:tab/>
      </w:r>
      <w:r w:rsidR="006809CA">
        <w:tab/>
        <w:t>Suspektní</w:t>
      </w:r>
      <w:r w:rsidR="006809CA">
        <w:tab/>
      </w:r>
      <w:r w:rsidR="006809CA">
        <w:tab/>
      </w:r>
      <w:r w:rsidR="006809CA">
        <w:tab/>
        <w:t>Pozitivní</w:t>
      </w:r>
    </w:p>
    <w:p w14:paraId="222CB34D" w14:textId="58D19C73" w:rsidR="006809CA" w:rsidRDefault="006809CA" w:rsidP="00F675F9">
      <w:r>
        <w:rPr>
          <w:noProof/>
          <w:lang w:eastAsia="cs-CZ"/>
        </w:rPr>
        <w:drawing>
          <wp:inline distT="0" distB="0" distL="0" distR="0" wp14:anchorId="3E5E8994" wp14:editId="7655E8D1">
            <wp:extent cx="1296635" cy="218364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513" cy="22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r>
        <w:rPr>
          <w:noProof/>
          <w:lang w:eastAsia="cs-CZ"/>
        </w:rPr>
        <w:drawing>
          <wp:inline distT="0" distB="0" distL="0" distR="0" wp14:anchorId="334FF526" wp14:editId="37B00A7A">
            <wp:extent cx="1342157" cy="21836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7" cy="2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 wp14:anchorId="3EAC0006" wp14:editId="4991CDD9">
            <wp:extent cx="1310185" cy="223066"/>
            <wp:effectExtent l="0" t="0" r="4445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213" cy="2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14B4A" w14:textId="77777777" w:rsidR="004469C8" w:rsidRDefault="00B3402D" w:rsidP="00F675F9">
      <w:r w:rsidRPr="006809CA">
        <w:rPr>
          <w:b/>
          <w:bCs/>
        </w:rPr>
        <w:t>S</w:t>
      </w:r>
      <w:r w:rsidR="004469C8" w:rsidRPr="006809CA">
        <w:rPr>
          <w:b/>
          <w:bCs/>
        </w:rPr>
        <w:t>uspektní</w:t>
      </w:r>
      <w:r w:rsidR="004469C8">
        <w:t xml:space="preserve"> vzorky se doporučuje přetestovat použitím dalších 50 </w:t>
      </w:r>
      <w:proofErr w:type="spellStart"/>
      <w:r w:rsidR="004469C8">
        <w:t>μl</w:t>
      </w:r>
      <w:proofErr w:type="spellEnd"/>
      <w:r w:rsidR="004469C8">
        <w:t xml:space="preserve"> stejného namáčecího pufru. Zbývá-li méně než 50 </w:t>
      </w:r>
      <w:proofErr w:type="spellStart"/>
      <w:r w:rsidR="004469C8">
        <w:t>μl</w:t>
      </w:r>
      <w:proofErr w:type="spellEnd"/>
      <w:r w:rsidR="004469C8">
        <w:t xml:space="preserve">, lze testovat znovu pomocí nového namáčení vzorku tkáně (viz Příprava vzorků). </w:t>
      </w:r>
      <w:r>
        <w:t xml:space="preserve">Je-li vzorek znovu suspektní, doporučuje se odebrat vzorek krve a testovat metodou ELISA v testu </w:t>
      </w:r>
      <w:r w:rsidRPr="00B3402D">
        <w:t xml:space="preserve">IDEXX BVDV </w:t>
      </w:r>
      <w:proofErr w:type="spellStart"/>
      <w:r w:rsidRPr="00B3402D">
        <w:t>Ag</w:t>
      </w:r>
      <w:proofErr w:type="spellEnd"/>
      <w:r w:rsidRPr="00B3402D">
        <w:t>/S</w:t>
      </w:r>
      <w:r>
        <w:t>é</w:t>
      </w:r>
      <w:r w:rsidRPr="00B3402D">
        <w:t>rum Plus</w:t>
      </w:r>
      <w:r>
        <w:t xml:space="preserve">, pomocí izolace viru nebo PCR testem na BVDV. Jsou-li jakékoli pochyby o stavu hodnotného živého zvířete s pozitivním výsledkem, testujte znovu s dalším vzorkem odebraným 7-14 dní po odebrání prvního vzorku pro potvrzení perzistentní infekce. Doporučujeme </w:t>
      </w:r>
      <w:r>
        <w:lastRenderedPageBreak/>
        <w:t xml:space="preserve">potvrzovat výsledky získané testováním plné krve pomocí testu na séru nebo plazmě stejného zvířete. Při testování vzorků výřezů tkáně z ušního boltce se diagnostická mezera nevyskytuje. </w:t>
      </w:r>
    </w:p>
    <w:p w14:paraId="6DF21040" w14:textId="4C5A789F" w:rsidR="00B3402D" w:rsidRPr="005618F5" w:rsidRDefault="00495CC8" w:rsidP="00B3402D">
      <w:pPr>
        <w:spacing w:after="0"/>
        <w:rPr>
          <w:b/>
        </w:rPr>
      </w:pPr>
      <w:r>
        <w:rPr>
          <w:b/>
        </w:rPr>
        <w:t>Kontakty pro technickou podporu</w:t>
      </w:r>
      <w:r w:rsidR="00B3402D" w:rsidRPr="005618F5">
        <w:rPr>
          <w:b/>
        </w:rPr>
        <w:t>:</w:t>
      </w:r>
    </w:p>
    <w:p w14:paraId="7A665431" w14:textId="77777777" w:rsidR="00B3402D" w:rsidRDefault="00B3402D" w:rsidP="00B3402D">
      <w:pPr>
        <w:spacing w:after="0"/>
      </w:pPr>
    </w:p>
    <w:p w14:paraId="42B8E033" w14:textId="77777777" w:rsidR="00B3402D" w:rsidRDefault="00B3402D" w:rsidP="00B3402D">
      <w:pPr>
        <w:spacing w:after="0"/>
      </w:pPr>
      <w:r>
        <w:t>IDEXX USA Tel: +1 800 548 9997 nebo +1 207 556 4895</w:t>
      </w:r>
    </w:p>
    <w:p w14:paraId="497DDCDE" w14:textId="77777777" w:rsidR="00B3402D" w:rsidRDefault="00B3402D" w:rsidP="00B3402D">
      <w:pPr>
        <w:spacing w:after="0"/>
      </w:pPr>
      <w:r>
        <w:t>IDEXX Evropa Tel: +800 727 43399</w:t>
      </w:r>
    </w:p>
    <w:p w14:paraId="7C8F1067" w14:textId="77777777" w:rsidR="004469C8" w:rsidRDefault="00B3402D" w:rsidP="004366C4">
      <w:pPr>
        <w:spacing w:after="0"/>
      </w:pPr>
      <w:r>
        <w:t xml:space="preserve">Obraťte se na manažera nebo distributora společnosti IDEXX pro Vaši oblast nebo navštivte naši webovou stránku: </w:t>
      </w:r>
      <w:hyperlink r:id="rId17" w:history="1">
        <w:r w:rsidRPr="005E13F1">
          <w:rPr>
            <w:rStyle w:val="Hypertextovodkaz"/>
          </w:rPr>
          <w:t>www.idexx.com/production/contactlpd</w:t>
        </w:r>
      </w:hyperlink>
    </w:p>
    <w:p w14:paraId="0393507B" w14:textId="1324DD56" w:rsidR="00AC392E" w:rsidRDefault="00AC392E" w:rsidP="00F675F9"/>
    <w:p w14:paraId="62764024" w14:textId="77777777" w:rsidR="00AC392E" w:rsidRDefault="00AC392E" w:rsidP="00AC392E">
      <w:pPr>
        <w:spacing w:after="0" w:line="240" w:lineRule="auto"/>
      </w:pPr>
      <w:r>
        <w:t xml:space="preserve">*IDEXX a Test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jsou ochranné známky nebo registrované ochranné známky</w:t>
      </w:r>
    </w:p>
    <w:p w14:paraId="6D87A01C" w14:textId="77777777" w:rsidR="00AC392E" w:rsidRDefault="00AC392E" w:rsidP="00AC392E">
      <w:pPr>
        <w:spacing w:after="0" w:line="240" w:lineRule="auto"/>
      </w:pPr>
      <w:r>
        <w:t xml:space="preserve">společnosti IDEXX </w:t>
      </w:r>
      <w:proofErr w:type="spellStart"/>
      <w:r>
        <w:t>Laboratories</w:t>
      </w:r>
      <w:proofErr w:type="spellEnd"/>
      <w:r>
        <w:t>, Inc. nebo jejích přidružených společností ve Spojených státech amerických a/nebo v jiných zemích.</w:t>
      </w:r>
    </w:p>
    <w:p w14:paraId="071635C1" w14:textId="77777777" w:rsidR="00AC392E" w:rsidRDefault="00AC392E" w:rsidP="00AC392E">
      <w:pPr>
        <w:spacing w:after="0" w:line="240" w:lineRule="auto"/>
      </w:pPr>
    </w:p>
    <w:p w14:paraId="17BFA5A7" w14:textId="2C669FF1" w:rsidR="00AC392E" w:rsidRDefault="00AC392E" w:rsidP="00AC392E">
      <w:pPr>
        <w:spacing w:after="0" w:line="240" w:lineRule="auto"/>
      </w:pPr>
      <w:r>
        <w:t xml:space="preserve">©2019 IDEXX </w:t>
      </w:r>
      <w:proofErr w:type="spellStart"/>
      <w:r>
        <w:t>Laboratories</w:t>
      </w:r>
      <w:proofErr w:type="spellEnd"/>
      <w:r>
        <w:t xml:space="preserve">, Inc.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>. (Všechna práva vyhrazena.)</w:t>
      </w:r>
    </w:p>
    <w:p w14:paraId="7812BDAF" w14:textId="0203DA50" w:rsidR="00AC392E" w:rsidRDefault="00AC392E" w:rsidP="00AC392E">
      <w:pPr>
        <w:spacing w:after="0" w:line="240" w:lineRule="auto"/>
      </w:pPr>
    </w:p>
    <w:p w14:paraId="68DAECBA" w14:textId="77777777" w:rsidR="00AC392E" w:rsidRDefault="00AC392E" w:rsidP="00AC392E">
      <w:pPr>
        <w:spacing w:after="0" w:line="240" w:lineRule="auto"/>
      </w:pPr>
    </w:p>
    <w:p w14:paraId="2B144B90" w14:textId="77777777" w:rsidR="00AC392E" w:rsidRDefault="00AC392E" w:rsidP="00F675F9"/>
    <w:p w14:paraId="177544DE" w14:textId="47DE028A" w:rsidR="00B3402D" w:rsidRPr="00AC392E" w:rsidRDefault="00B3402D" w:rsidP="00AC392E">
      <w:pPr>
        <w:jc w:val="center"/>
        <w:rPr>
          <w:b/>
          <w:bCs/>
          <w:sz w:val="32"/>
          <w:szCs w:val="32"/>
        </w:rPr>
      </w:pPr>
      <w:r w:rsidRPr="00AC392E">
        <w:rPr>
          <w:b/>
          <w:bCs/>
          <w:sz w:val="32"/>
          <w:szCs w:val="32"/>
        </w:rPr>
        <w:t>Upozornění</w:t>
      </w:r>
    </w:p>
    <w:p w14:paraId="08DFBF76" w14:textId="7BD5FF6E" w:rsidR="00B3402D" w:rsidRDefault="00AC392E" w:rsidP="00AC392E">
      <w:r>
        <w:rPr>
          <w:noProof/>
          <w:lang w:eastAsia="cs-CZ"/>
        </w:rPr>
        <w:drawing>
          <wp:inline distT="0" distB="0" distL="0" distR="0" wp14:anchorId="30784163" wp14:editId="5AD01582">
            <wp:extent cx="5752465" cy="238760"/>
            <wp:effectExtent l="0" t="0" r="635" b="889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02D">
        <w:br/>
      </w:r>
      <w:r w:rsidR="00B3402D" w:rsidRPr="00AC392E">
        <w:rPr>
          <w:b/>
          <w:bCs/>
        </w:rPr>
        <w:t>Pozitivní kontrola/Mycí koncentrát</w:t>
      </w:r>
      <w:r w:rsidR="00486C14">
        <w:t xml:space="preserve"> - o</w:t>
      </w:r>
      <w:r w:rsidR="00B3402D">
        <w:t xml:space="preserve">bsahuje </w:t>
      </w:r>
      <w:proofErr w:type="spellStart"/>
      <w:r w:rsidR="00486C14">
        <w:t>k</w:t>
      </w:r>
      <w:r w:rsidR="00B3402D">
        <w:t>athon</w:t>
      </w:r>
      <w:proofErr w:type="spellEnd"/>
      <w:r w:rsidR="00B3402D">
        <w:t>. Může vyvolat alergickou reakci.</w:t>
      </w:r>
    </w:p>
    <w:p w14:paraId="0AC0B7EF" w14:textId="3FA7590B" w:rsidR="00B3402D" w:rsidRDefault="00AC392E" w:rsidP="00F675F9">
      <w:r>
        <w:rPr>
          <w:noProof/>
          <w:lang w:eastAsia="cs-CZ"/>
        </w:rPr>
        <w:drawing>
          <wp:inline distT="0" distB="0" distL="0" distR="0" wp14:anchorId="5D0F939A" wp14:editId="498702FF">
            <wp:extent cx="5752465" cy="225425"/>
            <wp:effectExtent l="0" t="0" r="635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C14">
        <w:br/>
      </w:r>
      <w:r w:rsidR="00486C14" w:rsidRPr="00AC392E">
        <w:rPr>
          <w:b/>
          <w:bCs/>
        </w:rPr>
        <w:t>Konjugát</w:t>
      </w:r>
      <w:r w:rsidR="00486C14">
        <w:t xml:space="preserve"> - z</w:t>
      </w:r>
      <w:r w:rsidR="00B3402D">
        <w:t xml:space="preserve">působuje mírné podráždění pokožky. Pokud se vyskytne podráždění pokožky: </w:t>
      </w:r>
      <w:r w:rsidR="005E21D0">
        <w:t>vyhledejte lékařskou pomoc/ošetření</w:t>
      </w:r>
      <w:r w:rsidR="00B3402D">
        <w:t>. Obsahuje</w:t>
      </w:r>
      <w:r w:rsidR="004B1EE2">
        <w:t xml:space="preserve"> </w:t>
      </w:r>
      <w:proofErr w:type="spellStart"/>
      <w:r w:rsidR="00486C14">
        <w:t>kathon</w:t>
      </w:r>
      <w:proofErr w:type="spellEnd"/>
      <w:r w:rsidR="00B3402D">
        <w:t>. Může vyvolat alergickou reakci.</w:t>
      </w:r>
    </w:p>
    <w:p w14:paraId="1E5D09CB" w14:textId="2C4697C3" w:rsidR="00B3402D" w:rsidRDefault="00D425E9" w:rsidP="00B3402D">
      <w:r>
        <w:rPr>
          <w:noProof/>
          <w:lang w:eastAsia="cs-CZ"/>
        </w:rPr>
        <w:drawing>
          <wp:inline distT="0" distB="0" distL="0" distR="0" wp14:anchorId="721AA354" wp14:editId="2202EB44">
            <wp:extent cx="5752465" cy="245745"/>
            <wp:effectExtent l="0" t="0" r="635" b="190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02D">
        <w:br/>
      </w:r>
      <w:r w:rsidR="00B3402D" w:rsidRPr="00D425E9">
        <w:rPr>
          <w:b/>
          <w:bCs/>
        </w:rPr>
        <w:t xml:space="preserve">Namáčecí pufr pro vzorky výřezů tkáně z ušního </w:t>
      </w:r>
      <w:r w:rsidR="00486C14" w:rsidRPr="00D425E9">
        <w:rPr>
          <w:b/>
          <w:bCs/>
        </w:rPr>
        <w:t>boltce</w:t>
      </w:r>
      <w:r w:rsidR="00486C14">
        <w:t xml:space="preserve"> - z</w:t>
      </w:r>
      <w:r w:rsidR="00B3402D">
        <w:t>působuje závažné podráždění očí. Noste ochranné brýle. Pokud podráždění přetrvá</w:t>
      </w:r>
      <w:r>
        <w:t>vá</w:t>
      </w:r>
      <w:r w:rsidR="00B3402D">
        <w:t xml:space="preserve">, </w:t>
      </w:r>
      <w:r w:rsidR="005E21D0">
        <w:t>vyhledejte lékařskou pomoc/ošetření</w:t>
      </w:r>
      <w:r w:rsidR="00B3402D">
        <w:t xml:space="preserve">. </w:t>
      </w:r>
      <w:r w:rsidR="00486C14">
        <w:t xml:space="preserve">Obsahuje </w:t>
      </w:r>
      <w:proofErr w:type="spellStart"/>
      <w:r w:rsidR="00486C14">
        <w:t>kathon</w:t>
      </w:r>
      <w:proofErr w:type="spellEnd"/>
      <w:r w:rsidR="00486C14">
        <w:t xml:space="preserve">. </w:t>
      </w:r>
      <w:r w:rsidR="00B3402D">
        <w:t xml:space="preserve">Může vyvolat alergickou reakci. </w:t>
      </w:r>
    </w:p>
    <w:p w14:paraId="1F49C207" w14:textId="01CA056C" w:rsidR="00486C14" w:rsidRDefault="00D425E9" w:rsidP="00486C14">
      <w:r>
        <w:rPr>
          <w:noProof/>
          <w:lang w:eastAsia="cs-CZ"/>
        </w:rPr>
        <w:drawing>
          <wp:inline distT="0" distB="0" distL="0" distR="0" wp14:anchorId="1226807D" wp14:editId="42D22301">
            <wp:extent cx="5752465" cy="259080"/>
            <wp:effectExtent l="0" t="0" r="635" b="762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402D" w:rsidRPr="00D425E9">
        <w:rPr>
          <w:b/>
          <w:bCs/>
        </w:rPr>
        <w:t xml:space="preserve">TMB </w:t>
      </w:r>
      <w:proofErr w:type="spellStart"/>
      <w:r w:rsidR="00B3402D" w:rsidRPr="00D425E9">
        <w:rPr>
          <w:b/>
          <w:bCs/>
        </w:rPr>
        <w:t>Substrate</w:t>
      </w:r>
      <w:proofErr w:type="spellEnd"/>
      <w:r w:rsidR="00B3402D">
        <w:t xml:space="preserve"> − </w:t>
      </w:r>
      <w:r w:rsidR="00486C14">
        <w:t xml:space="preserve">způsobuje podrážení pokožky. Způsobuje závažné podráždění očí. Noste ochranné rukavice/brýle/obličejový štít.  Dojde-li k podráždění pokožky: </w:t>
      </w:r>
      <w:r w:rsidR="005E21D0">
        <w:t>vyhledejte lékařskou pomoc/ošetření</w:t>
      </w:r>
      <w:r w:rsidR="00486C14">
        <w:t xml:space="preserve">. Přetrvá-li podráždění očí, </w:t>
      </w:r>
      <w:r w:rsidR="005E21D0">
        <w:t>vyhledejte lékařskou pomoc/ošetření</w:t>
      </w:r>
    </w:p>
    <w:p w14:paraId="3D115F17" w14:textId="05FCE4BF" w:rsidR="00486C14" w:rsidRDefault="00D425E9" w:rsidP="00486C14">
      <w:r>
        <w:rPr>
          <w:noProof/>
          <w:lang w:eastAsia="cs-CZ"/>
        </w:rPr>
        <w:drawing>
          <wp:inline distT="0" distB="0" distL="0" distR="0" wp14:anchorId="2EE5178A" wp14:editId="7DEB7FE1">
            <wp:extent cx="5759450" cy="266065"/>
            <wp:effectExtent l="0" t="0" r="0" b="6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C14" w:rsidRPr="00D425E9">
        <w:rPr>
          <w:b/>
          <w:bCs/>
        </w:rPr>
        <w:t>Detekční protilátky</w:t>
      </w:r>
      <w:r w:rsidR="00486C14">
        <w:t xml:space="preserve"> - způsobuje mírné podráždění pokožky. Způsobuje závažné podráždění očí. Noste ochranné rukavice/brýle/obličejový štít.  Dojde-li k podráždění pokožky: </w:t>
      </w:r>
      <w:r w:rsidR="005E21D0">
        <w:t xml:space="preserve">vyhledejte lékařskou </w:t>
      </w:r>
      <w:r w:rsidR="005E21D0">
        <w:lastRenderedPageBreak/>
        <w:t>pomoc/ošetření</w:t>
      </w:r>
      <w:r w:rsidR="00486C14">
        <w:t xml:space="preserve"> Přetrvává-li podráždění očí: </w:t>
      </w:r>
      <w:r w:rsidR="005E21D0">
        <w:t xml:space="preserve">vyhledejte lékařskou pomoc/ošetření </w:t>
      </w:r>
      <w:r w:rsidR="00486C14">
        <w:t xml:space="preserve">Obsahuje </w:t>
      </w:r>
      <w:proofErr w:type="spellStart"/>
      <w:r w:rsidR="00486C14">
        <w:t>kathon</w:t>
      </w:r>
      <w:proofErr w:type="spellEnd"/>
      <w:r w:rsidR="00486C14">
        <w:t xml:space="preserve">. Může vyvolat alergickou reakci. </w:t>
      </w:r>
    </w:p>
    <w:p w14:paraId="03FCEC99" w14:textId="7F2A48C5" w:rsidR="00486C14" w:rsidRDefault="00D425E9" w:rsidP="00B3402D">
      <w:r>
        <w:rPr>
          <w:noProof/>
          <w:lang w:eastAsia="cs-CZ"/>
        </w:rPr>
        <w:drawing>
          <wp:inline distT="0" distB="0" distL="0" distR="0" wp14:anchorId="5EAA736E" wp14:editId="255C129B">
            <wp:extent cx="5759450" cy="2730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6C4" w:rsidRPr="00D425E9">
        <w:rPr>
          <w:b/>
          <w:bCs/>
        </w:rPr>
        <w:t>Zastavovací roztok</w:t>
      </w:r>
      <w:r w:rsidR="00EE0911">
        <w:rPr>
          <w:b/>
          <w:bCs/>
        </w:rPr>
        <w:t xml:space="preserve"> </w:t>
      </w:r>
      <w:r w:rsidR="004366C4">
        <w:t xml:space="preserve">- </w:t>
      </w:r>
      <w:r w:rsidR="00486C14">
        <w:t>škodlivý při požití. Způsobuje podráždění pokožky. Může způsobit alergickou kožní reakci.</w:t>
      </w:r>
      <w:r w:rsidR="005E21D0">
        <w:t xml:space="preserve"> Způsobuje vážné poškození očí. </w:t>
      </w:r>
      <w:r w:rsidR="00486C14">
        <w:t xml:space="preserve">Noste ochranné rukavice/brýle/obličejový štít.  Dojde-li k podráždění pokožky/výskytu vyrážky: </w:t>
      </w:r>
      <w:r w:rsidR="005E21D0">
        <w:t>vyhledejte lékařskou pomoc/ošetření</w:t>
      </w:r>
      <w:r w:rsidR="00486C14">
        <w:t xml:space="preserve">. Přetrvává-li podráždění očí: </w:t>
      </w:r>
      <w:r w:rsidR="005E21D0">
        <w:t>vyhledejte lékařskou pomoc/ošetření</w:t>
      </w:r>
      <w:r w:rsidR="00486C14">
        <w:t>.  Kontaminovaný oděv před novým použitím sundejte a vyperte. Obsah zlikvidujte v souladu s místními/regionálními/národními/mezinárodními předpisy.</w:t>
      </w:r>
    </w:p>
    <w:p w14:paraId="4B344B15" w14:textId="77777777" w:rsidR="003925BF" w:rsidRDefault="003925BF" w:rsidP="00B3402D"/>
    <w:p w14:paraId="5B0DD4EB" w14:textId="77777777" w:rsidR="005E21D0" w:rsidRPr="00B23A22" w:rsidRDefault="005E21D0" w:rsidP="005E21D0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t>Popis symbolů</w:t>
      </w:r>
    </w:p>
    <w:p w14:paraId="3CAE1A9B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1208393" wp14:editId="37648F3F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7E3F80F9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543DA66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7D82C7E" wp14:editId="2B2FB7FD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771E6453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3FBCC38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0B2330F" wp14:editId="2F5DB199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4DD67B27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83F55D8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8730AAE" wp14:editId="306D95B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70CD0EAA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5B88FBD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7158BE2" wp14:editId="10A4475A">
            <wp:extent cx="563880" cy="445135"/>
            <wp:effectExtent l="0" t="0" r="762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146F026E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1BCF55B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0952110E" wp14:editId="2C64F2E5">
            <wp:extent cx="754380" cy="379730"/>
            <wp:effectExtent l="0" t="0" r="7620" b="127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491D4ACC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3CB4A6F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7C7067F" wp14:editId="6950FEAA">
            <wp:extent cx="789940" cy="297180"/>
            <wp:effectExtent l="0" t="0" r="0" b="762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28F33208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4D32F1B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346B95D" wp14:editId="2B421D6C">
            <wp:extent cx="445135" cy="581660"/>
            <wp:effectExtent l="0" t="0" r="0" b="889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04C2DC41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2885AFE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26F7CA5" wp14:editId="2A0D9990">
            <wp:extent cx="487045" cy="487045"/>
            <wp:effectExtent l="0" t="0" r="8255" b="825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041790A7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71509FF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lastRenderedPageBreak/>
        <w:drawing>
          <wp:inline distT="0" distB="0" distL="0" distR="0" wp14:anchorId="66C8F80F" wp14:editId="46E153FB">
            <wp:extent cx="487045" cy="611505"/>
            <wp:effectExtent l="0" t="0" r="8255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1D2D3F60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BE50124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D5F99AD" wp14:editId="6797655A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4B69B5EB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174CB51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6180FED" wp14:editId="5427D5F5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68A8BF2F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2CBB6955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1747F033" wp14:editId="3DD67FFC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C7701A">
        <w:rPr>
          <w:rFonts w:cs="Swiss721BT-Bold"/>
          <w:bCs/>
          <w:noProof/>
          <w:color w:val="000000"/>
        </w:rPr>
        <w:t>Větší změna v návodu na použití</w:t>
      </w:r>
    </w:p>
    <w:p w14:paraId="68710183" w14:textId="77777777" w:rsidR="0057278B" w:rsidRDefault="0057278B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07EC2254" w14:textId="77777777" w:rsidR="005E21D0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2CC4B400" w14:textId="698C25EC" w:rsidR="005E21D0" w:rsidRPr="001B42A4" w:rsidRDefault="005E21D0" w:rsidP="005E21D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noProof/>
          <w:color w:val="000000"/>
        </w:rPr>
      </w:pPr>
      <w:r w:rsidRPr="001B42A4">
        <w:rPr>
          <w:rFonts w:cstheme="minorHAnsi"/>
          <w:iCs/>
          <w:noProof/>
          <w:color w:val="000000"/>
        </w:rPr>
        <w:t>Výrobce</w:t>
      </w:r>
    </w:p>
    <w:p w14:paraId="113A40D7" w14:textId="5467DA91" w:rsidR="005E21D0" w:rsidRPr="00B67717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  <w:sz w:val="24"/>
          <w:szCs w:val="24"/>
        </w:rPr>
      </w:pPr>
      <w:r w:rsidRPr="00B67717">
        <w:rPr>
          <w:rFonts w:cs="TTE1965D00t00"/>
          <w:noProof/>
        </w:rPr>
        <w:t xml:space="preserve">IDEXX </w:t>
      </w:r>
      <w:r>
        <w:rPr>
          <w:rFonts w:cs="TTE1965D00t00"/>
          <w:noProof/>
        </w:rPr>
        <w:t>Switzerland Gm</w:t>
      </w:r>
      <w:r w:rsidR="00622EB2">
        <w:rPr>
          <w:rFonts w:cs="TTE1965D00t00"/>
          <w:noProof/>
        </w:rPr>
        <w:t>bH</w:t>
      </w:r>
      <w:r w:rsidRPr="00B67717">
        <w:rPr>
          <w:rFonts w:cs="TTE1965D00t00"/>
          <w:noProof/>
        </w:rPr>
        <w:br/>
      </w:r>
      <w:r w:rsidR="00622EB2">
        <w:rPr>
          <w:rFonts w:cs="TTE1965D00t00"/>
          <w:noProof/>
        </w:rPr>
        <w:t>Stationstrasse 11</w:t>
      </w:r>
      <w:r w:rsidRPr="00B67717">
        <w:rPr>
          <w:rFonts w:cs="TTE1965D00t00"/>
          <w:noProof/>
        </w:rPr>
        <w:br/>
      </w:r>
      <w:r w:rsidR="00622EB2">
        <w:rPr>
          <w:rFonts w:cs="TTE1965D00t00"/>
          <w:noProof/>
        </w:rPr>
        <w:t>Liebefeld-Bern, CH-3097</w:t>
      </w:r>
      <w:r w:rsidRPr="00B67717">
        <w:rPr>
          <w:rFonts w:cs="TTE1965D00t00"/>
          <w:noProof/>
        </w:rPr>
        <w:br/>
      </w:r>
      <w:r w:rsidR="00622EB2">
        <w:rPr>
          <w:rFonts w:cs="TTE1965D00t00"/>
          <w:noProof/>
        </w:rPr>
        <w:t>Švýcarsko</w:t>
      </w:r>
      <w:r w:rsidRPr="00B67717">
        <w:rPr>
          <w:rFonts w:cs="TTE1965D00t00"/>
          <w:noProof/>
        </w:rPr>
        <w:br/>
      </w:r>
    </w:p>
    <w:p w14:paraId="02D62D9C" w14:textId="77777777" w:rsidR="005E21D0" w:rsidRPr="00B67717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6DA0614E" w14:textId="2AF2616F" w:rsidR="005E21D0" w:rsidRPr="00B67717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Zástupce pro EU</w:t>
      </w:r>
      <w:r w:rsidR="00495CC8">
        <w:rPr>
          <w:rFonts w:cs="TTE1965D00t00"/>
          <w:noProof/>
        </w:rPr>
        <w:t xml:space="preserve"> a držitel rozhodnutí o schválení</w:t>
      </w:r>
    </w:p>
    <w:p w14:paraId="3CC1F0EA" w14:textId="77777777" w:rsidR="005E21D0" w:rsidRPr="00B67717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 Europe B.V.</w:t>
      </w:r>
      <w:r w:rsidRPr="00B67717">
        <w:rPr>
          <w:rFonts w:cs="TTE1965D00t00"/>
          <w:noProof/>
        </w:rPr>
        <w:br/>
        <w:t>P.O. Box 1334</w:t>
      </w:r>
      <w:r w:rsidRPr="00B67717">
        <w:rPr>
          <w:rFonts w:cs="TTE1965D00t00"/>
          <w:noProof/>
        </w:rPr>
        <w:br/>
        <w:t>2130 EK Hoofddorp</w:t>
      </w:r>
      <w:r w:rsidRPr="00B67717">
        <w:rPr>
          <w:rFonts w:cs="TTE1965D00t00"/>
          <w:noProof/>
        </w:rPr>
        <w:br/>
        <w:t>Nizozemí</w:t>
      </w:r>
    </w:p>
    <w:p w14:paraId="77440A0F" w14:textId="77777777" w:rsidR="005E21D0" w:rsidRPr="00B67717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</w:p>
    <w:p w14:paraId="0842E57A" w14:textId="77777777" w:rsidR="005E21D0" w:rsidRPr="00B67717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</w:rPr>
      </w:pPr>
      <w:r w:rsidRPr="00B67717">
        <w:rPr>
          <w:rFonts w:cs="TTE1965D00t00"/>
          <w:noProof/>
        </w:rPr>
        <w:t>idexx.com</w:t>
      </w:r>
    </w:p>
    <w:p w14:paraId="096A2EE6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4995DC29" w14:textId="50CEA72C" w:rsidR="005E21D0" w:rsidRPr="00B23A22" w:rsidRDefault="00554435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>
        <w:rPr>
          <w:rFonts w:cs="TTE1965D00t00"/>
          <w:noProof/>
          <w:color w:val="000000"/>
        </w:rPr>
        <w:t>Číslo schválení: 272-01/C</w:t>
      </w:r>
    </w:p>
    <w:p w14:paraId="152BE9FD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50BC4143" w14:textId="77777777" w:rsidR="005E21D0" w:rsidRPr="00B23A22" w:rsidRDefault="005E21D0" w:rsidP="005E21D0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8F8CDDF" wp14:editId="2BFED05C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4DDD0" w14:textId="77777777" w:rsidR="00B3402D" w:rsidRPr="004469C8" w:rsidRDefault="00B3402D" w:rsidP="00B3402D"/>
    <w:sectPr w:rsidR="00B3402D" w:rsidRPr="004469C8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C52B" w14:textId="77777777" w:rsidR="008849A9" w:rsidRDefault="008849A9" w:rsidP="00761D08">
      <w:pPr>
        <w:spacing w:after="0" w:line="240" w:lineRule="auto"/>
      </w:pPr>
      <w:r>
        <w:separator/>
      </w:r>
    </w:p>
  </w:endnote>
  <w:endnote w:type="continuationSeparator" w:id="0">
    <w:p w14:paraId="4A13A580" w14:textId="77777777" w:rsidR="008849A9" w:rsidRDefault="008849A9" w:rsidP="0076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0741" w14:textId="77777777" w:rsidR="00113D3A" w:rsidRDefault="00113D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F580" w14:textId="77777777" w:rsidR="00113D3A" w:rsidRDefault="00113D3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2CCE" w14:textId="77777777" w:rsidR="00113D3A" w:rsidRDefault="00113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97B3" w14:textId="77777777" w:rsidR="008849A9" w:rsidRDefault="008849A9" w:rsidP="00761D08">
      <w:pPr>
        <w:spacing w:after="0" w:line="240" w:lineRule="auto"/>
      </w:pPr>
      <w:r>
        <w:separator/>
      </w:r>
    </w:p>
  </w:footnote>
  <w:footnote w:type="continuationSeparator" w:id="0">
    <w:p w14:paraId="2692BFE6" w14:textId="77777777" w:rsidR="008849A9" w:rsidRDefault="008849A9" w:rsidP="00761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CD44" w14:textId="77777777" w:rsidR="00113D3A" w:rsidRDefault="00113D3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2CD44" w14:textId="4091AEDA" w:rsidR="00761D08" w:rsidRPr="003558B4" w:rsidRDefault="00761D08" w:rsidP="00F23EAD">
    <w:pPr>
      <w:jc w:val="both"/>
      <w:rPr>
        <w:b/>
        <w:bCs/>
      </w:rPr>
    </w:pPr>
    <w:r>
      <w:rPr>
        <w:bCs/>
      </w:rPr>
      <w:t xml:space="preserve">Text příbalové informace součást dokumentace schválené rozhodnutím </w:t>
    </w:r>
    <w:proofErr w:type="spellStart"/>
    <w:r>
      <w:rPr>
        <w:bCs/>
      </w:rPr>
      <w:t>sp.zn</w:t>
    </w:r>
    <w:proofErr w:type="spellEnd"/>
    <w:r>
      <w:rPr>
        <w:bCs/>
      </w:rPr>
      <w:t xml:space="preserve">. </w:t>
    </w:r>
    <w:sdt>
      <w:sdtPr>
        <w:rPr>
          <w:bCs/>
        </w:rPr>
        <w:id w:val="-2015602751"/>
        <w:placeholder>
          <w:docPart w:val="4F037098CAF64E7AA483B5D9CA7A614E"/>
        </w:placeholder>
        <w:text/>
      </w:sdtPr>
      <w:sdtEndPr/>
      <w:sdtContent>
        <w:r>
          <w:rPr>
            <w:bCs/>
          </w:rPr>
          <w:t>USKVBL/15734/2021/POD</w:t>
        </w:r>
      </w:sdtContent>
    </w:sdt>
    <w:r>
      <w:rPr>
        <w:bCs/>
      </w:rPr>
      <w:t xml:space="preserve">, č.j. </w:t>
    </w:r>
    <w:sdt>
      <w:sdtPr>
        <w:rPr>
          <w:bCs/>
        </w:rPr>
        <w:id w:val="-486778004"/>
        <w:placeholder>
          <w:docPart w:val="4F037098CAF64E7AA483B5D9CA7A614E"/>
        </w:placeholder>
        <w:text/>
      </w:sdtPr>
      <w:sdtEndPr/>
      <w:sdtContent>
        <w:r w:rsidR="00113D3A" w:rsidRPr="00113D3A">
          <w:rPr>
            <w:bCs/>
          </w:rPr>
          <w:t>USKVBL/995/2022/REG-</w:t>
        </w:r>
        <w:proofErr w:type="spellStart"/>
        <w:r w:rsidR="00113D3A" w:rsidRPr="00113D3A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1475759433"/>
        <w:placeholder>
          <w:docPart w:val="CDCF43309E704526A2724A5E491EEB84"/>
        </w:placeholder>
        <w:date w:fullDate="2022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3D3A">
          <w:rPr>
            <w:bCs/>
          </w:rPr>
          <w:t>18.1.2022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</w:rPr>
        <w:id w:val="-2078656944"/>
        <w:placeholder>
          <w:docPart w:val="EA7F598522B7468F97E795C33D1A7F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eastAsia="Times New Roman" w:cs="Calibri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id w:val="-521854858"/>
        <w:placeholder>
          <w:docPart w:val="6EACC72AF32E46368A4E0DEA1D352B08"/>
        </w:placeholder>
        <w:text/>
      </w:sdtPr>
      <w:sdtEndPr/>
      <w:sdtContent>
        <w:r>
          <w:t xml:space="preserve">IDEXX BVDV </w:t>
        </w:r>
        <w:proofErr w:type="spellStart"/>
        <w:r>
          <w:t>Ag</w:t>
        </w:r>
        <w:proofErr w:type="spellEnd"/>
        <w:r>
          <w:t>/</w:t>
        </w:r>
        <w:proofErr w:type="spellStart"/>
        <w:r>
          <w:t>Serum</w:t>
        </w:r>
        <w:proofErr w:type="spellEnd"/>
        <w:r>
          <w:t xml:space="preserve"> Plus (</w:t>
        </w:r>
        <w:proofErr w:type="spellStart"/>
        <w:r>
          <w:t>Bovine</w:t>
        </w:r>
        <w:proofErr w:type="spellEnd"/>
        <w:r>
          <w:t xml:space="preserve"> </w:t>
        </w:r>
        <w:proofErr w:type="spellStart"/>
        <w:r>
          <w:t>Viral</w:t>
        </w:r>
        <w:proofErr w:type="spellEnd"/>
        <w:r>
          <w:t xml:space="preserve"> </w:t>
        </w:r>
        <w:proofErr w:type="spellStart"/>
        <w:r>
          <w:t>Diarrhoea</w:t>
        </w:r>
        <w:proofErr w:type="spellEnd"/>
        <w:r>
          <w:t xml:space="preserve"> Virus Antigen Test </w:t>
        </w:r>
        <w:proofErr w:type="spellStart"/>
        <w:r>
          <w:t>Kit</w:t>
        </w:r>
        <w:proofErr w:type="spellEnd"/>
        <w:r>
          <w:t>/</w:t>
        </w:r>
        <w:proofErr w:type="spellStart"/>
        <w:r>
          <w:t>Serum</w:t>
        </w:r>
        <w:proofErr w:type="spellEnd"/>
        <w:r>
          <w:t xml:space="preserve"> Plus)</w:t>
        </w:r>
      </w:sdtContent>
    </w:sdt>
  </w:p>
  <w:p w14:paraId="3E3096B8" w14:textId="77777777" w:rsidR="00761D08" w:rsidRDefault="00761D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F6DFD" w14:textId="77777777" w:rsidR="00113D3A" w:rsidRDefault="00113D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8B6EA8"/>
    <w:multiLevelType w:val="hybridMultilevel"/>
    <w:tmpl w:val="F160CC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7204"/>
    <w:multiLevelType w:val="hybridMultilevel"/>
    <w:tmpl w:val="82CC3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F9"/>
    <w:rsid w:val="00017EFB"/>
    <w:rsid w:val="00113D3A"/>
    <w:rsid w:val="001310E2"/>
    <w:rsid w:val="0014309A"/>
    <w:rsid w:val="001B42A4"/>
    <w:rsid w:val="001F79AF"/>
    <w:rsid w:val="002046B6"/>
    <w:rsid w:val="00287AB8"/>
    <w:rsid w:val="002940AB"/>
    <w:rsid w:val="002B3530"/>
    <w:rsid w:val="00384EC1"/>
    <w:rsid w:val="003925BF"/>
    <w:rsid w:val="003B4DF7"/>
    <w:rsid w:val="00424BE0"/>
    <w:rsid w:val="004366C4"/>
    <w:rsid w:val="0044306B"/>
    <w:rsid w:val="004469C8"/>
    <w:rsid w:val="00486C14"/>
    <w:rsid w:val="00495CC8"/>
    <w:rsid w:val="004B1EE2"/>
    <w:rsid w:val="00507738"/>
    <w:rsid w:val="00554435"/>
    <w:rsid w:val="0057278B"/>
    <w:rsid w:val="00581BF8"/>
    <w:rsid w:val="005A1625"/>
    <w:rsid w:val="005E21D0"/>
    <w:rsid w:val="00622EB2"/>
    <w:rsid w:val="006809CA"/>
    <w:rsid w:val="00696608"/>
    <w:rsid w:val="007358F3"/>
    <w:rsid w:val="00743BF7"/>
    <w:rsid w:val="007473B5"/>
    <w:rsid w:val="00761D08"/>
    <w:rsid w:val="007C45B0"/>
    <w:rsid w:val="0086689A"/>
    <w:rsid w:val="008849A9"/>
    <w:rsid w:val="008E0880"/>
    <w:rsid w:val="00964D1A"/>
    <w:rsid w:val="00A07DA0"/>
    <w:rsid w:val="00A3633F"/>
    <w:rsid w:val="00AC392E"/>
    <w:rsid w:val="00B00B8E"/>
    <w:rsid w:val="00B06200"/>
    <w:rsid w:val="00B3402D"/>
    <w:rsid w:val="00B76070"/>
    <w:rsid w:val="00B816F6"/>
    <w:rsid w:val="00BC2102"/>
    <w:rsid w:val="00CA1873"/>
    <w:rsid w:val="00CA2DAD"/>
    <w:rsid w:val="00D07728"/>
    <w:rsid w:val="00D425E9"/>
    <w:rsid w:val="00D479A9"/>
    <w:rsid w:val="00DC04A9"/>
    <w:rsid w:val="00DC29E1"/>
    <w:rsid w:val="00DD7351"/>
    <w:rsid w:val="00E4723B"/>
    <w:rsid w:val="00E65269"/>
    <w:rsid w:val="00EE0911"/>
    <w:rsid w:val="00EE6B27"/>
    <w:rsid w:val="00EF1CC7"/>
    <w:rsid w:val="00F20BC6"/>
    <w:rsid w:val="00F23EAD"/>
    <w:rsid w:val="00F339DE"/>
    <w:rsid w:val="00F675F9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6534"/>
  <w15:docId w15:val="{7E55519A-0543-42B2-AA8B-0B24AD7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75F9"/>
    <w:pPr>
      <w:autoSpaceDE w:val="0"/>
      <w:autoSpaceDN w:val="0"/>
      <w:adjustRightInd w:val="0"/>
      <w:spacing w:after="0" w:line="240" w:lineRule="auto"/>
    </w:pPr>
    <w:rPr>
      <w:rFonts w:ascii="Swiss 72 1 BT" w:hAnsi="Swiss 72 1 BT" w:cs="Swiss 72 1 BT"/>
      <w:color w:val="000000"/>
      <w:sz w:val="24"/>
      <w:szCs w:val="24"/>
    </w:rPr>
  </w:style>
  <w:style w:type="character" w:customStyle="1" w:styleId="A1">
    <w:name w:val="A1"/>
    <w:uiPriority w:val="99"/>
    <w:rsid w:val="00F675F9"/>
    <w:rPr>
      <w:rFonts w:cs="Swiss 72 1 BT"/>
      <w:color w:val="000000"/>
      <w:sz w:val="28"/>
      <w:szCs w:val="28"/>
    </w:rPr>
  </w:style>
  <w:style w:type="table" w:styleId="Mkatabulky">
    <w:name w:val="Table Grid"/>
    <w:basedOn w:val="Normlntabulka"/>
    <w:uiPriority w:val="59"/>
    <w:rsid w:val="00F3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1">
    <w:name w:val="Pa11"/>
    <w:basedOn w:val="Default"/>
    <w:next w:val="Default"/>
    <w:uiPriority w:val="99"/>
    <w:rsid w:val="00F339DE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F339DE"/>
    <w:rPr>
      <w:rFonts w:cs="Swiss 72 1 BT"/>
      <w:color w:val="000000"/>
      <w:sz w:val="17"/>
      <w:szCs w:val="17"/>
    </w:rPr>
  </w:style>
  <w:style w:type="paragraph" w:styleId="Odstavecseseznamem">
    <w:name w:val="List Paragraph"/>
    <w:basedOn w:val="Normln"/>
    <w:uiPriority w:val="34"/>
    <w:qFormat/>
    <w:rsid w:val="00D479A9"/>
    <w:pPr>
      <w:ind w:left="720"/>
      <w:contextualSpacing/>
    </w:pPr>
  </w:style>
  <w:style w:type="paragraph" w:customStyle="1" w:styleId="Pa17">
    <w:name w:val="Pa17"/>
    <w:basedOn w:val="Default"/>
    <w:next w:val="Default"/>
    <w:uiPriority w:val="99"/>
    <w:rsid w:val="00287AB8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87AB8"/>
    <w:pPr>
      <w:spacing w:line="17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287AB8"/>
    <w:pPr>
      <w:spacing w:line="20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287AB8"/>
    <w:pPr>
      <w:spacing w:line="17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5A1625"/>
    <w:pPr>
      <w:spacing w:line="16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5A1625"/>
    <w:pPr>
      <w:spacing w:line="161" w:lineRule="atLeast"/>
    </w:pPr>
    <w:rPr>
      <w:rFonts w:cstheme="minorBidi"/>
      <w:color w:val="auto"/>
    </w:rPr>
  </w:style>
  <w:style w:type="paragraph" w:customStyle="1" w:styleId="Pa22">
    <w:name w:val="Pa22"/>
    <w:basedOn w:val="Normln"/>
    <w:next w:val="Normln"/>
    <w:uiPriority w:val="99"/>
    <w:rsid w:val="007C45B0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469C8"/>
    <w:pPr>
      <w:spacing w:line="241" w:lineRule="atLeast"/>
    </w:pPr>
    <w:rPr>
      <w:rFonts w:cstheme="minorBidi"/>
      <w:color w:val="auto"/>
    </w:rPr>
  </w:style>
  <w:style w:type="character" w:styleId="Hypertextovodkaz">
    <w:name w:val="Hyperlink"/>
    <w:basedOn w:val="Standardnpsmoodstavce"/>
    <w:uiPriority w:val="99"/>
    <w:unhideWhenUsed/>
    <w:rsid w:val="00B3402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D08"/>
  </w:style>
  <w:style w:type="paragraph" w:styleId="Zpat">
    <w:name w:val="footer"/>
    <w:basedOn w:val="Normln"/>
    <w:link w:val="ZpatChar"/>
    <w:uiPriority w:val="99"/>
    <w:unhideWhenUsed/>
    <w:rsid w:val="0076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D08"/>
  </w:style>
  <w:style w:type="character" w:styleId="Zstupntext">
    <w:name w:val="Placeholder Text"/>
    <w:rsid w:val="00761D0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1430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0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0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0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0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9" Type="http://schemas.openxmlformats.org/officeDocument/2006/relationships/header" Target="header2.xml"/><Relationship Id="rId21" Type="http://schemas.openxmlformats.org/officeDocument/2006/relationships/image" Target="media/image14.png"/><Relationship Id="rId34" Type="http://schemas.openxmlformats.org/officeDocument/2006/relationships/image" Target="media/image27.emf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footer" Target="footer1.xml"/><Relationship Id="rId45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http://www.idexx.com/production/contactlpd" TargetMode="External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037098CAF64E7AA483B5D9CA7A61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EB38F-CAB7-4945-91F1-14888B508BA8}"/>
      </w:docPartPr>
      <w:docPartBody>
        <w:p w:rsidR="00AD260E" w:rsidRDefault="007B3562" w:rsidP="007B3562">
          <w:pPr>
            <w:pStyle w:val="4F037098CAF64E7AA483B5D9CA7A614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CF43309E704526A2724A5E491EEB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00751-2BEF-4BC8-9177-BEFDF2A063DD}"/>
      </w:docPartPr>
      <w:docPartBody>
        <w:p w:rsidR="00AD260E" w:rsidRDefault="007B3562" w:rsidP="007B3562">
          <w:pPr>
            <w:pStyle w:val="CDCF43309E704526A2724A5E491EEB8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7F598522B7468F97E795C33D1A7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B60E9-DAF6-4222-B916-5E3E17D2261E}"/>
      </w:docPartPr>
      <w:docPartBody>
        <w:p w:rsidR="00AD260E" w:rsidRDefault="007B3562" w:rsidP="007B3562">
          <w:pPr>
            <w:pStyle w:val="EA7F598522B7468F97E795C33D1A7F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EACC72AF32E46368A4E0DEA1D352B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5190A6-749D-411E-B1E0-C958510A4311}"/>
      </w:docPartPr>
      <w:docPartBody>
        <w:p w:rsidR="00AD260E" w:rsidRDefault="007B3562" w:rsidP="007B3562">
          <w:pPr>
            <w:pStyle w:val="6EACC72AF32E46368A4E0DEA1D352B0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562"/>
    <w:rsid w:val="003D653B"/>
    <w:rsid w:val="007B3562"/>
    <w:rsid w:val="00AD260E"/>
    <w:rsid w:val="00C07A91"/>
    <w:rsid w:val="00C832B2"/>
    <w:rsid w:val="00CD1B35"/>
    <w:rsid w:val="00CD22AC"/>
    <w:rsid w:val="00F9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3562"/>
    <w:rPr>
      <w:color w:val="808080"/>
    </w:rPr>
  </w:style>
  <w:style w:type="paragraph" w:customStyle="1" w:styleId="4F037098CAF64E7AA483B5D9CA7A614E">
    <w:name w:val="4F037098CAF64E7AA483B5D9CA7A614E"/>
    <w:rsid w:val="007B3562"/>
  </w:style>
  <w:style w:type="paragraph" w:customStyle="1" w:styleId="CDCF43309E704526A2724A5E491EEB84">
    <w:name w:val="CDCF43309E704526A2724A5E491EEB84"/>
    <w:rsid w:val="007B3562"/>
  </w:style>
  <w:style w:type="paragraph" w:customStyle="1" w:styleId="EA7F598522B7468F97E795C33D1A7F4B">
    <w:name w:val="EA7F598522B7468F97E795C33D1A7F4B"/>
    <w:rsid w:val="007B3562"/>
  </w:style>
  <w:style w:type="paragraph" w:customStyle="1" w:styleId="6EACC72AF32E46368A4E0DEA1D352B08">
    <w:name w:val="6EACC72AF32E46368A4E0DEA1D352B08"/>
    <w:rsid w:val="007B3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1921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Morávková Věra</cp:lastModifiedBy>
  <cp:revision>33</cp:revision>
  <dcterms:created xsi:type="dcterms:W3CDTF">2022-01-12T15:57:00Z</dcterms:created>
  <dcterms:modified xsi:type="dcterms:W3CDTF">2022-01-25T12:02:00Z</dcterms:modified>
</cp:coreProperties>
</file>