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557F" w14:textId="52254E57" w:rsidR="00942DC8" w:rsidRPr="00DC6EA6" w:rsidRDefault="00942DC8" w:rsidP="00942DC8">
      <w:pPr>
        <w:rPr>
          <w:sz w:val="22"/>
          <w:szCs w:val="22"/>
        </w:rPr>
      </w:pPr>
    </w:p>
    <w:p w14:paraId="452DF64D" w14:textId="77777777" w:rsidR="00942DC8" w:rsidRPr="00DC6EA6" w:rsidRDefault="00942DC8" w:rsidP="00942DC8">
      <w:pPr>
        <w:ind w:right="113"/>
        <w:jc w:val="center"/>
        <w:rPr>
          <w:sz w:val="22"/>
          <w:szCs w:val="22"/>
        </w:rPr>
      </w:pPr>
      <w:r w:rsidRPr="00DC6EA6">
        <w:rPr>
          <w:b/>
          <w:sz w:val="22"/>
          <w:szCs w:val="22"/>
        </w:rPr>
        <w:t>PŘÍBALOVÁ INFORMACE</w:t>
      </w:r>
    </w:p>
    <w:p w14:paraId="0F4EC9E8" w14:textId="0470E380" w:rsidR="00590093" w:rsidRPr="00DC6EA6" w:rsidRDefault="00163791" w:rsidP="00942DC8">
      <w:pPr>
        <w:jc w:val="center"/>
        <w:rPr>
          <w:b/>
          <w:bCs/>
          <w:sz w:val="22"/>
          <w:szCs w:val="22"/>
        </w:rPr>
      </w:pPr>
      <w:proofErr w:type="spellStart"/>
      <w:r w:rsidRPr="00DC6EA6">
        <w:rPr>
          <w:b/>
          <w:spacing w:val="-3"/>
          <w:sz w:val="22"/>
          <w:szCs w:val="22"/>
        </w:rPr>
        <w:t>Cardisure</w:t>
      </w:r>
      <w:proofErr w:type="spellEnd"/>
      <w:r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1,25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/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2,5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/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5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/</w:t>
      </w:r>
      <w:r w:rsidR="00456092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 xml:space="preserve">10 mg </w:t>
      </w:r>
      <w:r w:rsidR="00456092" w:rsidRPr="00DC6EA6">
        <w:rPr>
          <w:b/>
          <w:spacing w:val="-3"/>
          <w:sz w:val="22"/>
          <w:szCs w:val="22"/>
        </w:rPr>
        <w:t>ochucené</w:t>
      </w:r>
      <w:r w:rsidR="00824C3E" w:rsidRPr="00DC6EA6">
        <w:rPr>
          <w:b/>
          <w:spacing w:val="-3"/>
          <w:sz w:val="22"/>
          <w:szCs w:val="22"/>
        </w:rPr>
        <w:t xml:space="preserve"> </w:t>
      </w:r>
      <w:r w:rsidR="003E0F78" w:rsidRPr="00DC6EA6">
        <w:rPr>
          <w:b/>
          <w:spacing w:val="-3"/>
          <w:sz w:val="22"/>
          <w:szCs w:val="22"/>
        </w:rPr>
        <w:t>tablety pro psy</w:t>
      </w:r>
    </w:p>
    <w:p w14:paraId="5CA48C44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</w:p>
    <w:p w14:paraId="2FA5F561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</w:p>
    <w:p w14:paraId="0CC35A91" w14:textId="77777777" w:rsidR="00942DC8" w:rsidRPr="00DC6EA6" w:rsidRDefault="00942DC8" w:rsidP="002F6F34">
      <w:pPr>
        <w:ind w:left="567" w:hanging="567"/>
        <w:rPr>
          <w:b/>
          <w:sz w:val="22"/>
          <w:szCs w:val="22"/>
        </w:rPr>
      </w:pPr>
      <w:r w:rsidRPr="00DC6EA6">
        <w:rPr>
          <w:b/>
          <w:sz w:val="22"/>
          <w:szCs w:val="22"/>
          <w:highlight w:val="lightGray"/>
        </w:rPr>
        <w:t>1.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  <w:highlight w:val="lightGray"/>
        </w:rPr>
        <w:t>JMÉNO A ADRESA DRŽITELE ROZHODNUTÍ O REGISTRACI A DRŽITELE POVOLENÍ K VÝROBĚ ODPOVĚDNÉHO ZA UVOLNĚNÍ ŠARŽE, POKUD SE NESHODUJE</w:t>
      </w:r>
    </w:p>
    <w:p w14:paraId="3D76155D" w14:textId="77777777" w:rsidR="000B6E0B" w:rsidRPr="00DC6EA6" w:rsidRDefault="000B6E0B" w:rsidP="00942DC8">
      <w:pPr>
        <w:rPr>
          <w:sz w:val="22"/>
          <w:szCs w:val="22"/>
        </w:rPr>
      </w:pPr>
    </w:p>
    <w:p w14:paraId="761E5C76" w14:textId="77777777" w:rsidR="001D2EBB" w:rsidRPr="00DC6EA6" w:rsidRDefault="001D2EBB" w:rsidP="001D2EBB">
      <w:pPr>
        <w:ind w:right="-318"/>
        <w:rPr>
          <w:sz w:val="22"/>
          <w:szCs w:val="22"/>
        </w:rPr>
      </w:pPr>
      <w:r w:rsidRPr="00DC6EA6">
        <w:rPr>
          <w:sz w:val="22"/>
          <w:szCs w:val="22"/>
          <w:u w:val="single"/>
        </w:rPr>
        <w:t>Držitel rozhodnutí o registraci:</w:t>
      </w:r>
    </w:p>
    <w:p w14:paraId="05CE063E" w14:textId="0F470412" w:rsidR="001D2EBB" w:rsidRPr="00DC6EA6" w:rsidRDefault="001D2EBB" w:rsidP="001D2EBB">
      <w:pPr>
        <w:ind w:right="-318"/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Eurovet</w:t>
      </w:r>
      <w:proofErr w:type="spellEnd"/>
      <w:r w:rsidRPr="00DC6EA6">
        <w:rPr>
          <w:sz w:val="22"/>
          <w:szCs w:val="22"/>
        </w:rPr>
        <w:t xml:space="preserve"> Animal </w:t>
      </w:r>
      <w:proofErr w:type="spellStart"/>
      <w:r w:rsidRPr="00DC6EA6">
        <w:rPr>
          <w:sz w:val="22"/>
          <w:szCs w:val="22"/>
        </w:rPr>
        <w:t>Health</w:t>
      </w:r>
      <w:proofErr w:type="spellEnd"/>
      <w:r w:rsidRPr="00DC6EA6">
        <w:rPr>
          <w:sz w:val="22"/>
          <w:szCs w:val="22"/>
        </w:rPr>
        <w:t xml:space="preserve"> BV</w:t>
      </w:r>
    </w:p>
    <w:p w14:paraId="4BD2373D" w14:textId="77777777" w:rsidR="00590093" w:rsidRPr="00DC6EA6" w:rsidRDefault="001D2EBB" w:rsidP="001D2EBB">
      <w:pPr>
        <w:ind w:right="-318"/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Handelsweg</w:t>
      </w:r>
      <w:proofErr w:type="spellEnd"/>
      <w:r w:rsidRPr="00DC6EA6">
        <w:rPr>
          <w:sz w:val="22"/>
          <w:szCs w:val="22"/>
        </w:rPr>
        <w:t xml:space="preserve"> 25</w:t>
      </w:r>
    </w:p>
    <w:p w14:paraId="5A9DFA46" w14:textId="77777777" w:rsidR="001D2EBB" w:rsidRPr="00DC6EA6" w:rsidRDefault="001D2EBB" w:rsidP="001D2EBB">
      <w:pPr>
        <w:ind w:right="-318"/>
        <w:rPr>
          <w:sz w:val="22"/>
          <w:szCs w:val="22"/>
        </w:rPr>
      </w:pPr>
      <w:r w:rsidRPr="00DC6EA6">
        <w:rPr>
          <w:sz w:val="22"/>
          <w:szCs w:val="22"/>
        </w:rPr>
        <w:t xml:space="preserve">5531 AE </w:t>
      </w:r>
      <w:proofErr w:type="spellStart"/>
      <w:r w:rsidRPr="00DC6EA6">
        <w:rPr>
          <w:sz w:val="22"/>
          <w:szCs w:val="22"/>
        </w:rPr>
        <w:t>Bladel</w:t>
      </w:r>
      <w:proofErr w:type="spellEnd"/>
    </w:p>
    <w:p w14:paraId="79972478" w14:textId="77777777" w:rsidR="001D2EBB" w:rsidRPr="00DC6EA6" w:rsidRDefault="001D2EBB" w:rsidP="001D2EBB">
      <w:pPr>
        <w:ind w:right="-318"/>
        <w:rPr>
          <w:sz w:val="22"/>
          <w:szCs w:val="22"/>
        </w:rPr>
      </w:pPr>
      <w:r w:rsidRPr="00DC6EA6">
        <w:rPr>
          <w:sz w:val="22"/>
          <w:szCs w:val="22"/>
        </w:rPr>
        <w:t>Nizozemsko</w:t>
      </w:r>
    </w:p>
    <w:p w14:paraId="365F1604" w14:textId="77777777" w:rsidR="001D2EBB" w:rsidRPr="00DC6EA6" w:rsidRDefault="001D2EBB" w:rsidP="001D2EBB">
      <w:pPr>
        <w:rPr>
          <w:iCs/>
          <w:sz w:val="22"/>
          <w:szCs w:val="22"/>
        </w:rPr>
      </w:pPr>
    </w:p>
    <w:p w14:paraId="78DC6C0B" w14:textId="77777777" w:rsidR="001D2EBB" w:rsidRPr="00DC6EA6" w:rsidRDefault="001D2EBB" w:rsidP="001D2EBB">
      <w:pPr>
        <w:rPr>
          <w:sz w:val="22"/>
          <w:szCs w:val="22"/>
        </w:rPr>
      </w:pPr>
      <w:r w:rsidRPr="00DC6EA6">
        <w:rPr>
          <w:sz w:val="22"/>
          <w:szCs w:val="22"/>
          <w:u w:val="single"/>
        </w:rPr>
        <w:t>Výrobci odpovědní za uvolnění šarže</w:t>
      </w:r>
      <w:r w:rsidRPr="00DC6EA6">
        <w:rPr>
          <w:sz w:val="22"/>
          <w:szCs w:val="22"/>
        </w:rPr>
        <w:t>:</w:t>
      </w:r>
    </w:p>
    <w:p w14:paraId="3B29E4F9" w14:textId="21D8B91E" w:rsidR="001D2EBB" w:rsidRPr="00DC6EA6" w:rsidRDefault="001D2EBB" w:rsidP="001D2EBB">
      <w:pPr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Eurovet</w:t>
      </w:r>
      <w:proofErr w:type="spellEnd"/>
      <w:r w:rsidRPr="00DC6EA6">
        <w:rPr>
          <w:sz w:val="22"/>
          <w:szCs w:val="22"/>
        </w:rPr>
        <w:t xml:space="preserve"> Animal </w:t>
      </w:r>
      <w:proofErr w:type="spellStart"/>
      <w:r w:rsidRPr="00DC6EA6">
        <w:rPr>
          <w:sz w:val="22"/>
          <w:szCs w:val="22"/>
        </w:rPr>
        <w:t>Health</w:t>
      </w:r>
      <w:proofErr w:type="spellEnd"/>
      <w:r w:rsidRPr="00DC6EA6">
        <w:rPr>
          <w:sz w:val="22"/>
          <w:szCs w:val="22"/>
        </w:rPr>
        <w:t xml:space="preserve"> BV</w:t>
      </w:r>
    </w:p>
    <w:p w14:paraId="5141EB6A" w14:textId="77777777" w:rsidR="00590093" w:rsidRPr="00DC6EA6" w:rsidRDefault="001D2EBB" w:rsidP="001D2EBB">
      <w:pPr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Handelsweg</w:t>
      </w:r>
      <w:proofErr w:type="spellEnd"/>
      <w:r w:rsidRPr="00DC6EA6">
        <w:rPr>
          <w:sz w:val="22"/>
          <w:szCs w:val="22"/>
        </w:rPr>
        <w:t xml:space="preserve"> 25</w:t>
      </w:r>
    </w:p>
    <w:p w14:paraId="68F11BDF" w14:textId="77777777" w:rsidR="001D2EBB" w:rsidRPr="00DC6EA6" w:rsidRDefault="001D2EBB" w:rsidP="001D2EBB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5531 AE </w:t>
      </w:r>
      <w:proofErr w:type="spellStart"/>
      <w:r w:rsidRPr="00DC6EA6">
        <w:rPr>
          <w:sz w:val="22"/>
          <w:szCs w:val="22"/>
        </w:rPr>
        <w:t>Bladel</w:t>
      </w:r>
      <w:proofErr w:type="spellEnd"/>
    </w:p>
    <w:p w14:paraId="04C7161A" w14:textId="77777777" w:rsidR="001D2EBB" w:rsidRPr="00DC6EA6" w:rsidRDefault="001D2EBB" w:rsidP="001D2EBB">
      <w:pPr>
        <w:rPr>
          <w:sz w:val="22"/>
          <w:szCs w:val="22"/>
        </w:rPr>
      </w:pPr>
      <w:r w:rsidRPr="00DC6EA6">
        <w:rPr>
          <w:sz w:val="22"/>
          <w:szCs w:val="22"/>
        </w:rPr>
        <w:t>Nizozemsko</w:t>
      </w:r>
    </w:p>
    <w:p w14:paraId="64A79FFC" w14:textId="77777777" w:rsidR="001D2EBB" w:rsidRPr="00DC6EA6" w:rsidRDefault="001D2EBB" w:rsidP="001D2EBB">
      <w:pPr>
        <w:rPr>
          <w:b/>
          <w:sz w:val="22"/>
          <w:szCs w:val="22"/>
        </w:rPr>
      </w:pPr>
    </w:p>
    <w:p w14:paraId="2AE26C8F" w14:textId="77777777" w:rsidR="00DF1535" w:rsidRPr="00DF1535" w:rsidRDefault="00DF1535" w:rsidP="00DF1535">
      <w:pPr>
        <w:rPr>
          <w:sz w:val="22"/>
          <w:szCs w:val="22"/>
        </w:rPr>
      </w:pPr>
      <w:proofErr w:type="spellStart"/>
      <w:r w:rsidRPr="00DF1535">
        <w:rPr>
          <w:sz w:val="22"/>
          <w:szCs w:val="22"/>
        </w:rPr>
        <w:t>Genera</w:t>
      </w:r>
      <w:proofErr w:type="spellEnd"/>
      <w:r w:rsidRPr="00DF1535">
        <w:rPr>
          <w:sz w:val="22"/>
          <w:szCs w:val="22"/>
        </w:rPr>
        <w:t xml:space="preserve"> Inc.</w:t>
      </w:r>
    </w:p>
    <w:p w14:paraId="4B6B6657" w14:textId="77777777" w:rsidR="00DF1535" w:rsidRPr="00DF1535" w:rsidRDefault="00DF1535" w:rsidP="00DF1535">
      <w:pPr>
        <w:rPr>
          <w:sz w:val="22"/>
          <w:szCs w:val="22"/>
        </w:rPr>
      </w:pPr>
      <w:proofErr w:type="spellStart"/>
      <w:r w:rsidRPr="00DF1535">
        <w:rPr>
          <w:sz w:val="22"/>
          <w:szCs w:val="22"/>
        </w:rPr>
        <w:t>Svetonedeljska</w:t>
      </w:r>
      <w:proofErr w:type="spellEnd"/>
      <w:r w:rsidRPr="00DF1535">
        <w:rPr>
          <w:sz w:val="22"/>
          <w:szCs w:val="22"/>
        </w:rPr>
        <w:t xml:space="preserve"> cesta 2</w:t>
      </w:r>
    </w:p>
    <w:p w14:paraId="724200E1" w14:textId="77777777" w:rsidR="00DF1535" w:rsidRPr="00DF1535" w:rsidRDefault="00DF1535" w:rsidP="00DF1535">
      <w:pPr>
        <w:rPr>
          <w:sz w:val="22"/>
          <w:szCs w:val="22"/>
        </w:rPr>
      </w:pPr>
      <w:proofErr w:type="spellStart"/>
      <w:r w:rsidRPr="00DF1535">
        <w:rPr>
          <w:sz w:val="22"/>
          <w:szCs w:val="22"/>
        </w:rPr>
        <w:t>Kalinovica</w:t>
      </w:r>
      <w:proofErr w:type="spellEnd"/>
    </w:p>
    <w:p w14:paraId="69289971" w14:textId="77777777" w:rsidR="00DF1535" w:rsidRPr="00DF1535" w:rsidRDefault="00DF1535" w:rsidP="00DF1535">
      <w:pPr>
        <w:rPr>
          <w:sz w:val="22"/>
          <w:szCs w:val="22"/>
        </w:rPr>
      </w:pPr>
      <w:r w:rsidRPr="00DF1535">
        <w:rPr>
          <w:sz w:val="22"/>
          <w:szCs w:val="22"/>
        </w:rPr>
        <w:t>10436 Rakov Potok</w:t>
      </w:r>
    </w:p>
    <w:p w14:paraId="76631E8B" w14:textId="55937EDB" w:rsidR="00DF1535" w:rsidRDefault="00DF1535" w:rsidP="00DF1535">
      <w:pPr>
        <w:rPr>
          <w:sz w:val="22"/>
          <w:szCs w:val="22"/>
        </w:rPr>
      </w:pPr>
      <w:r w:rsidRPr="00DF1535">
        <w:rPr>
          <w:sz w:val="22"/>
          <w:szCs w:val="22"/>
        </w:rPr>
        <w:t>Chorvatsko</w:t>
      </w:r>
    </w:p>
    <w:p w14:paraId="617E0A45" w14:textId="77777777" w:rsidR="00DF1535" w:rsidRDefault="00DF1535" w:rsidP="00DF1535">
      <w:pPr>
        <w:rPr>
          <w:sz w:val="22"/>
          <w:szCs w:val="22"/>
        </w:rPr>
      </w:pPr>
    </w:p>
    <w:p w14:paraId="74784FEA" w14:textId="77777777" w:rsidR="00DF1535" w:rsidRDefault="00DF1535" w:rsidP="00DF1535">
      <w:pPr>
        <w:ind w:left="567" w:hanging="567"/>
        <w:rPr>
          <w:sz w:val="22"/>
          <w:szCs w:val="22"/>
        </w:rPr>
      </w:pPr>
      <w:r w:rsidRPr="00C05192">
        <w:rPr>
          <w:sz w:val="22"/>
          <w:szCs w:val="22"/>
          <w:highlight w:val="lightGray"/>
        </w:rPr>
        <w:t>V příbalové informaci bude uvedeno pouze místo testování a uvolnění šarží.</w:t>
      </w:r>
    </w:p>
    <w:p w14:paraId="395D43C1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</w:p>
    <w:p w14:paraId="49FD0E57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2.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NÁZEV VETERINÁRNÍHO LÉČIVÉHO PŘÍPRAVKU</w:t>
      </w:r>
    </w:p>
    <w:p w14:paraId="0C1C0789" w14:textId="77777777" w:rsidR="00590093" w:rsidRPr="00DC6EA6" w:rsidRDefault="00590093" w:rsidP="00942DC8">
      <w:pPr>
        <w:rPr>
          <w:spacing w:val="-3"/>
          <w:sz w:val="22"/>
          <w:szCs w:val="22"/>
        </w:rPr>
      </w:pPr>
    </w:p>
    <w:p w14:paraId="39E5FC24" w14:textId="5FD6DDFA" w:rsidR="00CC0C5B" w:rsidRPr="00DC6EA6" w:rsidRDefault="00CC0C5B" w:rsidP="00CC0C5B">
      <w:pPr>
        <w:rPr>
          <w:spacing w:val="-3"/>
          <w:sz w:val="22"/>
          <w:szCs w:val="22"/>
        </w:rPr>
      </w:pPr>
      <w:proofErr w:type="spellStart"/>
      <w:r w:rsidRPr="00DC6EA6">
        <w:rPr>
          <w:spacing w:val="-3"/>
          <w:sz w:val="22"/>
          <w:szCs w:val="22"/>
        </w:rPr>
        <w:t>Cardisure</w:t>
      </w:r>
      <w:proofErr w:type="spellEnd"/>
      <w:r w:rsidRPr="00DC6EA6">
        <w:rPr>
          <w:spacing w:val="-3"/>
          <w:sz w:val="22"/>
          <w:szCs w:val="22"/>
        </w:rPr>
        <w:t xml:space="preserve"> 1,25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2,5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5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456092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10 mg</w:t>
      </w:r>
      <w:r w:rsidR="00824C3E" w:rsidRPr="00DC6EA6">
        <w:rPr>
          <w:spacing w:val="-3"/>
          <w:sz w:val="22"/>
          <w:szCs w:val="22"/>
        </w:rPr>
        <w:t xml:space="preserve"> </w:t>
      </w:r>
      <w:r w:rsidR="00456092" w:rsidRPr="00DC6EA6">
        <w:rPr>
          <w:spacing w:val="-3"/>
          <w:sz w:val="22"/>
          <w:szCs w:val="22"/>
        </w:rPr>
        <w:t>ochucené</w:t>
      </w:r>
      <w:r w:rsidRPr="00DC6EA6">
        <w:rPr>
          <w:spacing w:val="-3"/>
          <w:sz w:val="22"/>
          <w:szCs w:val="22"/>
        </w:rPr>
        <w:t xml:space="preserve"> tablety pro psy</w:t>
      </w:r>
    </w:p>
    <w:p w14:paraId="45492DC0" w14:textId="44A67354" w:rsidR="00942DC8" w:rsidRPr="00DC6EA6" w:rsidRDefault="00942DC8" w:rsidP="00942DC8">
      <w:pPr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Pimobendan</w:t>
      </w:r>
      <w:r w:rsidR="009A0433" w:rsidRPr="00DC6EA6">
        <w:rPr>
          <w:sz w:val="22"/>
          <w:szCs w:val="22"/>
        </w:rPr>
        <w:t>um</w:t>
      </w:r>
      <w:proofErr w:type="spellEnd"/>
    </w:p>
    <w:p w14:paraId="236CEE7A" w14:textId="77777777" w:rsidR="00942DC8" w:rsidRPr="00DC6EA6" w:rsidRDefault="00942DC8" w:rsidP="00942DC8">
      <w:pPr>
        <w:rPr>
          <w:sz w:val="22"/>
          <w:szCs w:val="22"/>
        </w:rPr>
      </w:pPr>
    </w:p>
    <w:p w14:paraId="25057BFD" w14:textId="77777777" w:rsidR="00942DC8" w:rsidRPr="00DC6EA6" w:rsidRDefault="00942DC8" w:rsidP="00942DC8">
      <w:pPr>
        <w:ind w:left="567" w:hanging="567"/>
        <w:rPr>
          <w:b/>
          <w:sz w:val="22"/>
          <w:szCs w:val="22"/>
        </w:rPr>
      </w:pPr>
      <w:r w:rsidRPr="00DC6EA6">
        <w:rPr>
          <w:b/>
          <w:sz w:val="22"/>
          <w:szCs w:val="22"/>
        </w:rPr>
        <w:t>3.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OBSAH LÉČIVÝCH A OSTATNÍCH LÁTEK</w:t>
      </w:r>
    </w:p>
    <w:p w14:paraId="5E725F31" w14:textId="77777777" w:rsidR="00942DC8" w:rsidRPr="00DC6EA6" w:rsidRDefault="00942DC8" w:rsidP="00942DC8">
      <w:pPr>
        <w:rPr>
          <w:sz w:val="22"/>
          <w:szCs w:val="22"/>
        </w:rPr>
      </w:pPr>
    </w:p>
    <w:p w14:paraId="64BAC32D" w14:textId="77777777" w:rsidR="00942DC8" w:rsidRPr="00DC6EA6" w:rsidRDefault="00590093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>1 tableta obsahuje:</w:t>
      </w:r>
    </w:p>
    <w:p w14:paraId="6BDE7029" w14:textId="77777777" w:rsidR="00942DC8" w:rsidRPr="00DC6EA6" w:rsidRDefault="00942DC8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>Léčivá látka:</w:t>
      </w:r>
    </w:p>
    <w:p w14:paraId="4F81B46D" w14:textId="6ECB4407" w:rsidR="00942DC8" w:rsidRPr="00DC6EA6" w:rsidRDefault="00942DC8" w:rsidP="00942DC8">
      <w:pPr>
        <w:rPr>
          <w:sz w:val="22"/>
          <w:szCs w:val="22"/>
        </w:rPr>
      </w:pPr>
      <w:proofErr w:type="spellStart"/>
      <w:r w:rsidRPr="00DC6EA6">
        <w:rPr>
          <w:sz w:val="22"/>
          <w:szCs w:val="22"/>
        </w:rPr>
        <w:t>Pimobendan</w:t>
      </w:r>
      <w:r w:rsidR="009A0433" w:rsidRPr="00DC6EA6">
        <w:rPr>
          <w:sz w:val="22"/>
          <w:szCs w:val="22"/>
        </w:rPr>
        <w:t>um</w:t>
      </w:r>
      <w:proofErr w:type="spellEnd"/>
      <w:r w:rsidRPr="00DC6EA6">
        <w:rPr>
          <w:sz w:val="22"/>
          <w:szCs w:val="22"/>
        </w:rPr>
        <w:tab/>
      </w:r>
      <w:r w:rsidRPr="00DC6EA6">
        <w:rPr>
          <w:sz w:val="22"/>
          <w:szCs w:val="22"/>
        </w:rPr>
        <w:tab/>
      </w:r>
      <w:r w:rsidRPr="00DC6EA6">
        <w:rPr>
          <w:sz w:val="22"/>
          <w:szCs w:val="22"/>
        </w:rPr>
        <w:tab/>
      </w:r>
      <w:r w:rsidRPr="00DC6EA6">
        <w:rPr>
          <w:spacing w:val="-3"/>
          <w:sz w:val="22"/>
          <w:szCs w:val="22"/>
        </w:rPr>
        <w:t>1,25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2,5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5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/</w:t>
      </w:r>
      <w:r w:rsidR="009A043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10</w:t>
      </w:r>
      <w:r w:rsidRPr="00DC6EA6">
        <w:rPr>
          <w:sz w:val="22"/>
          <w:szCs w:val="22"/>
        </w:rPr>
        <w:t xml:space="preserve"> mg</w:t>
      </w:r>
    </w:p>
    <w:p w14:paraId="3DF3AA37" w14:textId="77777777" w:rsidR="00942DC8" w:rsidRPr="00DC6EA6" w:rsidRDefault="00942DC8" w:rsidP="00942DC8">
      <w:pPr>
        <w:rPr>
          <w:sz w:val="22"/>
          <w:szCs w:val="22"/>
        </w:rPr>
      </w:pPr>
    </w:p>
    <w:p w14:paraId="47D5DA0B" w14:textId="3AF299FF" w:rsidR="00D45AF3" w:rsidRPr="00DC6EA6" w:rsidRDefault="00D45AF3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Světle hnědé kulaté tablety </w:t>
      </w:r>
      <w:r w:rsidR="009A0433" w:rsidRPr="00DC6EA6">
        <w:rPr>
          <w:sz w:val="22"/>
          <w:szCs w:val="22"/>
        </w:rPr>
        <w:t>s dělící rýhou</w:t>
      </w:r>
      <w:r w:rsidRPr="00DC6EA6">
        <w:rPr>
          <w:sz w:val="22"/>
          <w:szCs w:val="22"/>
        </w:rPr>
        <w:t xml:space="preserve"> na jedné straně a </w:t>
      </w:r>
      <w:r w:rsidR="009A0433" w:rsidRPr="00DC6EA6">
        <w:rPr>
          <w:sz w:val="22"/>
          <w:szCs w:val="22"/>
        </w:rPr>
        <w:t>hladké</w:t>
      </w:r>
      <w:r w:rsidRPr="00DC6EA6">
        <w:rPr>
          <w:sz w:val="22"/>
          <w:szCs w:val="22"/>
        </w:rPr>
        <w:t xml:space="preserve"> na straně druhé.</w:t>
      </w:r>
    </w:p>
    <w:p w14:paraId="721ABE92" w14:textId="77777777" w:rsidR="00D45AF3" w:rsidRPr="00DC6EA6" w:rsidRDefault="00D45AF3" w:rsidP="00942DC8">
      <w:pPr>
        <w:rPr>
          <w:sz w:val="22"/>
          <w:szCs w:val="22"/>
        </w:rPr>
      </w:pPr>
    </w:p>
    <w:p w14:paraId="070DDA6F" w14:textId="77777777" w:rsidR="00942DC8" w:rsidRPr="00DC6EA6" w:rsidRDefault="00942DC8" w:rsidP="00942DC8">
      <w:pPr>
        <w:rPr>
          <w:b/>
          <w:sz w:val="22"/>
          <w:szCs w:val="22"/>
        </w:rPr>
      </w:pPr>
      <w:r w:rsidRPr="00DC6EA6">
        <w:rPr>
          <w:b/>
          <w:sz w:val="22"/>
          <w:szCs w:val="22"/>
        </w:rPr>
        <w:t>4.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INDIKACE</w:t>
      </w:r>
    </w:p>
    <w:p w14:paraId="39817D50" w14:textId="77777777" w:rsidR="00942DC8" w:rsidRPr="00DC6EA6" w:rsidRDefault="00942DC8" w:rsidP="00942DC8">
      <w:pPr>
        <w:rPr>
          <w:sz w:val="22"/>
          <w:szCs w:val="22"/>
        </w:rPr>
      </w:pPr>
    </w:p>
    <w:p w14:paraId="37B12740" w14:textId="77777777" w:rsidR="00942DC8" w:rsidRPr="00DC6EA6" w:rsidRDefault="00942DC8" w:rsidP="00942DC8">
      <w:pPr>
        <w:pStyle w:val="Zkladntext"/>
        <w:rPr>
          <w:sz w:val="22"/>
          <w:szCs w:val="22"/>
        </w:rPr>
      </w:pPr>
      <w:r w:rsidRPr="00DC6EA6">
        <w:rPr>
          <w:sz w:val="22"/>
          <w:szCs w:val="22"/>
        </w:rPr>
        <w:t>Léčba městnavého srdečního selhání u psů vyvolaného nedostatečností srdečních chlopní (nedomykavost mitrální a/nebo trikuspidální chlopně) nebo dilatační kardiomyopatií.</w:t>
      </w:r>
    </w:p>
    <w:p w14:paraId="64082E37" w14:textId="77777777" w:rsidR="00942DC8" w:rsidRPr="00DC6EA6" w:rsidRDefault="00942DC8" w:rsidP="00942DC8">
      <w:pPr>
        <w:rPr>
          <w:sz w:val="22"/>
          <w:szCs w:val="22"/>
        </w:rPr>
      </w:pPr>
    </w:p>
    <w:p w14:paraId="28E1E067" w14:textId="77777777" w:rsidR="00942DC8" w:rsidRPr="00DC6EA6" w:rsidRDefault="00942DC8" w:rsidP="00942DC8">
      <w:pPr>
        <w:rPr>
          <w:b/>
          <w:sz w:val="22"/>
          <w:szCs w:val="22"/>
        </w:rPr>
      </w:pPr>
      <w:r w:rsidRPr="00DC6EA6">
        <w:rPr>
          <w:b/>
          <w:sz w:val="22"/>
          <w:szCs w:val="22"/>
        </w:rPr>
        <w:t>5.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KONTRAINDIKACE</w:t>
      </w:r>
    </w:p>
    <w:p w14:paraId="7C6AA2E2" w14:textId="77777777" w:rsidR="00942DC8" w:rsidRPr="00DC6EA6" w:rsidRDefault="00942DC8" w:rsidP="00942DC8">
      <w:pPr>
        <w:rPr>
          <w:sz w:val="22"/>
          <w:szCs w:val="22"/>
        </w:rPr>
      </w:pPr>
    </w:p>
    <w:p w14:paraId="21F7C5A5" w14:textId="080A8C74" w:rsidR="005732D7" w:rsidRPr="00DC6EA6" w:rsidRDefault="005732D7" w:rsidP="005732D7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Nepoužívat </w:t>
      </w:r>
      <w:proofErr w:type="spellStart"/>
      <w:r w:rsidRPr="00DC6EA6">
        <w:rPr>
          <w:sz w:val="22"/>
          <w:szCs w:val="22"/>
        </w:rPr>
        <w:t>pimobendan</w:t>
      </w:r>
      <w:proofErr w:type="spellEnd"/>
      <w:r w:rsidRPr="00DC6EA6">
        <w:rPr>
          <w:sz w:val="22"/>
          <w:szCs w:val="22"/>
        </w:rPr>
        <w:t xml:space="preserve"> v případech hypertrofických kardiomyopatií nebo v případě takových onemocnění, kdy zlepšení srdečního výdeje nemůže být z funkčních nebo anatomických důvodů dosaženo (např. stenóza aorty).</w:t>
      </w:r>
    </w:p>
    <w:p w14:paraId="39660310" w14:textId="0C4AD178" w:rsidR="0003231E" w:rsidRPr="00DC6EA6" w:rsidRDefault="005732D7" w:rsidP="005732D7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Protože je </w:t>
      </w:r>
      <w:proofErr w:type="spellStart"/>
      <w:r w:rsidRPr="00DC6EA6">
        <w:rPr>
          <w:sz w:val="22"/>
          <w:szCs w:val="22"/>
        </w:rPr>
        <w:t>pimobendan</w:t>
      </w:r>
      <w:proofErr w:type="spellEnd"/>
      <w:r w:rsidRPr="00DC6EA6">
        <w:rPr>
          <w:sz w:val="22"/>
          <w:szCs w:val="22"/>
        </w:rPr>
        <w:t xml:space="preserve"> metabolizován zejména játry, nemůže se aplikovat psům s vážně narušenou funkcí jater.</w:t>
      </w:r>
      <w:r w:rsidR="00175703">
        <w:rPr>
          <w:sz w:val="22"/>
          <w:szCs w:val="22"/>
        </w:rPr>
        <w:t xml:space="preserve"> </w:t>
      </w:r>
      <w:r w:rsidR="00175703" w:rsidRPr="00175703">
        <w:rPr>
          <w:sz w:val="22"/>
          <w:szCs w:val="22"/>
        </w:rPr>
        <w:t>Viz také část "Použití v průběhu březost</w:t>
      </w:r>
      <w:r w:rsidR="00DA181F">
        <w:rPr>
          <w:sz w:val="22"/>
          <w:szCs w:val="22"/>
        </w:rPr>
        <w:t>i</w:t>
      </w:r>
      <w:r w:rsidR="00175703" w:rsidRPr="00175703">
        <w:rPr>
          <w:sz w:val="22"/>
          <w:szCs w:val="22"/>
        </w:rPr>
        <w:t xml:space="preserve"> a laktace" v části "Zvláštní upozornění".</w:t>
      </w:r>
    </w:p>
    <w:p w14:paraId="19905887" w14:textId="77777777" w:rsidR="0041666C" w:rsidRPr="00DC6EA6" w:rsidRDefault="0041666C" w:rsidP="00942DC8">
      <w:pPr>
        <w:rPr>
          <w:sz w:val="22"/>
          <w:szCs w:val="22"/>
        </w:rPr>
      </w:pPr>
    </w:p>
    <w:p w14:paraId="51A0F31B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lastRenderedPageBreak/>
        <w:t>6.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NEŽÁDOUCÍ ÚČINKY</w:t>
      </w:r>
    </w:p>
    <w:p w14:paraId="269B3843" w14:textId="77777777" w:rsidR="00942DC8" w:rsidRPr="00DC6EA6" w:rsidRDefault="00942DC8" w:rsidP="00942DC8">
      <w:pPr>
        <w:rPr>
          <w:spacing w:val="-3"/>
          <w:sz w:val="22"/>
          <w:szCs w:val="22"/>
        </w:rPr>
      </w:pPr>
    </w:p>
    <w:p w14:paraId="2BCA39EF" w14:textId="5D9AFC67" w:rsidR="00A10E3C" w:rsidRPr="00DC6EA6" w:rsidRDefault="00A10E3C" w:rsidP="00BC7A18">
      <w:pPr>
        <w:jc w:val="both"/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 xml:space="preserve">Vzácně se může dostavit slabý pozitivně </w:t>
      </w:r>
      <w:proofErr w:type="spellStart"/>
      <w:r w:rsidRPr="00DC6EA6">
        <w:rPr>
          <w:spacing w:val="-3"/>
          <w:sz w:val="22"/>
          <w:szCs w:val="22"/>
        </w:rPr>
        <w:t>chronotropní</w:t>
      </w:r>
      <w:proofErr w:type="spellEnd"/>
      <w:r w:rsidRPr="00DC6EA6">
        <w:rPr>
          <w:spacing w:val="-3"/>
          <w:sz w:val="22"/>
          <w:szCs w:val="22"/>
        </w:rPr>
        <w:t xml:space="preserve"> účinek (</w:t>
      </w:r>
      <w:r w:rsidR="00456E93">
        <w:rPr>
          <w:spacing w:val="-3"/>
          <w:sz w:val="22"/>
          <w:szCs w:val="22"/>
        </w:rPr>
        <w:t>zvýšení</w:t>
      </w:r>
      <w:r w:rsidR="00456E93" w:rsidRPr="00DC6EA6">
        <w:rPr>
          <w:spacing w:val="-3"/>
          <w:sz w:val="22"/>
          <w:szCs w:val="22"/>
        </w:rPr>
        <w:t xml:space="preserve"> </w:t>
      </w:r>
      <w:r w:rsidRPr="00DC6EA6">
        <w:rPr>
          <w:spacing w:val="-3"/>
          <w:sz w:val="22"/>
          <w:szCs w:val="22"/>
        </w:rPr>
        <w:t>srdeční frekvence) a zvracení. Tyto účinky jsou však závislé na dávce a je možné se jich vyvarovat snížením dávky.</w:t>
      </w:r>
    </w:p>
    <w:p w14:paraId="081D4644" w14:textId="237E14AD" w:rsidR="00A10E3C" w:rsidRPr="00DC6EA6" w:rsidRDefault="00A10E3C" w:rsidP="00BC7A18">
      <w:pPr>
        <w:jc w:val="both"/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 xml:space="preserve">Ve vzácných případech byl pozorován přechodný průjem, anorexie a letargie. </w:t>
      </w:r>
      <w:r w:rsidR="006D4522" w:rsidRPr="002F6F34">
        <w:rPr>
          <w:sz w:val="22"/>
          <w:szCs w:val="22"/>
        </w:rPr>
        <w:t xml:space="preserve">Ojediněle bylo u psů s onemocněním mitrální chlopně zaznamenáno při chronické léčbě </w:t>
      </w:r>
      <w:proofErr w:type="spellStart"/>
      <w:r w:rsidR="006D4522" w:rsidRPr="002F6F34">
        <w:rPr>
          <w:sz w:val="22"/>
          <w:szCs w:val="22"/>
        </w:rPr>
        <w:t>pimobendanem</w:t>
      </w:r>
      <w:proofErr w:type="spellEnd"/>
      <w:r w:rsidR="006D4522" w:rsidRPr="002F6F34">
        <w:rPr>
          <w:sz w:val="22"/>
          <w:szCs w:val="22"/>
        </w:rPr>
        <w:t xml:space="preserve"> zhoršení nedomykavosti mitrální chlopně.</w:t>
      </w:r>
      <w:r w:rsidR="006D4522">
        <w:rPr>
          <w:rFonts w:ascii="Calibri" w:hAnsi="Calibri"/>
          <w:sz w:val="22"/>
          <w:szCs w:val="22"/>
        </w:rPr>
        <w:t> </w:t>
      </w:r>
    </w:p>
    <w:p w14:paraId="661D5A45" w14:textId="36EBEB84" w:rsidR="00A10E3C" w:rsidRPr="00DC6EA6" w:rsidRDefault="00A10E3C" w:rsidP="00BC7A18">
      <w:pPr>
        <w:jc w:val="both"/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 xml:space="preserve">Ačkoliv nebyla souvislost s </w:t>
      </w:r>
      <w:proofErr w:type="spellStart"/>
      <w:r w:rsidRPr="00DC6EA6">
        <w:rPr>
          <w:spacing w:val="-3"/>
          <w:sz w:val="22"/>
          <w:szCs w:val="22"/>
        </w:rPr>
        <w:t>pimobendanem</w:t>
      </w:r>
      <w:proofErr w:type="spellEnd"/>
      <w:r w:rsidRPr="00DC6EA6">
        <w:rPr>
          <w:spacing w:val="-3"/>
          <w:sz w:val="22"/>
          <w:szCs w:val="22"/>
        </w:rPr>
        <w:t xml:space="preserve"> jasně stanovena, mohou být během léčby ve velmi vzácných případech pozorovány známky vlivu na primární hemostázu (petechie na sliznicích, subkutánní hemoragie). Tyto příznaky mizí </w:t>
      </w:r>
      <w:r w:rsidR="00456E93">
        <w:rPr>
          <w:spacing w:val="-3"/>
          <w:sz w:val="22"/>
          <w:szCs w:val="22"/>
        </w:rPr>
        <w:t>po ukončení</w:t>
      </w:r>
      <w:r w:rsidRPr="00DC6EA6">
        <w:rPr>
          <w:spacing w:val="-3"/>
          <w:sz w:val="22"/>
          <w:szCs w:val="22"/>
        </w:rPr>
        <w:t xml:space="preserve"> léčby.</w:t>
      </w:r>
    </w:p>
    <w:p w14:paraId="0F1CF26B" w14:textId="77777777" w:rsidR="00A10E3C" w:rsidRPr="00DC6EA6" w:rsidRDefault="00A10E3C" w:rsidP="00BC7A18">
      <w:pPr>
        <w:jc w:val="both"/>
        <w:rPr>
          <w:spacing w:val="-3"/>
          <w:sz w:val="22"/>
          <w:szCs w:val="22"/>
        </w:rPr>
      </w:pPr>
    </w:p>
    <w:p w14:paraId="648CB52E" w14:textId="77777777" w:rsidR="00A10E3C" w:rsidRPr="00DC6EA6" w:rsidRDefault="00A10E3C" w:rsidP="00BC7A18">
      <w:pPr>
        <w:jc w:val="both"/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>Četnost nežádoucích účinků je charakterizována podle následujících pravidel:</w:t>
      </w:r>
    </w:p>
    <w:p w14:paraId="050F9C67" w14:textId="06FDAD1E" w:rsidR="00EE322E" w:rsidRPr="00DC6EA6" w:rsidRDefault="00EE322E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</w:rPr>
      </w:pPr>
      <w:r w:rsidRPr="00DC6EA6">
        <w:rPr>
          <w:sz w:val="22"/>
          <w:szCs w:val="22"/>
        </w:rPr>
        <w:t>-</w:t>
      </w:r>
      <w:r w:rsidRPr="00DC6EA6">
        <w:rPr>
          <w:sz w:val="22"/>
          <w:szCs w:val="22"/>
        </w:rPr>
        <w:tab/>
      </w:r>
      <w:r w:rsidR="004A53EE">
        <w:rPr>
          <w:sz w:val="22"/>
          <w:szCs w:val="22"/>
        </w:rPr>
        <w:t>v</w:t>
      </w:r>
      <w:r w:rsidRPr="00DC6EA6">
        <w:rPr>
          <w:sz w:val="22"/>
          <w:szCs w:val="22"/>
        </w:rPr>
        <w:t xml:space="preserve">elmi časté (nežádoucí účinky se projevily u více než 1 z 10 </w:t>
      </w:r>
      <w:r w:rsidR="00175703" w:rsidRPr="002457F5">
        <w:rPr>
          <w:sz w:val="22"/>
          <w:szCs w:val="22"/>
        </w:rPr>
        <w:t>ošet</w:t>
      </w:r>
      <w:r w:rsidR="00175703" w:rsidRPr="002457F5">
        <w:rPr>
          <w:rFonts w:hint="eastAsia"/>
          <w:sz w:val="22"/>
          <w:szCs w:val="22"/>
        </w:rPr>
        <w:t>ř</w:t>
      </w:r>
      <w:r w:rsidR="00175703" w:rsidRPr="002457F5">
        <w:rPr>
          <w:sz w:val="22"/>
          <w:szCs w:val="22"/>
        </w:rPr>
        <w:t>ených</w:t>
      </w:r>
      <w:r w:rsidR="00456E93">
        <w:rPr>
          <w:sz w:val="22"/>
          <w:szCs w:val="22"/>
        </w:rPr>
        <w:t xml:space="preserve"> </w:t>
      </w:r>
      <w:r w:rsidRPr="00DC6EA6">
        <w:rPr>
          <w:sz w:val="22"/>
          <w:szCs w:val="22"/>
        </w:rPr>
        <w:t>zvířat)</w:t>
      </w:r>
    </w:p>
    <w:p w14:paraId="42EFC41B" w14:textId="1D46D32E" w:rsidR="00EE322E" w:rsidRPr="00DC6EA6" w:rsidRDefault="00EE322E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</w:rPr>
      </w:pPr>
      <w:r w:rsidRPr="00DC6EA6">
        <w:rPr>
          <w:sz w:val="22"/>
          <w:szCs w:val="22"/>
        </w:rPr>
        <w:t>-</w:t>
      </w:r>
      <w:r w:rsidRPr="00DC6EA6">
        <w:rPr>
          <w:sz w:val="22"/>
          <w:szCs w:val="22"/>
        </w:rPr>
        <w:tab/>
      </w:r>
      <w:r w:rsidR="004A53EE">
        <w:rPr>
          <w:spacing w:val="-3"/>
          <w:sz w:val="22"/>
          <w:szCs w:val="22"/>
        </w:rPr>
        <w:t>č</w:t>
      </w:r>
      <w:r w:rsidRPr="00DC6EA6">
        <w:rPr>
          <w:sz w:val="22"/>
          <w:szCs w:val="22"/>
        </w:rPr>
        <w:t xml:space="preserve">asté (u více než 1, ale méně než 10 ze 100 </w:t>
      </w:r>
      <w:r w:rsidR="00456E93" w:rsidRPr="002457F5">
        <w:rPr>
          <w:sz w:val="22"/>
          <w:szCs w:val="22"/>
        </w:rPr>
        <w:t>ošet</w:t>
      </w:r>
      <w:r w:rsidR="00456E93" w:rsidRPr="002457F5">
        <w:rPr>
          <w:rFonts w:hint="eastAsia"/>
          <w:sz w:val="22"/>
          <w:szCs w:val="22"/>
        </w:rPr>
        <w:t>ř</w:t>
      </w:r>
      <w:r w:rsidR="00456E93" w:rsidRPr="002457F5">
        <w:rPr>
          <w:sz w:val="22"/>
          <w:szCs w:val="22"/>
        </w:rPr>
        <w:t>ených</w:t>
      </w:r>
      <w:r w:rsidR="00456E93" w:rsidRPr="00DC6EA6">
        <w:rPr>
          <w:sz w:val="22"/>
          <w:szCs w:val="22"/>
        </w:rPr>
        <w:t xml:space="preserve"> </w:t>
      </w:r>
      <w:r w:rsidRPr="00DC6EA6">
        <w:rPr>
          <w:sz w:val="22"/>
          <w:szCs w:val="22"/>
        </w:rPr>
        <w:t>zvířat)</w:t>
      </w:r>
    </w:p>
    <w:p w14:paraId="03430B7D" w14:textId="11BC9138" w:rsidR="00EE322E" w:rsidRPr="00DC6EA6" w:rsidRDefault="00EE322E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</w:rPr>
      </w:pPr>
      <w:r w:rsidRPr="00DC6EA6">
        <w:rPr>
          <w:sz w:val="22"/>
          <w:szCs w:val="22"/>
        </w:rPr>
        <w:t>-</w:t>
      </w:r>
      <w:r w:rsidRPr="00DC6EA6">
        <w:rPr>
          <w:sz w:val="22"/>
          <w:szCs w:val="22"/>
        </w:rPr>
        <w:tab/>
      </w:r>
      <w:r w:rsidR="004A53EE">
        <w:rPr>
          <w:sz w:val="22"/>
          <w:szCs w:val="22"/>
        </w:rPr>
        <w:t>n</w:t>
      </w:r>
      <w:r w:rsidRPr="00DC6EA6">
        <w:rPr>
          <w:sz w:val="22"/>
          <w:szCs w:val="22"/>
        </w:rPr>
        <w:t xml:space="preserve">eobvyklé (u více než 1, ale méně než 10 z 1000 </w:t>
      </w:r>
      <w:r w:rsidR="00456E93" w:rsidRPr="002457F5">
        <w:rPr>
          <w:sz w:val="22"/>
          <w:szCs w:val="22"/>
        </w:rPr>
        <w:t>ošet</w:t>
      </w:r>
      <w:r w:rsidR="00456E93" w:rsidRPr="002457F5">
        <w:rPr>
          <w:rFonts w:hint="eastAsia"/>
          <w:sz w:val="22"/>
          <w:szCs w:val="22"/>
        </w:rPr>
        <w:t>ř</w:t>
      </w:r>
      <w:r w:rsidR="00456E93" w:rsidRPr="002457F5">
        <w:rPr>
          <w:sz w:val="22"/>
          <w:szCs w:val="22"/>
        </w:rPr>
        <w:t>ených</w:t>
      </w:r>
      <w:r w:rsidR="00456E93" w:rsidRPr="00DC6EA6">
        <w:rPr>
          <w:sz w:val="22"/>
          <w:szCs w:val="22"/>
        </w:rPr>
        <w:t xml:space="preserve"> </w:t>
      </w:r>
      <w:r w:rsidRPr="00DC6EA6">
        <w:rPr>
          <w:sz w:val="22"/>
          <w:szCs w:val="22"/>
        </w:rPr>
        <w:t>zvířat)</w:t>
      </w:r>
    </w:p>
    <w:p w14:paraId="3E1C7F6B" w14:textId="5A0C4ACE" w:rsidR="00A10E3C" w:rsidRPr="00DC6EA6" w:rsidRDefault="00A10E3C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</w:rPr>
      </w:pPr>
      <w:r w:rsidRPr="00DC6EA6">
        <w:rPr>
          <w:sz w:val="22"/>
          <w:szCs w:val="22"/>
        </w:rPr>
        <w:t>-</w:t>
      </w:r>
      <w:r w:rsidRPr="00DC6EA6">
        <w:rPr>
          <w:sz w:val="22"/>
          <w:szCs w:val="22"/>
        </w:rPr>
        <w:tab/>
      </w:r>
      <w:r w:rsidR="004A53EE">
        <w:rPr>
          <w:sz w:val="22"/>
          <w:szCs w:val="22"/>
        </w:rPr>
        <w:t>v</w:t>
      </w:r>
      <w:r w:rsidRPr="00DC6EA6">
        <w:rPr>
          <w:sz w:val="22"/>
          <w:szCs w:val="22"/>
        </w:rPr>
        <w:t>zácné (u více než 1, ale méně než 10 z</w:t>
      </w:r>
      <w:r w:rsidR="00456E93">
        <w:rPr>
          <w:sz w:val="22"/>
          <w:szCs w:val="22"/>
        </w:rPr>
        <w:t> </w:t>
      </w:r>
      <w:r w:rsidRPr="00DC6EA6">
        <w:rPr>
          <w:sz w:val="22"/>
          <w:szCs w:val="22"/>
        </w:rPr>
        <w:t>10000</w:t>
      </w:r>
      <w:r w:rsidR="00456E93">
        <w:rPr>
          <w:sz w:val="22"/>
          <w:szCs w:val="22"/>
        </w:rPr>
        <w:t xml:space="preserve"> </w:t>
      </w:r>
      <w:r w:rsidR="00456E93" w:rsidRPr="002457F5">
        <w:rPr>
          <w:sz w:val="22"/>
          <w:szCs w:val="22"/>
        </w:rPr>
        <w:t>ošet</w:t>
      </w:r>
      <w:r w:rsidR="00456E93" w:rsidRPr="002457F5">
        <w:rPr>
          <w:rFonts w:hint="eastAsia"/>
          <w:sz w:val="22"/>
          <w:szCs w:val="22"/>
        </w:rPr>
        <w:t>ř</w:t>
      </w:r>
      <w:r w:rsidR="00456E93" w:rsidRPr="002457F5">
        <w:rPr>
          <w:sz w:val="22"/>
          <w:szCs w:val="22"/>
        </w:rPr>
        <w:t>ených</w:t>
      </w:r>
      <w:r w:rsidRPr="00DC6EA6">
        <w:rPr>
          <w:sz w:val="22"/>
          <w:szCs w:val="22"/>
        </w:rPr>
        <w:t xml:space="preserve"> zvířat)</w:t>
      </w:r>
    </w:p>
    <w:p w14:paraId="665110E0" w14:textId="7367331A" w:rsidR="00A10E3C" w:rsidRPr="00DC6EA6" w:rsidRDefault="00A10E3C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</w:rPr>
      </w:pPr>
      <w:r w:rsidRPr="00DC6EA6">
        <w:rPr>
          <w:sz w:val="22"/>
          <w:szCs w:val="22"/>
        </w:rPr>
        <w:t>-</w:t>
      </w:r>
      <w:r w:rsidRPr="00DC6EA6">
        <w:rPr>
          <w:sz w:val="22"/>
          <w:szCs w:val="22"/>
        </w:rPr>
        <w:tab/>
      </w:r>
      <w:r w:rsidR="004A53EE">
        <w:rPr>
          <w:sz w:val="22"/>
          <w:szCs w:val="22"/>
        </w:rPr>
        <w:t>v</w:t>
      </w:r>
      <w:r w:rsidRPr="00DC6EA6">
        <w:rPr>
          <w:sz w:val="22"/>
          <w:szCs w:val="22"/>
        </w:rPr>
        <w:t>elmi vzácné (u méně než 1 z 10000</w:t>
      </w:r>
      <w:r w:rsidR="00456E93" w:rsidRPr="00456E93">
        <w:rPr>
          <w:sz w:val="22"/>
          <w:szCs w:val="22"/>
        </w:rPr>
        <w:t xml:space="preserve"> </w:t>
      </w:r>
      <w:r w:rsidR="00456E93" w:rsidRPr="002457F5">
        <w:rPr>
          <w:sz w:val="22"/>
          <w:szCs w:val="22"/>
        </w:rPr>
        <w:t>ošet</w:t>
      </w:r>
      <w:r w:rsidR="00456E93" w:rsidRPr="002457F5">
        <w:rPr>
          <w:rFonts w:hint="eastAsia"/>
          <w:sz w:val="22"/>
          <w:szCs w:val="22"/>
        </w:rPr>
        <w:t>ř</w:t>
      </w:r>
      <w:r w:rsidR="00456E93" w:rsidRPr="002457F5">
        <w:rPr>
          <w:sz w:val="22"/>
          <w:szCs w:val="22"/>
        </w:rPr>
        <w:t>ených</w:t>
      </w:r>
      <w:r w:rsidRPr="00DC6EA6">
        <w:rPr>
          <w:sz w:val="22"/>
          <w:szCs w:val="22"/>
        </w:rPr>
        <w:t xml:space="preserve"> zvířat včetně ojedinělých hlášení).</w:t>
      </w:r>
    </w:p>
    <w:p w14:paraId="4F014C86" w14:textId="77777777" w:rsidR="00942DC8" w:rsidRPr="00DC6EA6" w:rsidRDefault="00942DC8" w:rsidP="00BC7A18">
      <w:pPr>
        <w:tabs>
          <w:tab w:val="left" w:pos="284"/>
        </w:tabs>
        <w:ind w:left="284" w:hanging="284"/>
        <w:jc w:val="both"/>
        <w:rPr>
          <w:spacing w:val="-3"/>
          <w:sz w:val="22"/>
          <w:szCs w:val="22"/>
          <w:u w:val="single"/>
        </w:rPr>
      </w:pPr>
    </w:p>
    <w:p w14:paraId="2C3B5F1D" w14:textId="77777777" w:rsidR="004A53EE" w:rsidRDefault="004A53EE" w:rsidP="00BC7A18">
      <w:pPr>
        <w:jc w:val="both"/>
        <w:rPr>
          <w:sz w:val="22"/>
          <w:szCs w:val="22"/>
        </w:rPr>
      </w:pPr>
      <w:r w:rsidRPr="004A53EE">
        <w:rPr>
          <w:sz w:val="22"/>
          <w:szCs w:val="22"/>
        </w:rPr>
        <w:t xml:space="preserve">Jestliže zaznamenáte jakékoliv nežádoucí účinky, a to i takové, které nejsou uvedeny v této příbalové informaci, nebo si myslíte, že léčivý přípravek není účinný, oznamte to, prosím, vašemu veterinárnímu lékaři. </w:t>
      </w:r>
    </w:p>
    <w:p w14:paraId="091632CE" w14:textId="77777777" w:rsidR="00942DC8" w:rsidRPr="00DC6EA6" w:rsidRDefault="00942DC8" w:rsidP="00942DC8">
      <w:pPr>
        <w:rPr>
          <w:sz w:val="22"/>
          <w:szCs w:val="22"/>
        </w:rPr>
      </w:pPr>
    </w:p>
    <w:p w14:paraId="33A7BA84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7.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CÍLOVÝ DRUH ZVÍŘAT</w:t>
      </w:r>
    </w:p>
    <w:p w14:paraId="44AB1DD7" w14:textId="77777777" w:rsidR="00384CD0" w:rsidRPr="00DC6EA6" w:rsidRDefault="00384CD0" w:rsidP="00942DC8">
      <w:pPr>
        <w:rPr>
          <w:sz w:val="22"/>
          <w:szCs w:val="22"/>
        </w:rPr>
      </w:pPr>
    </w:p>
    <w:p w14:paraId="73A48A4F" w14:textId="7557757E" w:rsidR="00942DC8" w:rsidRPr="00DC6EA6" w:rsidRDefault="00942DC8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>Psi.</w:t>
      </w:r>
    </w:p>
    <w:p w14:paraId="0A5AE44D" w14:textId="77777777" w:rsidR="00942DC8" w:rsidRPr="00DC6EA6" w:rsidRDefault="00942DC8" w:rsidP="00942DC8">
      <w:pPr>
        <w:rPr>
          <w:sz w:val="22"/>
          <w:szCs w:val="22"/>
        </w:rPr>
      </w:pPr>
    </w:p>
    <w:p w14:paraId="5BF50B27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8.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DÁVKOVÁNÍ PRO KAŽDÝ DRUH, CESTA A ZPŮSOB PODÁNÍ</w:t>
      </w:r>
    </w:p>
    <w:p w14:paraId="62B9C550" w14:textId="77777777" w:rsidR="00384CD0" w:rsidRPr="00DC6EA6" w:rsidRDefault="00384CD0" w:rsidP="00942DC8">
      <w:pPr>
        <w:tabs>
          <w:tab w:val="left" w:pos="10065"/>
        </w:tabs>
        <w:rPr>
          <w:sz w:val="22"/>
          <w:szCs w:val="22"/>
        </w:rPr>
      </w:pPr>
    </w:p>
    <w:p w14:paraId="0BD3685B" w14:textId="77777777" w:rsidR="00942DC8" w:rsidRPr="00DC6EA6" w:rsidRDefault="00942DC8" w:rsidP="00BC7A18">
      <w:pPr>
        <w:tabs>
          <w:tab w:val="left" w:pos="10065"/>
        </w:tabs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Tablety podávejte perorálně v dávce od 0,2 mg do 0,6 mg </w:t>
      </w:r>
      <w:proofErr w:type="spellStart"/>
      <w:r w:rsidRPr="00DC6EA6">
        <w:rPr>
          <w:sz w:val="22"/>
          <w:szCs w:val="22"/>
        </w:rPr>
        <w:t>pimobendanu</w:t>
      </w:r>
      <w:proofErr w:type="spellEnd"/>
      <w:r w:rsidRPr="00DC6EA6">
        <w:rPr>
          <w:sz w:val="22"/>
          <w:szCs w:val="22"/>
        </w:rPr>
        <w:t xml:space="preserve">/kg živé hmotnosti na den. Doporučovaná denní dávka je 0,5 mg </w:t>
      </w:r>
      <w:proofErr w:type="spellStart"/>
      <w:r w:rsidRPr="00DC6EA6">
        <w:rPr>
          <w:sz w:val="22"/>
          <w:szCs w:val="22"/>
        </w:rPr>
        <w:t>pimobendanu</w:t>
      </w:r>
      <w:proofErr w:type="spellEnd"/>
      <w:r w:rsidRPr="00DC6EA6">
        <w:rPr>
          <w:sz w:val="22"/>
          <w:szCs w:val="22"/>
        </w:rPr>
        <w:t xml:space="preserve">/kg živé hmotnosti. Dávka přípravku se rozdělí na dvě podání (po 0,25 mg/kg živé hmotnosti): jedna polovina dávky ráno a druhá polovina o 12 hodin později. Každá dávka se musí podávat přibližně jednu hodinu před krmením.  </w:t>
      </w:r>
    </w:p>
    <w:p w14:paraId="485719D0" w14:textId="77777777" w:rsidR="00942DC8" w:rsidRPr="00DC6EA6" w:rsidRDefault="00942DC8" w:rsidP="00BC7A18">
      <w:pPr>
        <w:tabs>
          <w:tab w:val="left" w:pos="-1440"/>
          <w:tab w:val="left" w:pos="-720"/>
        </w:tabs>
        <w:jc w:val="both"/>
        <w:rPr>
          <w:spacing w:val="-3"/>
          <w:sz w:val="22"/>
          <w:szCs w:val="22"/>
        </w:rPr>
      </w:pPr>
    </w:p>
    <w:p w14:paraId="50862797" w14:textId="77777777" w:rsidR="00942DC8" w:rsidRPr="00DC6EA6" w:rsidRDefault="00942DC8" w:rsidP="00942DC8">
      <w:pPr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 xml:space="preserve">Přípravek lze kombinovat s diuretickou léčbou, např. s </w:t>
      </w:r>
      <w:proofErr w:type="spellStart"/>
      <w:r w:rsidRPr="00DC6EA6">
        <w:rPr>
          <w:spacing w:val="-3"/>
          <w:sz w:val="22"/>
          <w:szCs w:val="22"/>
        </w:rPr>
        <w:t>furosemidem</w:t>
      </w:r>
      <w:proofErr w:type="spellEnd"/>
      <w:r w:rsidRPr="00DC6EA6">
        <w:rPr>
          <w:spacing w:val="-3"/>
          <w:sz w:val="22"/>
          <w:szCs w:val="22"/>
        </w:rPr>
        <w:t>.</w:t>
      </w:r>
    </w:p>
    <w:p w14:paraId="45A99C54" w14:textId="77777777" w:rsidR="00942DC8" w:rsidRPr="00DC6EA6" w:rsidRDefault="00942DC8" w:rsidP="00942DC8">
      <w:pPr>
        <w:rPr>
          <w:spacing w:val="-3"/>
          <w:sz w:val="22"/>
          <w:szCs w:val="22"/>
        </w:rPr>
      </w:pPr>
    </w:p>
    <w:p w14:paraId="09635EBC" w14:textId="79468D04" w:rsidR="00942DC8" w:rsidRPr="00DC6EA6" w:rsidRDefault="002B0D83" w:rsidP="00942DC8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57216" behindDoc="1" locked="0" layoutInCell="1" allowOverlap="1" wp14:anchorId="11686181" wp14:editId="1B77D8D5">
            <wp:simplePos x="0" y="0"/>
            <wp:positionH relativeFrom="margin">
              <wp:align>right</wp:align>
            </wp:positionH>
            <wp:positionV relativeFrom="paragraph">
              <wp:posOffset>12005</wp:posOffset>
            </wp:positionV>
            <wp:extent cx="910590" cy="561975"/>
            <wp:effectExtent l="0" t="0" r="3810" b="9525"/>
            <wp:wrapTight wrapText="left">
              <wp:wrapPolygon edited="0">
                <wp:start x="0" y="0"/>
                <wp:lineTo x="0" y="21234"/>
                <wp:lineTo x="21238" y="21234"/>
                <wp:lineTo x="21238" y="0"/>
                <wp:lineTo x="0" y="0"/>
              </wp:wrapPolygon>
            </wp:wrapTight>
            <wp:docPr id="12" name="Afbeelding 12" descr="TekTable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kTable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2D4">
        <w:rPr>
          <w:noProof/>
          <w:sz w:val="22"/>
          <w:szCs w:val="22"/>
        </w:rPr>
        <w:object w:dxaOrig="1440" w:dyaOrig="1440" w14:anchorId="6C714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04.85pt;margin-top:25.3pt;width:44.5pt;height:46.05pt;z-index:-251658240;mso-wrap-edited:f;mso-position-horizontal-relative:text;mso-position-vertical-relative:text" wrapcoords="-188 0 -188 21418 21600 21418 21600 0 -188 0" fillcolor="window">
            <v:imagedata r:id="rId9" o:title=""/>
            <w10:wrap type="tight" side="left"/>
          </v:shape>
          <o:OLEObject Type="Embed" ProgID="Word.Picture.8" ShapeID="_x0000_s1035" DrawAspect="Content" ObjectID="_1704620331" r:id="rId10"/>
        </w:object>
      </w:r>
      <w:r w:rsidR="00942DC8" w:rsidRPr="00DC6EA6">
        <w:rPr>
          <w:sz w:val="22"/>
          <w:szCs w:val="22"/>
        </w:rPr>
        <w:t xml:space="preserve">Jednu tabletu </w:t>
      </w:r>
      <w:r w:rsidR="00A74492" w:rsidRPr="00DC6EA6">
        <w:rPr>
          <w:sz w:val="22"/>
          <w:szCs w:val="22"/>
        </w:rPr>
        <w:t xml:space="preserve">s půlící rýhou </w:t>
      </w:r>
      <w:r w:rsidR="00942DC8" w:rsidRPr="00DC6EA6">
        <w:rPr>
          <w:sz w:val="22"/>
          <w:szCs w:val="22"/>
        </w:rPr>
        <w:t xml:space="preserve">rozdělíte na dvě poloviny tak, že ji položíte na rovný povrch </w:t>
      </w:r>
      <w:r w:rsidR="00A74492" w:rsidRPr="00DC6EA6">
        <w:rPr>
          <w:sz w:val="22"/>
          <w:szCs w:val="22"/>
        </w:rPr>
        <w:t xml:space="preserve">rýhovanou </w:t>
      </w:r>
      <w:r w:rsidR="00942DC8" w:rsidRPr="00DC6EA6">
        <w:rPr>
          <w:sz w:val="22"/>
          <w:szCs w:val="22"/>
        </w:rPr>
        <w:t xml:space="preserve">stranou otočenou nahoru. Držte jednu polovinu tablety a zatlačte na druhou polovinu.    </w:t>
      </w:r>
    </w:p>
    <w:p w14:paraId="245D0353" w14:textId="77777777" w:rsidR="00942DC8" w:rsidRPr="00DC6EA6" w:rsidRDefault="00942DC8" w:rsidP="00942DC8">
      <w:pPr>
        <w:rPr>
          <w:sz w:val="22"/>
          <w:szCs w:val="22"/>
        </w:rPr>
      </w:pPr>
    </w:p>
    <w:p w14:paraId="031601E4" w14:textId="77777777" w:rsidR="009F0417" w:rsidRPr="00DC6EA6" w:rsidRDefault="009F0417" w:rsidP="009F0417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Jednu tabletu se čtvrtící rýhou rozdělíte na čtvrtiny tak, že ji položíte na rovný povrch rýhovanou stranou otočenou nahoru a na střed zatlačíte palcem.     </w:t>
      </w:r>
    </w:p>
    <w:p w14:paraId="731DC113" w14:textId="77777777" w:rsidR="00942DC8" w:rsidRPr="00DC6EA6" w:rsidRDefault="00942DC8" w:rsidP="00942DC8">
      <w:pPr>
        <w:rPr>
          <w:iCs/>
          <w:sz w:val="22"/>
          <w:szCs w:val="22"/>
        </w:rPr>
      </w:pPr>
    </w:p>
    <w:p w14:paraId="5784E76B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9.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POKYNY PRO SPRÁVNÉ PODÁNÍ</w:t>
      </w:r>
    </w:p>
    <w:p w14:paraId="20AED4E8" w14:textId="77777777" w:rsidR="00942DC8" w:rsidRPr="00DC6EA6" w:rsidRDefault="00942DC8" w:rsidP="00942DC8">
      <w:pPr>
        <w:rPr>
          <w:sz w:val="22"/>
          <w:szCs w:val="22"/>
        </w:rPr>
      </w:pPr>
    </w:p>
    <w:p w14:paraId="6E2A845F" w14:textId="77777777" w:rsidR="00942DC8" w:rsidRPr="00DC6EA6" w:rsidRDefault="00942DC8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>Tento přípravek používejte pouze u psů se srdeční nedostatečností.</w:t>
      </w:r>
    </w:p>
    <w:p w14:paraId="70252446" w14:textId="77777777" w:rsidR="00942DC8" w:rsidRPr="00DC6EA6" w:rsidRDefault="00942DC8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>Nepřekračujte doporučené dávkování.</w:t>
      </w:r>
    </w:p>
    <w:p w14:paraId="5BED83B2" w14:textId="7E53281E" w:rsidR="00942DC8" w:rsidRPr="00DC6EA6" w:rsidRDefault="00942DC8" w:rsidP="00942DC8">
      <w:pPr>
        <w:rPr>
          <w:sz w:val="22"/>
          <w:szCs w:val="22"/>
        </w:rPr>
      </w:pPr>
      <w:r w:rsidRPr="00DC6EA6">
        <w:rPr>
          <w:sz w:val="22"/>
          <w:szCs w:val="22"/>
        </w:rPr>
        <w:t xml:space="preserve">Určete </w:t>
      </w:r>
      <w:r w:rsidR="009F0417" w:rsidRPr="00DC6EA6">
        <w:rPr>
          <w:sz w:val="22"/>
          <w:szCs w:val="22"/>
        </w:rPr>
        <w:t xml:space="preserve">přesně </w:t>
      </w:r>
      <w:r w:rsidRPr="00DC6EA6">
        <w:rPr>
          <w:sz w:val="22"/>
          <w:szCs w:val="22"/>
        </w:rPr>
        <w:t>živou hmotnost před léčbou, abyste zajistili správné dávkování.</w:t>
      </w:r>
    </w:p>
    <w:p w14:paraId="41E21DA7" w14:textId="77777777" w:rsidR="00942DC8" w:rsidRPr="00DC6EA6" w:rsidRDefault="00942DC8" w:rsidP="00942DC8">
      <w:pPr>
        <w:rPr>
          <w:sz w:val="22"/>
          <w:szCs w:val="22"/>
        </w:rPr>
      </w:pPr>
    </w:p>
    <w:p w14:paraId="1A986F47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10.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OCHRANNÁ LHŮTA</w:t>
      </w:r>
    </w:p>
    <w:p w14:paraId="64F1C7F0" w14:textId="77777777" w:rsidR="00942DC8" w:rsidRPr="00DC6EA6" w:rsidRDefault="00942DC8" w:rsidP="00942DC8">
      <w:pPr>
        <w:rPr>
          <w:iCs/>
          <w:sz w:val="22"/>
          <w:szCs w:val="22"/>
        </w:rPr>
      </w:pPr>
    </w:p>
    <w:p w14:paraId="33BE7B8C" w14:textId="77777777" w:rsidR="00725340" w:rsidRPr="00DC6EA6" w:rsidRDefault="00725340" w:rsidP="00725340">
      <w:pPr>
        <w:ind w:left="567" w:hanging="567"/>
        <w:rPr>
          <w:spacing w:val="-3"/>
          <w:sz w:val="22"/>
          <w:szCs w:val="22"/>
        </w:rPr>
      </w:pPr>
      <w:r w:rsidRPr="00DC6EA6">
        <w:rPr>
          <w:spacing w:val="-3"/>
          <w:sz w:val="22"/>
          <w:szCs w:val="22"/>
        </w:rPr>
        <w:t>Není určeno pro potravinová zvířata.</w:t>
      </w:r>
    </w:p>
    <w:p w14:paraId="79AEFAC0" w14:textId="77777777" w:rsidR="00942DC8" w:rsidRPr="00DC6EA6" w:rsidRDefault="00942DC8" w:rsidP="00942DC8">
      <w:pPr>
        <w:rPr>
          <w:iCs/>
          <w:sz w:val="22"/>
          <w:szCs w:val="22"/>
        </w:rPr>
      </w:pPr>
    </w:p>
    <w:p w14:paraId="48D6873E" w14:textId="77777777" w:rsidR="00942DC8" w:rsidRPr="00DC6EA6" w:rsidRDefault="00942DC8" w:rsidP="00942DC8">
      <w:pPr>
        <w:ind w:left="567" w:hanging="567"/>
        <w:rPr>
          <w:sz w:val="22"/>
          <w:szCs w:val="22"/>
        </w:rPr>
      </w:pPr>
      <w:r w:rsidRPr="00DC6EA6">
        <w:rPr>
          <w:b/>
          <w:sz w:val="22"/>
          <w:szCs w:val="22"/>
        </w:rPr>
        <w:t>11.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ZVLÁŠTNÍ OPATŘENÍ PRO UCHOVÁVÁNÍ</w:t>
      </w:r>
    </w:p>
    <w:p w14:paraId="690F3A26" w14:textId="77777777" w:rsidR="00942DC8" w:rsidRPr="00DC6EA6" w:rsidRDefault="00942DC8" w:rsidP="00942DC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0836C1D6" w14:textId="485EC894" w:rsidR="00942DC8" w:rsidRPr="00DC6EA6" w:rsidRDefault="00942DC8" w:rsidP="00942DC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C6EA6">
        <w:rPr>
          <w:noProof/>
          <w:sz w:val="22"/>
          <w:szCs w:val="22"/>
        </w:rPr>
        <w:t xml:space="preserve">Uchovávat mimo </w:t>
      </w:r>
      <w:r w:rsidR="00DC6EA6" w:rsidRPr="00DC6EA6">
        <w:rPr>
          <w:sz w:val="22"/>
          <w:szCs w:val="22"/>
        </w:rPr>
        <w:t>dohled a</w:t>
      </w:r>
      <w:r w:rsidR="00DC6EA6" w:rsidRPr="00DC6EA6">
        <w:rPr>
          <w:noProof/>
          <w:sz w:val="22"/>
          <w:szCs w:val="22"/>
        </w:rPr>
        <w:t xml:space="preserve"> </w:t>
      </w:r>
      <w:r w:rsidRPr="00DC6EA6">
        <w:rPr>
          <w:noProof/>
          <w:sz w:val="22"/>
          <w:szCs w:val="22"/>
        </w:rPr>
        <w:t>dosah dětí.</w:t>
      </w:r>
    </w:p>
    <w:p w14:paraId="37B6F626" w14:textId="132C715B" w:rsidR="00E6560F" w:rsidRPr="00DC6EA6" w:rsidRDefault="00E6560F" w:rsidP="00E6560F">
      <w:pPr>
        <w:ind w:right="-2"/>
        <w:rPr>
          <w:sz w:val="22"/>
          <w:szCs w:val="22"/>
        </w:rPr>
      </w:pPr>
      <w:r w:rsidRPr="00DC6EA6">
        <w:rPr>
          <w:sz w:val="22"/>
          <w:szCs w:val="22"/>
        </w:rPr>
        <w:lastRenderedPageBreak/>
        <w:t>Uchovávejte při teplotě do 30</w:t>
      </w:r>
      <w:r w:rsidR="009A0433" w:rsidRPr="00DC6EA6">
        <w:rPr>
          <w:sz w:val="22"/>
          <w:szCs w:val="22"/>
        </w:rPr>
        <w:t xml:space="preserve"> °</w:t>
      </w:r>
      <w:r w:rsidRPr="00DC6EA6">
        <w:rPr>
          <w:sz w:val="22"/>
          <w:szCs w:val="22"/>
        </w:rPr>
        <w:t>C.</w:t>
      </w:r>
    </w:p>
    <w:p w14:paraId="010DED9E" w14:textId="4269ABDC" w:rsidR="00E6560F" w:rsidRPr="00DC6EA6" w:rsidRDefault="009308C5" w:rsidP="00E6560F">
      <w:pPr>
        <w:ind w:right="-2"/>
        <w:rPr>
          <w:sz w:val="22"/>
          <w:szCs w:val="22"/>
        </w:rPr>
      </w:pPr>
      <w:r w:rsidRPr="009308C5">
        <w:rPr>
          <w:sz w:val="22"/>
          <w:szCs w:val="22"/>
        </w:rPr>
        <w:t xml:space="preserve">Zbylé nepoužité poloviny tablet vraťte zpět do blistru </w:t>
      </w:r>
      <w:r w:rsidR="00E97F44">
        <w:t>a</w:t>
      </w:r>
      <w:r w:rsidR="00E97F44" w:rsidRPr="007C60A4">
        <w:rPr>
          <w:sz w:val="22"/>
          <w:szCs w:val="22"/>
        </w:rPr>
        <w:t xml:space="preserve"> použijte do 3 dn</w:t>
      </w:r>
      <w:r w:rsidR="00E97F44" w:rsidRPr="007C60A4">
        <w:rPr>
          <w:rFonts w:hint="eastAsia"/>
          <w:sz w:val="22"/>
          <w:szCs w:val="22"/>
        </w:rPr>
        <w:t>ů</w:t>
      </w:r>
      <w:r w:rsidR="00E6560F" w:rsidRPr="00DC6EA6">
        <w:rPr>
          <w:sz w:val="22"/>
          <w:szCs w:val="22"/>
        </w:rPr>
        <w:t>.</w:t>
      </w:r>
    </w:p>
    <w:p w14:paraId="0E6189C3" w14:textId="48B8CCF7" w:rsidR="00942DC8" w:rsidRPr="00DC6EA6" w:rsidRDefault="0082741C" w:rsidP="00942DC8">
      <w:pPr>
        <w:ind w:right="-2"/>
        <w:rPr>
          <w:sz w:val="22"/>
          <w:szCs w:val="22"/>
        </w:rPr>
      </w:pPr>
      <w:r w:rsidRPr="00594B89">
        <w:rPr>
          <w:sz w:val="22"/>
          <w:szCs w:val="22"/>
        </w:rPr>
        <w:t xml:space="preserve">Nepoužívejte </w:t>
      </w:r>
      <w:r w:rsidR="00594B89" w:rsidRPr="00594B89">
        <w:rPr>
          <w:sz w:val="22"/>
          <w:szCs w:val="22"/>
        </w:rPr>
        <w:t xml:space="preserve">tento veterinární léčivý přípravek </w:t>
      </w:r>
      <w:r w:rsidRPr="00594B89">
        <w:rPr>
          <w:sz w:val="22"/>
          <w:szCs w:val="22"/>
        </w:rPr>
        <w:t>po uplynutí doby použitelnosti</w:t>
      </w:r>
      <w:r w:rsidR="009A0433" w:rsidRPr="00594B89">
        <w:rPr>
          <w:sz w:val="22"/>
          <w:szCs w:val="22"/>
        </w:rPr>
        <w:t xml:space="preserve"> uvedené</w:t>
      </w:r>
      <w:r w:rsidRPr="00594B89">
        <w:rPr>
          <w:sz w:val="22"/>
          <w:szCs w:val="22"/>
        </w:rPr>
        <w:t xml:space="preserve"> na blistru a</w:t>
      </w:r>
      <w:r w:rsidRPr="00DC6EA6">
        <w:rPr>
          <w:sz w:val="22"/>
          <w:szCs w:val="22"/>
        </w:rPr>
        <w:t xml:space="preserve"> krabičce po EXP. Doba použitelnosti </w:t>
      </w:r>
      <w:r w:rsidR="009A0433" w:rsidRPr="00DC6EA6">
        <w:rPr>
          <w:sz w:val="22"/>
          <w:szCs w:val="22"/>
        </w:rPr>
        <w:t>končí posledním dnem v uvedeném</w:t>
      </w:r>
      <w:r w:rsidRPr="00DC6EA6">
        <w:rPr>
          <w:sz w:val="22"/>
          <w:szCs w:val="22"/>
        </w:rPr>
        <w:t xml:space="preserve"> měsíc</w:t>
      </w:r>
      <w:r w:rsidR="009A0433" w:rsidRPr="00DC6EA6">
        <w:rPr>
          <w:sz w:val="22"/>
          <w:szCs w:val="22"/>
        </w:rPr>
        <w:t>i</w:t>
      </w:r>
      <w:r w:rsidRPr="00DC6EA6">
        <w:rPr>
          <w:sz w:val="22"/>
          <w:szCs w:val="22"/>
        </w:rPr>
        <w:t>.</w:t>
      </w:r>
    </w:p>
    <w:p w14:paraId="4EEEBCA1" w14:textId="77777777" w:rsidR="00942DC8" w:rsidRPr="00DC6EA6" w:rsidRDefault="00942DC8" w:rsidP="00942DC8">
      <w:pPr>
        <w:rPr>
          <w:sz w:val="22"/>
          <w:szCs w:val="22"/>
        </w:rPr>
      </w:pPr>
    </w:p>
    <w:p w14:paraId="37C75A12" w14:textId="77777777" w:rsidR="00942DC8" w:rsidRPr="00DC6EA6" w:rsidRDefault="00942DC8" w:rsidP="00942DC8">
      <w:pPr>
        <w:ind w:left="567" w:hanging="567"/>
        <w:rPr>
          <w:b/>
          <w:sz w:val="22"/>
          <w:szCs w:val="22"/>
        </w:rPr>
      </w:pPr>
      <w:r w:rsidRPr="00DC6EA6">
        <w:rPr>
          <w:b/>
          <w:sz w:val="22"/>
          <w:szCs w:val="22"/>
        </w:rPr>
        <w:t>12.</w:t>
      </w:r>
      <w:r w:rsidRPr="00DC6EA6">
        <w:rPr>
          <w:sz w:val="22"/>
          <w:szCs w:val="22"/>
        </w:rPr>
        <w:tab/>
      </w:r>
      <w:r w:rsidRPr="00DC6EA6">
        <w:rPr>
          <w:b/>
          <w:sz w:val="22"/>
          <w:szCs w:val="22"/>
        </w:rPr>
        <w:t>ZVLÁŠTNÍ UPOZORNĚNÍ</w:t>
      </w:r>
    </w:p>
    <w:p w14:paraId="75D74425" w14:textId="77777777" w:rsidR="00942DC8" w:rsidRPr="00DC6EA6" w:rsidRDefault="00942DC8" w:rsidP="00942DC8">
      <w:pPr>
        <w:rPr>
          <w:sz w:val="22"/>
          <w:szCs w:val="22"/>
        </w:rPr>
      </w:pPr>
    </w:p>
    <w:p w14:paraId="5E5E36F3" w14:textId="77777777" w:rsidR="00942DC8" w:rsidRPr="00DC6EA6" w:rsidRDefault="00942DC8" w:rsidP="00F53D09">
      <w:pPr>
        <w:jc w:val="both"/>
        <w:rPr>
          <w:sz w:val="22"/>
          <w:szCs w:val="22"/>
          <w:highlight w:val="yellow"/>
        </w:rPr>
      </w:pPr>
      <w:r w:rsidRPr="00DC6EA6">
        <w:rPr>
          <w:sz w:val="22"/>
          <w:szCs w:val="22"/>
          <w:u w:val="single"/>
        </w:rPr>
        <w:t>Zvláštní opatření pro použití u zvířat</w:t>
      </w:r>
      <w:r w:rsidRPr="00DC6EA6">
        <w:rPr>
          <w:sz w:val="22"/>
          <w:szCs w:val="22"/>
        </w:rPr>
        <w:t>:</w:t>
      </w:r>
    </w:p>
    <w:p w14:paraId="5F6EFDB0" w14:textId="3F4114E7" w:rsidR="00A10E3C" w:rsidRPr="00DC6EA6" w:rsidRDefault="00A10E3C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U psů s prokázaným diabetes </w:t>
      </w:r>
      <w:proofErr w:type="spellStart"/>
      <w:r w:rsidRPr="00DC6EA6">
        <w:rPr>
          <w:sz w:val="22"/>
          <w:szCs w:val="22"/>
        </w:rPr>
        <w:t>mellitus</w:t>
      </w:r>
      <w:proofErr w:type="spellEnd"/>
      <w:r w:rsidRPr="00DC6EA6">
        <w:rPr>
          <w:sz w:val="22"/>
          <w:szCs w:val="22"/>
        </w:rPr>
        <w:t xml:space="preserve"> musí být v průběhu léčby pravidelně testována hladina glukózy v krvi. </w:t>
      </w:r>
    </w:p>
    <w:p w14:paraId="40073AFB" w14:textId="77777777" w:rsidR="00A10E3C" w:rsidRPr="00DC6EA6" w:rsidRDefault="00A10E3C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U zvířat léčených </w:t>
      </w:r>
      <w:proofErr w:type="spellStart"/>
      <w:r w:rsidRPr="00DC6EA6">
        <w:rPr>
          <w:sz w:val="22"/>
          <w:szCs w:val="22"/>
        </w:rPr>
        <w:t>pimobendanem</w:t>
      </w:r>
      <w:proofErr w:type="spellEnd"/>
      <w:r w:rsidRPr="00DC6EA6">
        <w:rPr>
          <w:sz w:val="22"/>
          <w:szCs w:val="22"/>
        </w:rPr>
        <w:t xml:space="preserve"> se doporučuje pravidelný monitoring srdečních funkcí a morfologie srdce. </w:t>
      </w:r>
    </w:p>
    <w:p w14:paraId="706E7431" w14:textId="6EFA9AC5" w:rsidR="00A10E3C" w:rsidRPr="00DC6EA6" w:rsidRDefault="00A10E3C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>Viz také bod</w:t>
      </w:r>
      <w:r w:rsidR="00A87CA1">
        <w:rPr>
          <w:sz w:val="22"/>
          <w:szCs w:val="22"/>
        </w:rPr>
        <w:t xml:space="preserve"> </w:t>
      </w:r>
      <w:r w:rsidR="00E97F44">
        <w:rPr>
          <w:sz w:val="22"/>
          <w:szCs w:val="22"/>
        </w:rPr>
        <w:t>‘</w:t>
      </w:r>
      <w:r w:rsidR="00594B89">
        <w:rPr>
          <w:sz w:val="22"/>
          <w:szCs w:val="22"/>
        </w:rPr>
        <w:t>N</w:t>
      </w:r>
      <w:r w:rsidR="00594B89" w:rsidRPr="00E97F44">
        <w:rPr>
          <w:sz w:val="22"/>
          <w:szCs w:val="22"/>
        </w:rPr>
        <w:t>ežádoucí účinky</w:t>
      </w:r>
      <w:r w:rsidR="00E97F44">
        <w:rPr>
          <w:sz w:val="22"/>
          <w:szCs w:val="22"/>
        </w:rPr>
        <w:t>‘</w:t>
      </w:r>
      <w:r w:rsidRPr="00DC6EA6">
        <w:rPr>
          <w:sz w:val="22"/>
          <w:szCs w:val="22"/>
        </w:rPr>
        <w:t>.</w:t>
      </w:r>
    </w:p>
    <w:p w14:paraId="50CA92FB" w14:textId="1315DFB2" w:rsidR="00942DC8" w:rsidRPr="00DC6EA6" w:rsidRDefault="00A10E3C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Tablety jsou </w:t>
      </w:r>
      <w:r w:rsidR="001343D5">
        <w:rPr>
          <w:sz w:val="22"/>
          <w:szCs w:val="22"/>
        </w:rPr>
        <w:t>ochucené</w:t>
      </w:r>
      <w:r w:rsidRPr="00DC6EA6">
        <w:rPr>
          <w:sz w:val="22"/>
          <w:szCs w:val="22"/>
        </w:rPr>
        <w:t>. Aby se zabránilo náhodnému požití</w:t>
      </w:r>
      <w:r w:rsidR="001534BA" w:rsidRPr="00DC6EA6">
        <w:rPr>
          <w:sz w:val="22"/>
          <w:szCs w:val="22"/>
        </w:rPr>
        <w:t>,</w:t>
      </w:r>
      <w:r w:rsidRPr="00DC6EA6">
        <w:rPr>
          <w:sz w:val="22"/>
          <w:szCs w:val="22"/>
        </w:rPr>
        <w:t xml:space="preserve"> uchovávejte tablety mimo dosah zvířat.</w:t>
      </w:r>
    </w:p>
    <w:p w14:paraId="0675805A" w14:textId="77777777" w:rsidR="00942DC8" w:rsidRPr="00DC6EA6" w:rsidRDefault="00942DC8" w:rsidP="00F53D09">
      <w:pPr>
        <w:jc w:val="both"/>
        <w:rPr>
          <w:b/>
          <w:sz w:val="22"/>
          <w:szCs w:val="22"/>
        </w:rPr>
      </w:pPr>
    </w:p>
    <w:p w14:paraId="64C9B603" w14:textId="77777777" w:rsidR="00942DC8" w:rsidRPr="00DC6EA6" w:rsidRDefault="00942DC8" w:rsidP="00F53D09">
      <w:pPr>
        <w:jc w:val="both"/>
        <w:rPr>
          <w:sz w:val="22"/>
          <w:szCs w:val="22"/>
          <w:highlight w:val="yellow"/>
        </w:rPr>
      </w:pPr>
      <w:r w:rsidRPr="00DC6EA6">
        <w:rPr>
          <w:sz w:val="22"/>
          <w:szCs w:val="22"/>
          <w:u w:val="single"/>
        </w:rPr>
        <w:t>Zvláštní opatření určené osobám, které podávají veterinární léčivý přípravek zvířatům</w:t>
      </w:r>
      <w:r w:rsidRPr="00DC6EA6">
        <w:rPr>
          <w:sz w:val="22"/>
          <w:szCs w:val="22"/>
        </w:rPr>
        <w:t>:</w:t>
      </w:r>
    </w:p>
    <w:p w14:paraId="29588F92" w14:textId="77777777" w:rsidR="00942DC8" w:rsidRPr="00DC6EA6" w:rsidRDefault="00942DC8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>V případě náhodného pozření vyhledejte ihned lékařskou pomoc a ukažte příbalovou informaci nebo etiketu praktickému lékaři.</w:t>
      </w:r>
    </w:p>
    <w:p w14:paraId="45889EE4" w14:textId="77777777" w:rsidR="00942DC8" w:rsidRPr="00DC6EA6" w:rsidRDefault="00384CD0" w:rsidP="00F53D09">
      <w:pPr>
        <w:jc w:val="both"/>
        <w:rPr>
          <w:b/>
          <w:sz w:val="22"/>
          <w:szCs w:val="22"/>
        </w:rPr>
      </w:pPr>
      <w:r w:rsidRPr="00DC6EA6">
        <w:rPr>
          <w:sz w:val="22"/>
          <w:szCs w:val="22"/>
        </w:rPr>
        <w:t>Po použití si umyjte ruce.</w:t>
      </w:r>
    </w:p>
    <w:p w14:paraId="25447C47" w14:textId="63B60522" w:rsidR="001066BE" w:rsidRPr="00DC6EA6" w:rsidRDefault="000D783A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>P</w:t>
      </w:r>
      <w:r w:rsidR="001066BE" w:rsidRPr="00DC6EA6">
        <w:rPr>
          <w:sz w:val="22"/>
          <w:szCs w:val="22"/>
        </w:rPr>
        <w:t>ro lékaře: náhodné pozření, zvláště dítětem, může vést k výskytu tachykardie, ortostatické hypotenze, červenání obličeje nebo bolestem hlavy.</w:t>
      </w:r>
    </w:p>
    <w:p w14:paraId="0FB8D2F9" w14:textId="49336743" w:rsidR="00C56723" w:rsidRPr="002F6F34" w:rsidRDefault="00C56723" w:rsidP="00F53D09">
      <w:pPr>
        <w:jc w:val="both"/>
        <w:rPr>
          <w:sz w:val="22"/>
          <w:szCs w:val="22"/>
        </w:rPr>
      </w:pPr>
      <w:r w:rsidRPr="002F6F34">
        <w:rPr>
          <w:sz w:val="22"/>
          <w:szCs w:val="22"/>
        </w:rPr>
        <w:t>Tento přípravek může v případě náhodného po</w:t>
      </w:r>
      <w:r w:rsidR="009F353A">
        <w:rPr>
          <w:sz w:val="22"/>
          <w:szCs w:val="22"/>
        </w:rPr>
        <w:t>zření</w:t>
      </w:r>
      <w:r w:rsidRPr="002F6F34">
        <w:rPr>
          <w:sz w:val="22"/>
          <w:szCs w:val="22"/>
        </w:rPr>
        <w:t xml:space="preserve"> ovlivnit funkci srdce. </w:t>
      </w:r>
    </w:p>
    <w:p w14:paraId="4F607567" w14:textId="540D46A3" w:rsidR="00942DC8" w:rsidRDefault="00942DC8" w:rsidP="00F53D09">
      <w:pPr>
        <w:jc w:val="both"/>
        <w:rPr>
          <w:b/>
          <w:sz w:val="22"/>
          <w:szCs w:val="22"/>
        </w:rPr>
      </w:pPr>
    </w:p>
    <w:p w14:paraId="4284C071" w14:textId="1C5BB821" w:rsidR="00942DC8" w:rsidRPr="00DC6EA6" w:rsidRDefault="00942DC8" w:rsidP="00F53D09">
      <w:pPr>
        <w:ind w:left="567" w:hanging="567"/>
        <w:jc w:val="both"/>
        <w:rPr>
          <w:sz w:val="22"/>
          <w:szCs w:val="22"/>
          <w:u w:val="single"/>
        </w:rPr>
      </w:pPr>
      <w:r w:rsidRPr="00DC6EA6">
        <w:rPr>
          <w:sz w:val="22"/>
          <w:szCs w:val="22"/>
          <w:u w:val="single"/>
        </w:rPr>
        <w:t>Použití v průběhu březosti a laktace</w:t>
      </w:r>
      <w:r w:rsidRPr="00DC6EA6">
        <w:rPr>
          <w:sz w:val="22"/>
          <w:szCs w:val="22"/>
        </w:rPr>
        <w:t>:</w:t>
      </w:r>
    </w:p>
    <w:p w14:paraId="79D78896" w14:textId="2F30031B" w:rsidR="00384CD0" w:rsidRPr="00DC6EA6" w:rsidRDefault="00E6560F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Laboratorní studie u potkanů a králíků nepřinesly žádné důkazy o teratogenních nebo </w:t>
      </w:r>
      <w:proofErr w:type="spellStart"/>
      <w:r w:rsidRPr="00DC6EA6">
        <w:rPr>
          <w:sz w:val="22"/>
          <w:szCs w:val="22"/>
        </w:rPr>
        <w:t>fetotoxických</w:t>
      </w:r>
      <w:proofErr w:type="spellEnd"/>
      <w:r w:rsidRPr="00DC6EA6">
        <w:rPr>
          <w:sz w:val="22"/>
          <w:szCs w:val="22"/>
        </w:rPr>
        <w:t xml:space="preserve"> účincích. Tyto studie však prokázaly </w:t>
      </w:r>
      <w:proofErr w:type="spellStart"/>
      <w:r w:rsidRPr="00DC6EA6">
        <w:rPr>
          <w:sz w:val="22"/>
          <w:szCs w:val="22"/>
        </w:rPr>
        <w:t>maternální</w:t>
      </w:r>
      <w:proofErr w:type="spellEnd"/>
      <w:r w:rsidRPr="00DC6EA6">
        <w:rPr>
          <w:sz w:val="22"/>
          <w:szCs w:val="22"/>
        </w:rPr>
        <w:t xml:space="preserve"> toxicitu a embryotoxické účinky ve vysokých dávkách a rovněž prokázaly, že je </w:t>
      </w:r>
      <w:proofErr w:type="spellStart"/>
      <w:r w:rsidRPr="00DC6EA6">
        <w:rPr>
          <w:sz w:val="22"/>
          <w:szCs w:val="22"/>
        </w:rPr>
        <w:t>pimobendan</w:t>
      </w:r>
      <w:proofErr w:type="spellEnd"/>
      <w:r w:rsidRPr="00DC6EA6">
        <w:rPr>
          <w:sz w:val="22"/>
          <w:szCs w:val="22"/>
        </w:rPr>
        <w:t xml:space="preserve"> vylučován do mateřského mléka. </w:t>
      </w:r>
    </w:p>
    <w:p w14:paraId="5C9FE504" w14:textId="05B38676" w:rsidR="00E6560F" w:rsidRDefault="00E6560F" w:rsidP="00F53D09">
      <w:pPr>
        <w:jc w:val="both"/>
        <w:rPr>
          <w:sz w:val="22"/>
          <w:szCs w:val="22"/>
        </w:rPr>
      </w:pPr>
      <w:r w:rsidRPr="00DC6EA6">
        <w:rPr>
          <w:sz w:val="22"/>
          <w:szCs w:val="22"/>
        </w:rPr>
        <w:t xml:space="preserve">Nebyla stanovena bezpečnost přípravku pro použití u samic během březosti nebo laktace. Použít pouze po zvážení </w:t>
      </w:r>
      <w:r w:rsidR="009F0417" w:rsidRPr="00DC6EA6">
        <w:rPr>
          <w:spacing w:val="-3"/>
          <w:sz w:val="22"/>
          <w:szCs w:val="22"/>
        </w:rPr>
        <w:t xml:space="preserve">poměru </w:t>
      </w:r>
      <w:r w:rsidRPr="00DC6EA6">
        <w:rPr>
          <w:sz w:val="22"/>
          <w:szCs w:val="22"/>
        </w:rPr>
        <w:t xml:space="preserve">terapeutického prospěchu a rizika </w:t>
      </w:r>
      <w:r w:rsidR="009F0417" w:rsidRPr="00DC6EA6">
        <w:rPr>
          <w:spacing w:val="-3"/>
          <w:sz w:val="22"/>
          <w:szCs w:val="22"/>
        </w:rPr>
        <w:t>příslušným</w:t>
      </w:r>
      <w:r w:rsidR="009F0417" w:rsidRPr="00DC6EA6" w:rsidDel="00D62D25">
        <w:rPr>
          <w:spacing w:val="-3"/>
          <w:sz w:val="22"/>
          <w:szCs w:val="22"/>
        </w:rPr>
        <w:t xml:space="preserve"> </w:t>
      </w:r>
      <w:r w:rsidRPr="00DC6EA6">
        <w:rPr>
          <w:sz w:val="22"/>
          <w:szCs w:val="22"/>
        </w:rPr>
        <w:t xml:space="preserve">veterinárním lékařem. </w:t>
      </w:r>
    </w:p>
    <w:p w14:paraId="7D21B453" w14:textId="77777777" w:rsidR="00942DC8" w:rsidRPr="00594B89" w:rsidRDefault="00942DC8" w:rsidP="00F53D09">
      <w:pPr>
        <w:jc w:val="both"/>
        <w:rPr>
          <w:sz w:val="22"/>
          <w:szCs w:val="22"/>
        </w:rPr>
      </w:pPr>
    </w:p>
    <w:p w14:paraId="110FC73F" w14:textId="77777777" w:rsidR="00942DC8" w:rsidRPr="00594B89" w:rsidRDefault="00942DC8" w:rsidP="00F53D09">
      <w:pPr>
        <w:ind w:left="567" w:hanging="567"/>
        <w:jc w:val="both"/>
        <w:rPr>
          <w:sz w:val="22"/>
          <w:szCs w:val="22"/>
        </w:rPr>
      </w:pPr>
      <w:r w:rsidRPr="00594B89">
        <w:rPr>
          <w:sz w:val="22"/>
          <w:szCs w:val="22"/>
          <w:u w:val="single"/>
        </w:rPr>
        <w:t>Interakce s dalšími léčivými přípravky a další formy interakce:</w:t>
      </w:r>
    </w:p>
    <w:p w14:paraId="255B6F5D" w14:textId="36A4364A" w:rsidR="00942DC8" w:rsidRPr="00594B89" w:rsidRDefault="00942DC8" w:rsidP="00F53D09">
      <w:pPr>
        <w:pStyle w:val="Zkladntext"/>
        <w:jc w:val="both"/>
        <w:rPr>
          <w:sz w:val="22"/>
          <w:szCs w:val="22"/>
        </w:rPr>
      </w:pPr>
      <w:r w:rsidRPr="00594B89">
        <w:rPr>
          <w:sz w:val="22"/>
          <w:szCs w:val="22"/>
        </w:rPr>
        <w:t xml:space="preserve">Ve farmakologických studiích nebyla zjištěna žádná interakce mezi srdečním glykosidem </w:t>
      </w:r>
      <w:proofErr w:type="spellStart"/>
      <w:r w:rsidRPr="00594B89">
        <w:rPr>
          <w:sz w:val="22"/>
          <w:szCs w:val="22"/>
        </w:rPr>
        <w:t>ouabainem</w:t>
      </w:r>
      <w:proofErr w:type="spellEnd"/>
      <w:r w:rsidRPr="00594B89">
        <w:rPr>
          <w:sz w:val="22"/>
          <w:szCs w:val="22"/>
        </w:rPr>
        <w:t xml:space="preserve"> a </w:t>
      </w:r>
      <w:proofErr w:type="spellStart"/>
      <w:r w:rsidRPr="00594B89">
        <w:rPr>
          <w:sz w:val="22"/>
          <w:szCs w:val="22"/>
        </w:rPr>
        <w:t>pimobendanem</w:t>
      </w:r>
      <w:proofErr w:type="spellEnd"/>
      <w:r w:rsidRPr="00594B89">
        <w:rPr>
          <w:sz w:val="22"/>
          <w:szCs w:val="22"/>
        </w:rPr>
        <w:t xml:space="preserve">. Zvýšení kontraktility srdce vyvolané </w:t>
      </w:r>
      <w:proofErr w:type="spellStart"/>
      <w:r w:rsidRPr="00594B89">
        <w:rPr>
          <w:sz w:val="22"/>
          <w:szCs w:val="22"/>
        </w:rPr>
        <w:t>pimobendanem</w:t>
      </w:r>
      <w:proofErr w:type="spellEnd"/>
      <w:r w:rsidRPr="00594B89">
        <w:rPr>
          <w:sz w:val="22"/>
          <w:szCs w:val="22"/>
        </w:rPr>
        <w:t xml:space="preserve"> je zeslabeno přítomností </w:t>
      </w:r>
      <w:proofErr w:type="spellStart"/>
      <w:r w:rsidRPr="00594B89">
        <w:rPr>
          <w:sz w:val="22"/>
          <w:szCs w:val="22"/>
        </w:rPr>
        <w:t>verapamilu</w:t>
      </w:r>
      <w:proofErr w:type="spellEnd"/>
      <w:r w:rsidRPr="00594B89">
        <w:rPr>
          <w:sz w:val="22"/>
          <w:szCs w:val="22"/>
        </w:rPr>
        <w:t xml:space="preserve">, antagonisty kalcia, </w:t>
      </w:r>
      <w:r w:rsidR="003262BA">
        <w:rPr>
          <w:sz w:val="22"/>
          <w:szCs w:val="22"/>
        </w:rPr>
        <w:t xml:space="preserve">a </w:t>
      </w:r>
      <w:proofErr w:type="spellStart"/>
      <w:r w:rsidR="003262BA">
        <w:rPr>
          <w:sz w:val="22"/>
          <w:szCs w:val="22"/>
        </w:rPr>
        <w:t>diltiazem</w:t>
      </w:r>
      <w:r w:rsidR="001343D5">
        <w:rPr>
          <w:sz w:val="22"/>
          <w:szCs w:val="22"/>
        </w:rPr>
        <w:t>u</w:t>
      </w:r>
      <w:proofErr w:type="spellEnd"/>
      <w:r w:rsidR="001343D5">
        <w:rPr>
          <w:sz w:val="22"/>
          <w:szCs w:val="22"/>
        </w:rPr>
        <w:t>,</w:t>
      </w:r>
      <w:r w:rsidR="003262BA" w:rsidRPr="003262BA">
        <w:rPr>
          <w:sz w:val="22"/>
          <w:szCs w:val="22"/>
        </w:rPr>
        <w:t xml:space="preserve"> </w:t>
      </w:r>
      <w:r w:rsidRPr="00594B89">
        <w:rPr>
          <w:sz w:val="22"/>
          <w:szCs w:val="22"/>
        </w:rPr>
        <w:t xml:space="preserve">a </w:t>
      </w:r>
      <w:proofErr w:type="spellStart"/>
      <w:r w:rsidRPr="00594B89">
        <w:rPr>
          <w:sz w:val="22"/>
          <w:szCs w:val="22"/>
        </w:rPr>
        <w:t>propranololu</w:t>
      </w:r>
      <w:proofErr w:type="spellEnd"/>
      <w:r w:rsidRPr="00594B89">
        <w:rPr>
          <w:sz w:val="22"/>
          <w:szCs w:val="22"/>
        </w:rPr>
        <w:t>, beta antagonisty.</w:t>
      </w:r>
    </w:p>
    <w:p w14:paraId="3FCC1475" w14:textId="77777777" w:rsidR="00942DC8" w:rsidRPr="00594B89" w:rsidRDefault="00942DC8" w:rsidP="00F53D09">
      <w:pPr>
        <w:pStyle w:val="Zkladntext"/>
        <w:jc w:val="both"/>
        <w:rPr>
          <w:sz w:val="22"/>
          <w:szCs w:val="22"/>
        </w:rPr>
      </w:pPr>
    </w:p>
    <w:p w14:paraId="1339A5E5" w14:textId="77777777" w:rsidR="00942DC8" w:rsidRPr="00594B89" w:rsidRDefault="00942DC8" w:rsidP="00F53D09">
      <w:pPr>
        <w:pStyle w:val="Zkladntextodsazen"/>
        <w:ind w:left="180"/>
        <w:jc w:val="both"/>
        <w:rPr>
          <w:szCs w:val="22"/>
          <w:u w:val="single"/>
        </w:rPr>
      </w:pPr>
      <w:r w:rsidRPr="00594B89">
        <w:rPr>
          <w:szCs w:val="22"/>
          <w:u w:val="single"/>
        </w:rPr>
        <w:t xml:space="preserve">Předávkování (symptomy, první pomoc, </w:t>
      </w:r>
      <w:proofErr w:type="spellStart"/>
      <w:r w:rsidRPr="00594B89">
        <w:rPr>
          <w:szCs w:val="22"/>
          <w:u w:val="single"/>
        </w:rPr>
        <w:t>antidota</w:t>
      </w:r>
      <w:proofErr w:type="spellEnd"/>
      <w:r w:rsidRPr="00594B89">
        <w:rPr>
          <w:szCs w:val="22"/>
          <w:u w:val="single"/>
        </w:rPr>
        <w:t>)</w:t>
      </w:r>
      <w:r w:rsidRPr="00594B89">
        <w:rPr>
          <w:szCs w:val="22"/>
        </w:rPr>
        <w:t>:</w:t>
      </w:r>
    </w:p>
    <w:p w14:paraId="3BE8A4A0" w14:textId="533A0062" w:rsidR="00A10E3C" w:rsidRPr="00594B89" w:rsidRDefault="00A10E3C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 xml:space="preserve">V případě předávkování se </w:t>
      </w:r>
      <w:r w:rsidR="003D7313">
        <w:rPr>
          <w:sz w:val="22"/>
          <w:szCs w:val="22"/>
        </w:rPr>
        <w:t>může</w:t>
      </w:r>
      <w:r w:rsidR="003D7313" w:rsidRPr="00594B89">
        <w:rPr>
          <w:sz w:val="22"/>
          <w:szCs w:val="22"/>
        </w:rPr>
        <w:t xml:space="preserve"> </w:t>
      </w:r>
      <w:r w:rsidRPr="00594B89">
        <w:rPr>
          <w:sz w:val="22"/>
          <w:szCs w:val="22"/>
        </w:rPr>
        <w:t xml:space="preserve">objevit zvracení, pozitivní </w:t>
      </w:r>
      <w:proofErr w:type="spellStart"/>
      <w:r w:rsidRPr="00594B89">
        <w:rPr>
          <w:sz w:val="22"/>
          <w:szCs w:val="22"/>
        </w:rPr>
        <w:t>chronotropní</w:t>
      </w:r>
      <w:proofErr w:type="spellEnd"/>
      <w:r w:rsidRPr="00594B89">
        <w:rPr>
          <w:sz w:val="22"/>
          <w:szCs w:val="22"/>
        </w:rPr>
        <w:t xml:space="preserve"> účinek, apatie, ataxie, srdeční šelesty nebo hypotenze. Za této situace je nutné snížit dávkování a zahájit vhodnou symptomatickou léčbu. </w:t>
      </w:r>
    </w:p>
    <w:p w14:paraId="67005A1A" w14:textId="5BCE42EF" w:rsidR="00A10E3C" w:rsidRPr="00594B89" w:rsidRDefault="00A10E3C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 xml:space="preserve">Při prodloužené expozici (6 měsíců) bylo u některých zdravých psů </w:t>
      </w:r>
      <w:r w:rsidR="009F0417" w:rsidRPr="00594B89">
        <w:rPr>
          <w:sz w:val="22"/>
          <w:szCs w:val="22"/>
        </w:rPr>
        <w:t xml:space="preserve">plemene </w:t>
      </w:r>
      <w:r w:rsidRPr="00594B89">
        <w:rPr>
          <w:sz w:val="22"/>
          <w:szCs w:val="22"/>
        </w:rPr>
        <w:t>bígl, kterým byl podáván 3 až 5násobek doporučené dávky, pozorováno ztluštění mitrální chlopně a hypertrofie levé komory. Tyto změny jsou farmakodynamického původu.</w:t>
      </w:r>
    </w:p>
    <w:p w14:paraId="354E0309" w14:textId="77777777" w:rsidR="00942DC8" w:rsidRPr="00594B89" w:rsidRDefault="00942DC8" w:rsidP="00F53D09">
      <w:pPr>
        <w:jc w:val="both"/>
        <w:rPr>
          <w:sz w:val="22"/>
          <w:szCs w:val="22"/>
        </w:rPr>
      </w:pPr>
    </w:p>
    <w:p w14:paraId="0CD745EB" w14:textId="77777777" w:rsidR="00044775" w:rsidRPr="00594B89" w:rsidRDefault="00044775" w:rsidP="00942DC8">
      <w:pPr>
        <w:rPr>
          <w:sz w:val="22"/>
          <w:szCs w:val="22"/>
          <w:u w:val="single"/>
        </w:rPr>
      </w:pPr>
      <w:r w:rsidRPr="00594B89">
        <w:rPr>
          <w:sz w:val="22"/>
          <w:szCs w:val="22"/>
          <w:u w:val="single"/>
        </w:rPr>
        <w:t>Inkompatibility:</w:t>
      </w:r>
    </w:p>
    <w:p w14:paraId="39A1ED16" w14:textId="379759EB" w:rsidR="00044775" w:rsidRPr="00594B89" w:rsidRDefault="00E50EAE" w:rsidP="00942DC8">
      <w:pPr>
        <w:rPr>
          <w:sz w:val="22"/>
          <w:szCs w:val="22"/>
        </w:rPr>
      </w:pPr>
      <w:r w:rsidRPr="00594B89">
        <w:rPr>
          <w:sz w:val="22"/>
          <w:szCs w:val="22"/>
        </w:rPr>
        <w:t>Neuplatňuje se</w:t>
      </w:r>
      <w:r w:rsidR="009A0433" w:rsidRPr="00594B89">
        <w:rPr>
          <w:sz w:val="22"/>
          <w:szCs w:val="22"/>
        </w:rPr>
        <w:t>.</w:t>
      </w:r>
    </w:p>
    <w:p w14:paraId="14113EFC" w14:textId="77777777" w:rsidR="00A10E3C" w:rsidRPr="00594B89" w:rsidRDefault="00A10E3C" w:rsidP="00942DC8">
      <w:pPr>
        <w:rPr>
          <w:sz w:val="22"/>
          <w:szCs w:val="22"/>
        </w:rPr>
      </w:pPr>
    </w:p>
    <w:p w14:paraId="74AA02CA" w14:textId="77777777" w:rsidR="00942DC8" w:rsidRPr="00594B89" w:rsidRDefault="00942DC8" w:rsidP="00942DC8">
      <w:pPr>
        <w:ind w:left="567" w:hanging="567"/>
        <w:rPr>
          <w:b/>
          <w:sz w:val="22"/>
          <w:szCs w:val="22"/>
        </w:rPr>
      </w:pPr>
      <w:r w:rsidRPr="00594B89">
        <w:rPr>
          <w:b/>
          <w:sz w:val="22"/>
          <w:szCs w:val="22"/>
        </w:rPr>
        <w:t>13.</w:t>
      </w:r>
      <w:r w:rsidRPr="00594B89">
        <w:rPr>
          <w:sz w:val="22"/>
          <w:szCs w:val="22"/>
        </w:rPr>
        <w:tab/>
      </w:r>
      <w:r w:rsidRPr="00594B89">
        <w:rPr>
          <w:b/>
          <w:sz w:val="22"/>
          <w:szCs w:val="22"/>
        </w:rPr>
        <w:t>ZVLÁŠTNÍ OPATŘENÍ PRO ZNEŠKODŇOVÁNÍ NEPOUŽITÝCH PŘÍPRAVKŮ NEBO ODPADU, POKUD JE JICH TŘEBA</w:t>
      </w:r>
    </w:p>
    <w:p w14:paraId="3939F6E5" w14:textId="77777777" w:rsidR="00942DC8" w:rsidRPr="00594B89" w:rsidRDefault="00942DC8" w:rsidP="00942DC8">
      <w:pPr>
        <w:ind w:right="-318"/>
        <w:rPr>
          <w:sz w:val="22"/>
          <w:szCs w:val="22"/>
        </w:rPr>
      </w:pPr>
    </w:p>
    <w:p w14:paraId="7FC17E3D" w14:textId="77777777" w:rsidR="00942DC8" w:rsidRPr="00594B89" w:rsidRDefault="00942DC8" w:rsidP="00942DC8">
      <w:pPr>
        <w:ind w:right="-318"/>
        <w:rPr>
          <w:sz w:val="22"/>
          <w:szCs w:val="22"/>
        </w:rPr>
      </w:pPr>
      <w:r w:rsidRPr="00594B89">
        <w:rPr>
          <w:sz w:val="22"/>
          <w:szCs w:val="22"/>
        </w:rPr>
        <w:t>Léčivé přípravky se nesmí likvidovat prostřednictvím odpadní vody či domovního odpadu.</w:t>
      </w:r>
    </w:p>
    <w:p w14:paraId="3D14DC34" w14:textId="77777777" w:rsidR="00942DC8" w:rsidRPr="00594B89" w:rsidRDefault="00942DC8" w:rsidP="00942DC8">
      <w:pPr>
        <w:ind w:right="-318"/>
        <w:rPr>
          <w:sz w:val="22"/>
          <w:szCs w:val="22"/>
        </w:rPr>
      </w:pPr>
      <w:r w:rsidRPr="00594B89">
        <w:rPr>
          <w:sz w:val="22"/>
          <w:szCs w:val="22"/>
        </w:rPr>
        <w:t>O možnostech likvidace nepotřebných léčivých přípravků se poraďte s vaším veterinárním lékařem. Tato opatření napomáhají chránit životní prostředí.</w:t>
      </w:r>
    </w:p>
    <w:p w14:paraId="64507BE6" w14:textId="77777777" w:rsidR="00942DC8" w:rsidRPr="00594B89" w:rsidRDefault="00942DC8" w:rsidP="00942DC8">
      <w:pPr>
        <w:ind w:right="-318"/>
        <w:rPr>
          <w:sz w:val="22"/>
          <w:szCs w:val="22"/>
        </w:rPr>
      </w:pPr>
    </w:p>
    <w:p w14:paraId="7EAE0B8E" w14:textId="77777777" w:rsidR="00942DC8" w:rsidRPr="00594B89" w:rsidRDefault="00942DC8" w:rsidP="002F6F34">
      <w:pPr>
        <w:keepNext/>
        <w:widowControl/>
        <w:ind w:left="567" w:hanging="567"/>
        <w:rPr>
          <w:sz w:val="22"/>
          <w:szCs w:val="22"/>
        </w:rPr>
      </w:pPr>
      <w:r w:rsidRPr="00594B89">
        <w:rPr>
          <w:b/>
          <w:sz w:val="22"/>
          <w:szCs w:val="22"/>
        </w:rPr>
        <w:lastRenderedPageBreak/>
        <w:t>14.</w:t>
      </w:r>
      <w:r w:rsidRPr="00594B89">
        <w:rPr>
          <w:sz w:val="22"/>
          <w:szCs w:val="22"/>
        </w:rPr>
        <w:tab/>
      </w:r>
      <w:r w:rsidRPr="00594B89">
        <w:rPr>
          <w:b/>
          <w:sz w:val="22"/>
          <w:szCs w:val="22"/>
        </w:rPr>
        <w:t>DATUM POSLEDNÍ REVIZE PŘÍBALOVÉ INFORMACE</w:t>
      </w:r>
    </w:p>
    <w:p w14:paraId="75FE4117" w14:textId="77777777" w:rsidR="00942DC8" w:rsidRPr="00594B89" w:rsidRDefault="00942DC8" w:rsidP="002F6F34">
      <w:pPr>
        <w:keepNext/>
        <w:widowControl/>
        <w:ind w:right="-318"/>
        <w:rPr>
          <w:sz w:val="22"/>
          <w:szCs w:val="22"/>
        </w:rPr>
      </w:pPr>
    </w:p>
    <w:p w14:paraId="7502B2E2" w14:textId="081B6929" w:rsidR="00AE634F" w:rsidRPr="00594B89" w:rsidRDefault="00A87CA1" w:rsidP="00942DC8">
      <w:pPr>
        <w:ind w:right="-318"/>
        <w:rPr>
          <w:sz w:val="22"/>
          <w:szCs w:val="22"/>
        </w:rPr>
      </w:pPr>
      <w:proofErr w:type="gramStart"/>
      <w:r>
        <w:rPr>
          <w:sz w:val="22"/>
          <w:szCs w:val="22"/>
        </w:rPr>
        <w:t>Leden</w:t>
      </w:r>
      <w:proofErr w:type="gramEnd"/>
      <w:r>
        <w:rPr>
          <w:sz w:val="22"/>
          <w:szCs w:val="22"/>
        </w:rPr>
        <w:t xml:space="preserve"> 20</w:t>
      </w:r>
      <w:r w:rsidR="00BC7A18">
        <w:rPr>
          <w:sz w:val="22"/>
          <w:szCs w:val="22"/>
        </w:rPr>
        <w:t>22</w:t>
      </w:r>
    </w:p>
    <w:p w14:paraId="3A8EB3BB" w14:textId="77777777" w:rsidR="00942DC8" w:rsidRPr="00594B89" w:rsidRDefault="00942DC8" w:rsidP="00942DC8">
      <w:pPr>
        <w:ind w:right="-318"/>
        <w:rPr>
          <w:sz w:val="22"/>
          <w:szCs w:val="22"/>
        </w:rPr>
      </w:pPr>
    </w:p>
    <w:p w14:paraId="0F91E7E6" w14:textId="77777777" w:rsidR="00942DC8" w:rsidRPr="00594B89" w:rsidRDefault="00942DC8" w:rsidP="00942DC8">
      <w:pPr>
        <w:ind w:left="567" w:hanging="567"/>
        <w:rPr>
          <w:sz w:val="22"/>
          <w:szCs w:val="22"/>
        </w:rPr>
      </w:pPr>
      <w:r w:rsidRPr="00594B89">
        <w:rPr>
          <w:b/>
          <w:sz w:val="22"/>
          <w:szCs w:val="22"/>
        </w:rPr>
        <w:t>15.</w:t>
      </w:r>
      <w:r w:rsidRPr="00594B89">
        <w:rPr>
          <w:sz w:val="22"/>
          <w:szCs w:val="22"/>
        </w:rPr>
        <w:tab/>
      </w:r>
      <w:r w:rsidRPr="00594B89">
        <w:rPr>
          <w:b/>
          <w:sz w:val="22"/>
          <w:szCs w:val="22"/>
        </w:rPr>
        <w:t>DALŠÍ INFORMACE</w:t>
      </w:r>
    </w:p>
    <w:p w14:paraId="6B7A29A9" w14:textId="77777777" w:rsidR="001920EE" w:rsidRPr="00594B89" w:rsidRDefault="001920EE" w:rsidP="00942DC8">
      <w:pPr>
        <w:rPr>
          <w:sz w:val="22"/>
          <w:szCs w:val="22"/>
        </w:rPr>
      </w:pPr>
    </w:p>
    <w:p w14:paraId="035FB300" w14:textId="72F86D31" w:rsidR="009F0417" w:rsidRPr="00594B89" w:rsidRDefault="005732D7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 xml:space="preserve">Při použití v případech insuficience chlopní </w:t>
      </w:r>
      <w:r w:rsidR="00E97F44">
        <w:rPr>
          <w:sz w:val="22"/>
          <w:szCs w:val="22"/>
        </w:rPr>
        <w:t>s</w:t>
      </w:r>
      <w:r w:rsidR="00E97F44" w:rsidRPr="00E97F44">
        <w:rPr>
          <w:sz w:val="22"/>
          <w:szCs w:val="22"/>
        </w:rPr>
        <w:t xml:space="preserve">ymptomatická </w:t>
      </w:r>
      <w:r w:rsidRPr="00594B89">
        <w:rPr>
          <w:sz w:val="22"/>
          <w:szCs w:val="22"/>
        </w:rPr>
        <w:t xml:space="preserve">v kombinaci s </w:t>
      </w:r>
      <w:proofErr w:type="spellStart"/>
      <w:r w:rsidRPr="00594B89">
        <w:rPr>
          <w:sz w:val="22"/>
          <w:szCs w:val="22"/>
        </w:rPr>
        <w:t>furosemidem</w:t>
      </w:r>
      <w:proofErr w:type="spellEnd"/>
      <w:r w:rsidRPr="00594B89">
        <w:rPr>
          <w:sz w:val="22"/>
          <w:szCs w:val="22"/>
        </w:rPr>
        <w:t xml:space="preserve"> se ukázalo, </w:t>
      </w:r>
    </w:p>
    <w:p w14:paraId="1753C2AA" w14:textId="77777777" w:rsidR="009F0417" w:rsidRPr="00594B89" w:rsidRDefault="009F0417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>že přípravek zlepšuje kvalitu a prodlužuje délku života léčených psů.</w:t>
      </w:r>
    </w:p>
    <w:p w14:paraId="0938DFDE" w14:textId="1B7C49EA" w:rsidR="009F0417" w:rsidRPr="00594B89" w:rsidRDefault="005732D7" w:rsidP="00F53D09">
      <w:pPr>
        <w:jc w:val="both"/>
        <w:rPr>
          <w:sz w:val="22"/>
          <w:szCs w:val="22"/>
        </w:rPr>
      </w:pPr>
      <w:r w:rsidRPr="00594B89">
        <w:rPr>
          <w:spacing w:val="-3"/>
          <w:sz w:val="22"/>
          <w:szCs w:val="22"/>
        </w:rPr>
        <w:t xml:space="preserve">Při použití v omezeném počtu případů </w:t>
      </w:r>
      <w:r w:rsidRPr="002F6F34">
        <w:rPr>
          <w:spacing w:val="-3"/>
          <w:sz w:val="22"/>
          <w:szCs w:val="22"/>
        </w:rPr>
        <w:t>symptomatické</w:t>
      </w:r>
      <w:r w:rsidRPr="00594B89">
        <w:rPr>
          <w:spacing w:val="-3"/>
          <w:sz w:val="22"/>
          <w:szCs w:val="22"/>
        </w:rPr>
        <w:t xml:space="preserve"> dilatované kardiomyopatie v kombinaci s </w:t>
      </w:r>
      <w:proofErr w:type="spellStart"/>
      <w:r w:rsidRPr="00594B89">
        <w:rPr>
          <w:spacing w:val="-3"/>
          <w:sz w:val="22"/>
          <w:szCs w:val="22"/>
        </w:rPr>
        <w:t>furosemidem</w:t>
      </w:r>
      <w:proofErr w:type="spellEnd"/>
      <w:r w:rsidRPr="00594B89">
        <w:rPr>
          <w:spacing w:val="-3"/>
          <w:sz w:val="22"/>
          <w:szCs w:val="22"/>
        </w:rPr>
        <w:t xml:space="preserve">, </w:t>
      </w:r>
      <w:proofErr w:type="spellStart"/>
      <w:r w:rsidR="009F0417" w:rsidRPr="00594B89">
        <w:rPr>
          <w:sz w:val="22"/>
          <w:szCs w:val="22"/>
        </w:rPr>
        <w:t>enalaprilem</w:t>
      </w:r>
      <w:proofErr w:type="spellEnd"/>
      <w:r w:rsidR="009F0417" w:rsidRPr="00594B89">
        <w:rPr>
          <w:sz w:val="22"/>
          <w:szCs w:val="22"/>
        </w:rPr>
        <w:t xml:space="preserve"> a digoxinem se ukázalo, že přípravek zlepšuje kvalitu a prodlužuje délku života léčených psů.</w:t>
      </w:r>
    </w:p>
    <w:p w14:paraId="4B79EDE8" w14:textId="77777777" w:rsidR="005732D7" w:rsidRPr="00594B89" w:rsidRDefault="005732D7" w:rsidP="00F53D09">
      <w:pPr>
        <w:jc w:val="both"/>
        <w:rPr>
          <w:sz w:val="22"/>
          <w:szCs w:val="22"/>
        </w:rPr>
      </w:pPr>
    </w:p>
    <w:p w14:paraId="1FA8B3E7" w14:textId="649C5B80" w:rsidR="000C682B" w:rsidRPr="00594B89" w:rsidRDefault="00594B89" w:rsidP="00F53D09">
      <w:pPr>
        <w:ind w:right="-29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94B89">
        <w:rPr>
          <w:sz w:val="22"/>
          <w:szCs w:val="22"/>
        </w:rPr>
        <w:t>elikosti balení</w:t>
      </w:r>
      <w:r>
        <w:rPr>
          <w:sz w:val="22"/>
          <w:szCs w:val="22"/>
        </w:rPr>
        <w:t>:</w:t>
      </w:r>
      <w:r w:rsidRPr="00594B89">
        <w:rPr>
          <w:sz w:val="22"/>
          <w:szCs w:val="22"/>
        </w:rPr>
        <w:t xml:space="preserve"> </w:t>
      </w:r>
      <w:r w:rsidR="00CE503B" w:rsidRPr="00594B89">
        <w:rPr>
          <w:sz w:val="22"/>
          <w:szCs w:val="22"/>
        </w:rPr>
        <w:t xml:space="preserve">20, 50, 100 nebo 250 tablet </w:t>
      </w:r>
      <w:r w:rsidR="009A0433" w:rsidRPr="00594B89">
        <w:rPr>
          <w:sz w:val="22"/>
          <w:szCs w:val="22"/>
        </w:rPr>
        <w:t xml:space="preserve">v </w:t>
      </w:r>
      <w:r w:rsidR="00CE503B" w:rsidRPr="00594B89">
        <w:rPr>
          <w:sz w:val="22"/>
          <w:szCs w:val="22"/>
        </w:rPr>
        <w:t>papírov</w:t>
      </w:r>
      <w:r w:rsidR="009A0433" w:rsidRPr="00594B89">
        <w:rPr>
          <w:sz w:val="22"/>
          <w:szCs w:val="22"/>
        </w:rPr>
        <w:t>é</w:t>
      </w:r>
      <w:r w:rsidR="00CE503B" w:rsidRPr="00594B89">
        <w:rPr>
          <w:sz w:val="22"/>
          <w:szCs w:val="22"/>
        </w:rPr>
        <w:t xml:space="preserve"> krabič</w:t>
      </w:r>
      <w:r w:rsidR="009A0433" w:rsidRPr="00594B89">
        <w:rPr>
          <w:sz w:val="22"/>
          <w:szCs w:val="22"/>
        </w:rPr>
        <w:t>ce</w:t>
      </w:r>
      <w:r w:rsidR="00CE503B" w:rsidRPr="00594B89">
        <w:rPr>
          <w:sz w:val="22"/>
          <w:szCs w:val="22"/>
        </w:rPr>
        <w:t xml:space="preserve">. </w:t>
      </w:r>
    </w:p>
    <w:p w14:paraId="260A577F" w14:textId="77777777" w:rsidR="00942DC8" w:rsidRPr="00594B89" w:rsidRDefault="00942DC8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>Na trhu nemusí být všechny veli</w:t>
      </w:r>
      <w:bookmarkStart w:id="0" w:name="_GoBack"/>
      <w:bookmarkEnd w:id="0"/>
      <w:r w:rsidRPr="00594B89">
        <w:rPr>
          <w:sz w:val="22"/>
          <w:szCs w:val="22"/>
        </w:rPr>
        <w:t>kosti balení.</w:t>
      </w:r>
    </w:p>
    <w:p w14:paraId="5D6F16E3" w14:textId="77777777" w:rsidR="00594B89" w:rsidRDefault="00594B89" w:rsidP="00F53D09">
      <w:pPr>
        <w:jc w:val="both"/>
        <w:rPr>
          <w:sz w:val="22"/>
          <w:szCs w:val="22"/>
        </w:rPr>
      </w:pPr>
    </w:p>
    <w:p w14:paraId="7F90080A" w14:textId="77777777" w:rsidR="00AE634F" w:rsidRPr="00594B89" w:rsidRDefault="00AE634F" w:rsidP="00F53D09">
      <w:pPr>
        <w:jc w:val="both"/>
        <w:rPr>
          <w:sz w:val="22"/>
          <w:szCs w:val="22"/>
        </w:rPr>
      </w:pPr>
      <w:r w:rsidRPr="00594B89">
        <w:rPr>
          <w:sz w:val="22"/>
          <w:szCs w:val="22"/>
        </w:rPr>
        <w:t>Pouze pro zvířata.</w:t>
      </w:r>
    </w:p>
    <w:p w14:paraId="75CB6DEA" w14:textId="77777777" w:rsidR="001D2EBB" w:rsidRPr="00594B89" w:rsidRDefault="001D2EBB" w:rsidP="00F53D09">
      <w:pPr>
        <w:ind w:right="113"/>
        <w:jc w:val="both"/>
        <w:rPr>
          <w:sz w:val="22"/>
          <w:szCs w:val="22"/>
        </w:rPr>
      </w:pPr>
      <w:r w:rsidRPr="00594B89">
        <w:rPr>
          <w:sz w:val="22"/>
          <w:szCs w:val="22"/>
        </w:rPr>
        <w:t>Veterinární léčivý přípravek je vydáván pouze na předpis.</w:t>
      </w:r>
    </w:p>
    <w:p w14:paraId="18448E7D" w14:textId="77777777" w:rsidR="001D2EBB" w:rsidRPr="00594B89" w:rsidRDefault="001D2EBB" w:rsidP="001D2EBB">
      <w:pPr>
        <w:ind w:right="113"/>
        <w:rPr>
          <w:sz w:val="22"/>
          <w:szCs w:val="22"/>
        </w:rPr>
      </w:pPr>
    </w:p>
    <w:p w14:paraId="191B1B38" w14:textId="77777777" w:rsidR="001D2EBB" w:rsidRPr="00594B89" w:rsidRDefault="001D2EBB" w:rsidP="001D2EBB">
      <w:pPr>
        <w:ind w:right="113"/>
        <w:rPr>
          <w:sz w:val="22"/>
          <w:szCs w:val="22"/>
        </w:rPr>
      </w:pPr>
    </w:p>
    <w:p w14:paraId="71740875" w14:textId="77777777" w:rsidR="00E30008" w:rsidRPr="00594B89" w:rsidRDefault="00E30008" w:rsidP="002A62C8">
      <w:pPr>
        <w:ind w:right="113"/>
        <w:rPr>
          <w:sz w:val="22"/>
          <w:szCs w:val="22"/>
        </w:rPr>
      </w:pPr>
    </w:p>
    <w:p w14:paraId="0B7554FC" w14:textId="77777777" w:rsidR="001920EE" w:rsidRPr="00594B89" w:rsidRDefault="001920EE" w:rsidP="001920EE">
      <w:pPr>
        <w:rPr>
          <w:sz w:val="22"/>
          <w:szCs w:val="22"/>
        </w:rPr>
      </w:pPr>
      <w:r w:rsidRPr="00594B89">
        <w:rPr>
          <w:sz w:val="22"/>
          <w:szCs w:val="22"/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2F4A115A" w14:textId="77777777" w:rsidR="00384CD0" w:rsidRDefault="00384CD0" w:rsidP="002A62C8">
      <w:pPr>
        <w:ind w:right="113"/>
        <w:rPr>
          <w:sz w:val="22"/>
          <w:szCs w:val="22"/>
        </w:rPr>
      </w:pPr>
    </w:p>
    <w:p w14:paraId="1EECC2B4" w14:textId="77777777" w:rsidR="00FF63D4" w:rsidRPr="00594B89" w:rsidRDefault="00FF63D4" w:rsidP="002A62C8">
      <w:pPr>
        <w:ind w:right="113"/>
        <w:rPr>
          <w:sz w:val="22"/>
          <w:szCs w:val="22"/>
        </w:rPr>
      </w:pPr>
    </w:p>
    <w:sectPr w:rsidR="00FF63D4" w:rsidRPr="00594B8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6794" w14:textId="77777777" w:rsidR="007442D4" w:rsidRDefault="007442D4" w:rsidP="008D72A4">
      <w:r>
        <w:separator/>
      </w:r>
    </w:p>
  </w:endnote>
  <w:endnote w:type="continuationSeparator" w:id="0">
    <w:p w14:paraId="3D598045" w14:textId="77777777" w:rsidR="007442D4" w:rsidRDefault="007442D4" w:rsidP="008D72A4">
      <w:r>
        <w:continuationSeparator/>
      </w:r>
    </w:p>
  </w:endnote>
  <w:endnote w:type="continuationNotice" w:id="1">
    <w:p w14:paraId="232B3554" w14:textId="77777777" w:rsidR="007442D4" w:rsidRDefault="00744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A7A89" w14:textId="77777777" w:rsidR="007442D4" w:rsidRDefault="007442D4" w:rsidP="008D72A4">
      <w:r>
        <w:separator/>
      </w:r>
    </w:p>
  </w:footnote>
  <w:footnote w:type="continuationSeparator" w:id="0">
    <w:p w14:paraId="103D088D" w14:textId="77777777" w:rsidR="007442D4" w:rsidRDefault="007442D4" w:rsidP="008D72A4">
      <w:r>
        <w:continuationSeparator/>
      </w:r>
    </w:p>
  </w:footnote>
  <w:footnote w:type="continuationNotice" w:id="1">
    <w:p w14:paraId="43DF43A3" w14:textId="77777777" w:rsidR="007442D4" w:rsidRDefault="00744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49C7" w14:textId="3F075262" w:rsidR="003D00A4" w:rsidRDefault="004A322C">
    <w:pPr>
      <w:pStyle w:val="Zhlav"/>
    </w:pPr>
    <w:r>
      <w:t xml:space="preserve">     </w:t>
    </w:r>
    <w:r w:rsidR="003D00A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multilevel"/>
    <w:tmpl w:val="DD3CF770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2A2D5A"/>
    <w:multiLevelType w:val="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343193C"/>
    <w:multiLevelType w:val="multilevel"/>
    <w:tmpl w:val="70584BD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6D86DB6"/>
    <w:multiLevelType w:val="hybridMultilevel"/>
    <w:tmpl w:val="A1BE9A74"/>
    <w:lvl w:ilvl="0" w:tplc="A09286A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54683"/>
    <w:multiLevelType w:val="multilevel"/>
    <w:tmpl w:val="0EE817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multilevel"/>
    <w:tmpl w:val="DA0EE77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multilevel"/>
    <w:tmpl w:val="BA782D1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multilevel"/>
    <w:tmpl w:val="7996087A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630E67BF"/>
    <w:multiLevelType w:val="multilevel"/>
    <w:tmpl w:val="B1D854E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1FB76EB"/>
    <w:multiLevelType w:val="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87B01"/>
    <w:multiLevelType w:val="multilevel"/>
    <w:tmpl w:val="D4C290BC"/>
    <w:lvl w:ilvl="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A5987"/>
    <w:multiLevelType w:val="multilevel"/>
    <w:tmpl w:val="D73EEE10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9"/>
  </w:num>
  <w:num w:numId="5">
    <w:abstractNumId w:val="13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28"/>
  </w:num>
  <w:num w:numId="11">
    <w:abstractNumId w:val="15"/>
  </w:num>
  <w:num w:numId="12">
    <w:abstractNumId w:val="14"/>
  </w:num>
  <w:num w:numId="13">
    <w:abstractNumId w:val="3"/>
  </w:num>
  <w:num w:numId="14">
    <w:abstractNumId w:val="26"/>
  </w:num>
  <w:num w:numId="15">
    <w:abstractNumId w:val="17"/>
  </w:num>
  <w:num w:numId="16">
    <w:abstractNumId w:val="31"/>
  </w:num>
  <w:num w:numId="17">
    <w:abstractNumId w:val="9"/>
  </w:num>
  <w:num w:numId="18">
    <w:abstractNumId w:val="1"/>
  </w:num>
  <w:num w:numId="19">
    <w:abstractNumId w:val="16"/>
  </w:num>
  <w:num w:numId="20">
    <w:abstractNumId w:val="4"/>
  </w:num>
  <w:num w:numId="21">
    <w:abstractNumId w:val="7"/>
  </w:num>
  <w:num w:numId="22">
    <w:abstractNumId w:val="24"/>
  </w:num>
  <w:num w:numId="23">
    <w:abstractNumId w:val="32"/>
  </w:num>
  <w:num w:numId="24">
    <w:abstractNumId w:val="20"/>
  </w:num>
  <w:num w:numId="25">
    <w:abstractNumId w:val="10"/>
  </w:num>
  <w:num w:numId="26">
    <w:abstractNumId w:val="12"/>
  </w:num>
  <w:num w:numId="27">
    <w:abstractNumId w:val="5"/>
  </w:num>
  <w:num w:numId="28">
    <w:abstractNumId w:val="6"/>
  </w:num>
  <w:num w:numId="29">
    <w:abstractNumId w:val="21"/>
  </w:num>
  <w:num w:numId="30">
    <w:abstractNumId w:val="33"/>
  </w:num>
  <w:num w:numId="31">
    <w:abstractNumId w:val="34"/>
  </w:num>
  <w:num w:numId="32">
    <w:abstractNumId w:val="19"/>
  </w:num>
  <w:num w:numId="33">
    <w:abstractNumId w:val="25"/>
  </w:num>
  <w:num w:numId="34">
    <w:abstractNumId w:val="22"/>
  </w:num>
  <w:num w:numId="35">
    <w:abstractNumId w:val="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58"/>
    <w:rsid w:val="00021B12"/>
    <w:rsid w:val="00027CCC"/>
    <w:rsid w:val="0003231E"/>
    <w:rsid w:val="00032FD6"/>
    <w:rsid w:val="00037A4C"/>
    <w:rsid w:val="00044775"/>
    <w:rsid w:val="00061E58"/>
    <w:rsid w:val="00095049"/>
    <w:rsid w:val="000A14EC"/>
    <w:rsid w:val="000B6E0B"/>
    <w:rsid w:val="000C4067"/>
    <w:rsid w:val="000C682B"/>
    <w:rsid w:val="000D560E"/>
    <w:rsid w:val="000D783A"/>
    <w:rsid w:val="000E253F"/>
    <w:rsid w:val="000E589B"/>
    <w:rsid w:val="000E617C"/>
    <w:rsid w:val="000F5A5D"/>
    <w:rsid w:val="00100AA2"/>
    <w:rsid w:val="001066BE"/>
    <w:rsid w:val="00125165"/>
    <w:rsid w:val="00132634"/>
    <w:rsid w:val="001343D5"/>
    <w:rsid w:val="0014678D"/>
    <w:rsid w:val="001512DA"/>
    <w:rsid w:val="00151F3D"/>
    <w:rsid w:val="001534BA"/>
    <w:rsid w:val="00157847"/>
    <w:rsid w:val="00163791"/>
    <w:rsid w:val="0016413A"/>
    <w:rsid w:val="00175703"/>
    <w:rsid w:val="00182F59"/>
    <w:rsid w:val="0018404A"/>
    <w:rsid w:val="001920EE"/>
    <w:rsid w:val="00197C0C"/>
    <w:rsid w:val="001B3E82"/>
    <w:rsid w:val="001D2EBB"/>
    <w:rsid w:val="001E77F4"/>
    <w:rsid w:val="00223BF0"/>
    <w:rsid w:val="0022452E"/>
    <w:rsid w:val="002275F7"/>
    <w:rsid w:val="00234626"/>
    <w:rsid w:val="00241FA9"/>
    <w:rsid w:val="00250092"/>
    <w:rsid w:val="00265E1D"/>
    <w:rsid w:val="00283251"/>
    <w:rsid w:val="002838AE"/>
    <w:rsid w:val="00286FD8"/>
    <w:rsid w:val="002A17C5"/>
    <w:rsid w:val="002A4CC8"/>
    <w:rsid w:val="002A62C8"/>
    <w:rsid w:val="002A73FF"/>
    <w:rsid w:val="002B0D83"/>
    <w:rsid w:val="002C2252"/>
    <w:rsid w:val="002C483C"/>
    <w:rsid w:val="002D2E4B"/>
    <w:rsid w:val="002F6F34"/>
    <w:rsid w:val="00311AA6"/>
    <w:rsid w:val="003262BA"/>
    <w:rsid w:val="00334E2A"/>
    <w:rsid w:val="00352ADD"/>
    <w:rsid w:val="00380C68"/>
    <w:rsid w:val="00382333"/>
    <w:rsid w:val="00384CD0"/>
    <w:rsid w:val="003A1A7D"/>
    <w:rsid w:val="003C25B4"/>
    <w:rsid w:val="003D00A4"/>
    <w:rsid w:val="003D7313"/>
    <w:rsid w:val="003D7B42"/>
    <w:rsid w:val="003E0F78"/>
    <w:rsid w:val="004006C5"/>
    <w:rsid w:val="00407C1E"/>
    <w:rsid w:val="004120D6"/>
    <w:rsid w:val="0041666C"/>
    <w:rsid w:val="004260F1"/>
    <w:rsid w:val="004469E0"/>
    <w:rsid w:val="00456092"/>
    <w:rsid w:val="00456E93"/>
    <w:rsid w:val="0045738F"/>
    <w:rsid w:val="004715DD"/>
    <w:rsid w:val="0047517E"/>
    <w:rsid w:val="00480C2B"/>
    <w:rsid w:val="00486F84"/>
    <w:rsid w:val="00491294"/>
    <w:rsid w:val="004A322C"/>
    <w:rsid w:val="004A53EE"/>
    <w:rsid w:val="004B5164"/>
    <w:rsid w:val="005106AA"/>
    <w:rsid w:val="0052195E"/>
    <w:rsid w:val="00531437"/>
    <w:rsid w:val="00550B4C"/>
    <w:rsid w:val="00567582"/>
    <w:rsid w:val="005732D7"/>
    <w:rsid w:val="00576F3E"/>
    <w:rsid w:val="00590093"/>
    <w:rsid w:val="00594B89"/>
    <w:rsid w:val="005B18A8"/>
    <w:rsid w:val="005B3A2D"/>
    <w:rsid w:val="005B687F"/>
    <w:rsid w:val="005C55D2"/>
    <w:rsid w:val="005C57BA"/>
    <w:rsid w:val="005C7DED"/>
    <w:rsid w:val="005D2155"/>
    <w:rsid w:val="005D28B6"/>
    <w:rsid w:val="005D50B7"/>
    <w:rsid w:val="005E3ACE"/>
    <w:rsid w:val="005F555C"/>
    <w:rsid w:val="00605884"/>
    <w:rsid w:val="0061047E"/>
    <w:rsid w:val="006109A8"/>
    <w:rsid w:val="006148E3"/>
    <w:rsid w:val="00616006"/>
    <w:rsid w:val="0062373E"/>
    <w:rsid w:val="00623EEF"/>
    <w:rsid w:val="00633F3A"/>
    <w:rsid w:val="00644A50"/>
    <w:rsid w:val="00662C6A"/>
    <w:rsid w:val="00666F12"/>
    <w:rsid w:val="00680595"/>
    <w:rsid w:val="006B1818"/>
    <w:rsid w:val="006C5B89"/>
    <w:rsid w:val="006C7247"/>
    <w:rsid w:val="006C7E0C"/>
    <w:rsid w:val="006D0786"/>
    <w:rsid w:val="006D379D"/>
    <w:rsid w:val="006D3D0C"/>
    <w:rsid w:val="006D4522"/>
    <w:rsid w:val="006D49DB"/>
    <w:rsid w:val="006D678E"/>
    <w:rsid w:val="006E7385"/>
    <w:rsid w:val="0071531F"/>
    <w:rsid w:val="00725340"/>
    <w:rsid w:val="007442D4"/>
    <w:rsid w:val="00772E89"/>
    <w:rsid w:val="00775A66"/>
    <w:rsid w:val="0079774F"/>
    <w:rsid w:val="007A0DC6"/>
    <w:rsid w:val="007B01EA"/>
    <w:rsid w:val="007B5BFD"/>
    <w:rsid w:val="007C41F7"/>
    <w:rsid w:val="007D3114"/>
    <w:rsid w:val="007E601C"/>
    <w:rsid w:val="007F2157"/>
    <w:rsid w:val="00814B6C"/>
    <w:rsid w:val="00824C3E"/>
    <w:rsid w:val="0082741C"/>
    <w:rsid w:val="00834669"/>
    <w:rsid w:val="00834E29"/>
    <w:rsid w:val="00835BE3"/>
    <w:rsid w:val="00857C07"/>
    <w:rsid w:val="00872685"/>
    <w:rsid w:val="008A4717"/>
    <w:rsid w:val="008B44ED"/>
    <w:rsid w:val="008B4CBC"/>
    <w:rsid w:val="008B6E52"/>
    <w:rsid w:val="008C6064"/>
    <w:rsid w:val="008C6153"/>
    <w:rsid w:val="008D4B65"/>
    <w:rsid w:val="008D72A4"/>
    <w:rsid w:val="008D7854"/>
    <w:rsid w:val="008E2809"/>
    <w:rsid w:val="008F3229"/>
    <w:rsid w:val="00906D60"/>
    <w:rsid w:val="00914871"/>
    <w:rsid w:val="0092054B"/>
    <w:rsid w:val="00920BAA"/>
    <w:rsid w:val="009308C5"/>
    <w:rsid w:val="00942DC8"/>
    <w:rsid w:val="00983D73"/>
    <w:rsid w:val="00985CD5"/>
    <w:rsid w:val="009A0433"/>
    <w:rsid w:val="009B0D4F"/>
    <w:rsid w:val="009B6261"/>
    <w:rsid w:val="009D7AC5"/>
    <w:rsid w:val="009F0417"/>
    <w:rsid w:val="009F07BE"/>
    <w:rsid w:val="009F0BB7"/>
    <w:rsid w:val="009F353A"/>
    <w:rsid w:val="009F790D"/>
    <w:rsid w:val="00A0150F"/>
    <w:rsid w:val="00A10E3C"/>
    <w:rsid w:val="00A15D37"/>
    <w:rsid w:val="00A25FED"/>
    <w:rsid w:val="00A34C80"/>
    <w:rsid w:val="00A478E7"/>
    <w:rsid w:val="00A6647B"/>
    <w:rsid w:val="00A74492"/>
    <w:rsid w:val="00A87CA1"/>
    <w:rsid w:val="00AC6CCD"/>
    <w:rsid w:val="00AD2E54"/>
    <w:rsid w:val="00AE0459"/>
    <w:rsid w:val="00AE634F"/>
    <w:rsid w:val="00B009E9"/>
    <w:rsid w:val="00B049FB"/>
    <w:rsid w:val="00B05CFB"/>
    <w:rsid w:val="00B42552"/>
    <w:rsid w:val="00B44E3A"/>
    <w:rsid w:val="00B47374"/>
    <w:rsid w:val="00B67C18"/>
    <w:rsid w:val="00B77297"/>
    <w:rsid w:val="00B77345"/>
    <w:rsid w:val="00BB14A6"/>
    <w:rsid w:val="00BB33FA"/>
    <w:rsid w:val="00BB7A8C"/>
    <w:rsid w:val="00BB7D75"/>
    <w:rsid w:val="00BC7A18"/>
    <w:rsid w:val="00BD4296"/>
    <w:rsid w:val="00BE1B6F"/>
    <w:rsid w:val="00BF0E21"/>
    <w:rsid w:val="00BF1F6B"/>
    <w:rsid w:val="00C01232"/>
    <w:rsid w:val="00C068CB"/>
    <w:rsid w:val="00C12D3C"/>
    <w:rsid w:val="00C227A2"/>
    <w:rsid w:val="00C2658A"/>
    <w:rsid w:val="00C31BD4"/>
    <w:rsid w:val="00C56723"/>
    <w:rsid w:val="00C64971"/>
    <w:rsid w:val="00C7186F"/>
    <w:rsid w:val="00C87AB0"/>
    <w:rsid w:val="00C93D57"/>
    <w:rsid w:val="00C9446D"/>
    <w:rsid w:val="00CA13DF"/>
    <w:rsid w:val="00CB2D41"/>
    <w:rsid w:val="00CB76DD"/>
    <w:rsid w:val="00CC0C5B"/>
    <w:rsid w:val="00CC62A6"/>
    <w:rsid w:val="00CD3E4B"/>
    <w:rsid w:val="00CE503B"/>
    <w:rsid w:val="00D056C1"/>
    <w:rsid w:val="00D179C1"/>
    <w:rsid w:val="00D264BC"/>
    <w:rsid w:val="00D32D52"/>
    <w:rsid w:val="00D44AEC"/>
    <w:rsid w:val="00D45AF3"/>
    <w:rsid w:val="00D85315"/>
    <w:rsid w:val="00D97875"/>
    <w:rsid w:val="00DA181F"/>
    <w:rsid w:val="00DA4561"/>
    <w:rsid w:val="00DA7B3C"/>
    <w:rsid w:val="00DB0149"/>
    <w:rsid w:val="00DB04F0"/>
    <w:rsid w:val="00DB3510"/>
    <w:rsid w:val="00DB3C2B"/>
    <w:rsid w:val="00DB7B29"/>
    <w:rsid w:val="00DC6EA6"/>
    <w:rsid w:val="00DD16C9"/>
    <w:rsid w:val="00DF1535"/>
    <w:rsid w:val="00E10E90"/>
    <w:rsid w:val="00E20589"/>
    <w:rsid w:val="00E2576D"/>
    <w:rsid w:val="00E30008"/>
    <w:rsid w:val="00E32BE4"/>
    <w:rsid w:val="00E345C6"/>
    <w:rsid w:val="00E422BA"/>
    <w:rsid w:val="00E50EAE"/>
    <w:rsid w:val="00E62970"/>
    <w:rsid w:val="00E63293"/>
    <w:rsid w:val="00E6560F"/>
    <w:rsid w:val="00E77F38"/>
    <w:rsid w:val="00E955D9"/>
    <w:rsid w:val="00E97F44"/>
    <w:rsid w:val="00EA64C1"/>
    <w:rsid w:val="00ED1655"/>
    <w:rsid w:val="00ED17A2"/>
    <w:rsid w:val="00ED363D"/>
    <w:rsid w:val="00EE322E"/>
    <w:rsid w:val="00EF59F7"/>
    <w:rsid w:val="00F20065"/>
    <w:rsid w:val="00F24E1B"/>
    <w:rsid w:val="00F3198C"/>
    <w:rsid w:val="00F420FA"/>
    <w:rsid w:val="00F53D09"/>
    <w:rsid w:val="00F9689A"/>
    <w:rsid w:val="00F97580"/>
    <w:rsid w:val="00FA0502"/>
    <w:rsid w:val="00FA481B"/>
    <w:rsid w:val="00FB1DFD"/>
    <w:rsid w:val="00FB5766"/>
    <w:rsid w:val="00FC10F5"/>
    <w:rsid w:val="00FD5DF9"/>
    <w:rsid w:val="00FE3C11"/>
    <w:rsid w:val="00FE7B36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71304"/>
  <w15:docId w15:val="{9C4E2423-103F-4258-B275-6E58BE3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i/>
      <w:sz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40"/>
    </w:p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1"/>
      </w:tabs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pPr>
      <w:tabs>
        <w:tab w:val="right" w:pos="1474"/>
        <w:tab w:val="right" w:leader="dot" w:pos="9071"/>
      </w:tabs>
      <w:ind w:left="720"/>
    </w:p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9314"/>
      </w:tabs>
      <w:ind w:left="12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9314"/>
      </w:tabs>
      <w:ind w:left="144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9314"/>
      </w:tabs>
      <w:ind w:left="168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9314"/>
      </w:tabs>
      <w:ind w:left="19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</w:style>
  <w:style w:type="paragraph" w:customStyle="1" w:styleId="Alinea">
    <w:name w:val="Alinea"/>
    <w:basedOn w:val="Normln"/>
    <w:pPr>
      <w:widowControl/>
      <w:suppressAutoHyphens w:val="0"/>
      <w:jc w:val="both"/>
    </w:pPr>
    <w:rPr>
      <w:spacing w:val="-3"/>
    </w:rPr>
  </w:style>
  <w:style w:type="paragraph" w:styleId="Zkladntextodsazen">
    <w:name w:val="Body Text Indent"/>
    <w:basedOn w:val="Normln"/>
    <w:pPr>
      <w:widowControl/>
      <w:suppressAutoHyphens w:val="0"/>
      <w:ind w:left="1080" w:hanging="180"/>
    </w:pPr>
    <w:rPr>
      <w:sz w:val="22"/>
    </w:rPr>
  </w:style>
  <w:style w:type="paragraph" w:styleId="Zkladntextodsazen2">
    <w:name w:val="Body Text Indent 2"/>
    <w:basedOn w:val="Normln"/>
    <w:pPr>
      <w:widowControl/>
      <w:suppressAutoHyphens w:val="0"/>
      <w:spacing w:before="120" w:after="120"/>
      <w:ind w:left="992"/>
    </w:pPr>
    <w:rPr>
      <w:sz w:val="22"/>
    </w:rPr>
  </w:style>
  <w:style w:type="paragraph" w:styleId="Textvysvtlivek">
    <w:name w:val="endnote text"/>
    <w:basedOn w:val="Normln"/>
    <w:semiHidden/>
    <w:rPr>
      <w:i/>
    </w:rPr>
  </w:style>
  <w:style w:type="paragraph" w:customStyle="1" w:styleId="AHeader1">
    <w:name w:val="AHeader 1"/>
    <w:basedOn w:val="Normln"/>
    <w:pPr>
      <w:widowControl/>
      <w:numPr>
        <w:numId w:val="25"/>
      </w:numPr>
      <w:suppressAutoHyphens w:val="0"/>
      <w:spacing w:after="120"/>
    </w:pPr>
    <w:rPr>
      <w:rFonts w:ascii="Arial" w:hAnsi="Arial"/>
      <w:b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-1440"/>
        <w:tab w:val="left" w:pos="-720"/>
      </w:tabs>
    </w:pPr>
    <w:rPr>
      <w:color w:val="800080"/>
    </w:rPr>
  </w:style>
  <w:style w:type="paragraph" w:styleId="Zkladntext2">
    <w:name w:val="Body Text 2"/>
    <w:basedOn w:val="Normln"/>
    <w:pPr>
      <w:ind w:right="-318"/>
    </w:p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2245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D72A4"/>
    <w:rPr>
      <w:sz w:val="24"/>
      <w:lang w:val="cs-CZ" w:eastAsia="cs-CZ"/>
    </w:rPr>
  </w:style>
  <w:style w:type="character" w:styleId="Odkaznakoment">
    <w:name w:val="annotation reference"/>
    <w:rsid w:val="001D2E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2EBB"/>
    <w:rPr>
      <w:sz w:val="20"/>
    </w:rPr>
  </w:style>
  <w:style w:type="character" w:customStyle="1" w:styleId="TextkomenteChar">
    <w:name w:val="Text komentáře Char"/>
    <w:link w:val="Textkomente"/>
    <w:rsid w:val="001D2EB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1D2EBB"/>
    <w:rPr>
      <w:b/>
      <w:bCs/>
    </w:rPr>
  </w:style>
  <w:style w:type="character" w:customStyle="1" w:styleId="PedmtkomenteChar">
    <w:name w:val="Předmět komentáře Char"/>
    <w:link w:val="Pedmtkomente"/>
    <w:rsid w:val="001D2EBB"/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0C4067"/>
    <w:rPr>
      <w:sz w:val="24"/>
    </w:rPr>
  </w:style>
  <w:style w:type="character" w:styleId="Sledovanodkaz">
    <w:name w:val="FollowedHyperlink"/>
    <w:rsid w:val="00FB1DFD"/>
    <w:rPr>
      <w:color w:val="800080"/>
      <w:u w:val="single"/>
    </w:rPr>
  </w:style>
  <w:style w:type="character" w:customStyle="1" w:styleId="Flietext">
    <w:name w:val="Fließtext"/>
    <w:rsid w:val="00A10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styleId="Odstavecseseznamem">
    <w:name w:val="List Paragraph"/>
    <w:basedOn w:val="Normln"/>
    <w:uiPriority w:val="34"/>
    <w:qFormat/>
    <w:rsid w:val="00680595"/>
    <w:pPr>
      <w:widowControl/>
      <w:suppressAutoHyphens w:val="0"/>
      <w:ind w:left="720"/>
      <w:contextualSpacing/>
    </w:pPr>
    <w:rPr>
      <w:rFonts w:ascii="Segoe UI" w:eastAsia="Segoe UI" w:hAnsi="Segoe UI"/>
      <w:sz w:val="22"/>
      <w:szCs w:val="22"/>
    </w:rPr>
  </w:style>
  <w:style w:type="character" w:customStyle="1" w:styleId="s1">
    <w:name w:val="s1"/>
    <w:rsid w:val="003D7B4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78F2-1448-44FC-A57A-D83F4C19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6551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&lt;PARTICULARS TO APPEAR ON THE OUTER PACKAGE&gt;</vt:lpstr>
      <vt:lpstr>&lt;PARTICULARS TO APPEAR ON THE OUTER PACKAGE&gt;</vt:lpstr>
      <vt:lpstr>&lt;PARTICULARS TO APPEAR ON THE OUTER PACKAGE&gt;</vt:lpstr>
    </vt:vector>
  </TitlesOfParts>
  <Company>Eurovet Animal Health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&lt;PARTICULARS TO APPEAR ON THE OUTER PACKAGE&gt;</dc:title>
  <dc:creator>Eurovet Animal Health</dc:creator>
  <cp:lastModifiedBy>Wojtylová Jana</cp:lastModifiedBy>
  <cp:revision>5</cp:revision>
  <cp:lastPrinted>2022-01-25T11:52:00Z</cp:lastPrinted>
  <dcterms:created xsi:type="dcterms:W3CDTF">2022-01-25T11:29:00Z</dcterms:created>
  <dcterms:modified xsi:type="dcterms:W3CDTF">2022-01-25T11:52:00Z</dcterms:modified>
</cp:coreProperties>
</file>