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D8D8A" w14:textId="5D5001D9" w:rsidR="0052756D" w:rsidRPr="00F2467A" w:rsidRDefault="000E730C" w:rsidP="0052756D">
      <w:pPr>
        <w:pStyle w:val="Zhlav"/>
      </w:pPr>
      <w:r>
        <w:t xml:space="preserve">  </w:t>
      </w:r>
    </w:p>
    <w:p w14:paraId="5C1EE706" w14:textId="77777777" w:rsidR="0081204A" w:rsidRDefault="0081204A">
      <w:pPr>
        <w:tabs>
          <w:tab w:val="clear" w:pos="567"/>
        </w:tabs>
        <w:spacing w:line="240" w:lineRule="auto"/>
        <w:rPr>
          <w:i/>
          <w:color w:val="008000"/>
          <w:u w:val="single"/>
        </w:rPr>
      </w:pPr>
    </w:p>
    <w:p w14:paraId="2891B8BB" w14:textId="77777777" w:rsidR="0081204A" w:rsidRDefault="0081204A">
      <w:pPr>
        <w:tabs>
          <w:tab w:val="clear" w:pos="567"/>
        </w:tabs>
        <w:spacing w:line="240" w:lineRule="auto"/>
        <w:rPr>
          <w:i/>
          <w:color w:val="008000"/>
          <w:u w:val="single"/>
        </w:rPr>
      </w:pPr>
    </w:p>
    <w:p w14:paraId="55C2AB6D" w14:textId="77777777" w:rsidR="00F87517" w:rsidRDefault="00F87517">
      <w:pPr>
        <w:tabs>
          <w:tab w:val="clear" w:pos="567"/>
        </w:tabs>
        <w:spacing w:line="240" w:lineRule="auto"/>
        <w:rPr>
          <w:i/>
          <w:color w:val="008000"/>
        </w:rPr>
      </w:pPr>
    </w:p>
    <w:p w14:paraId="28375DB9" w14:textId="77777777" w:rsidR="00F87517" w:rsidRPr="003A3517" w:rsidRDefault="00F87517">
      <w:pPr>
        <w:tabs>
          <w:tab w:val="clear" w:pos="567"/>
        </w:tabs>
        <w:spacing w:line="240" w:lineRule="auto"/>
        <w:jc w:val="center"/>
      </w:pPr>
    </w:p>
    <w:p w14:paraId="128CE04E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4185C563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43F23185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3D628AE4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087722ED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5D838642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19C2799B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54BFEACD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619F9CDA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435143FE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1FAA3739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60155847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2DE87C14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rPr>
          <w:b/>
        </w:rPr>
      </w:pPr>
    </w:p>
    <w:p w14:paraId="4AECCE67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rPr>
          <w:b/>
        </w:rPr>
      </w:pPr>
    </w:p>
    <w:p w14:paraId="79B715AA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rPr>
          <w:b/>
        </w:rPr>
      </w:pPr>
    </w:p>
    <w:p w14:paraId="7FC70933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rPr>
          <w:b/>
        </w:rPr>
      </w:pPr>
    </w:p>
    <w:p w14:paraId="11B8DFD8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rPr>
          <w:b/>
        </w:rPr>
      </w:pPr>
    </w:p>
    <w:p w14:paraId="7C700DBF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rPr>
          <w:b/>
        </w:rPr>
      </w:pPr>
    </w:p>
    <w:p w14:paraId="71CC6600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rPr>
          <w:b/>
        </w:rPr>
      </w:pPr>
    </w:p>
    <w:p w14:paraId="4971F387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outlineLvl w:val="0"/>
        <w:rPr>
          <w:b/>
        </w:rPr>
      </w:pPr>
      <w:r>
        <w:rPr>
          <w:b/>
        </w:rPr>
        <w:t>B. PŘÍBALOVÁ INFORMACE</w:t>
      </w:r>
    </w:p>
    <w:p w14:paraId="339860AE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</w:pPr>
    </w:p>
    <w:p w14:paraId="77C1B67E" w14:textId="113A807D" w:rsidR="00D501D6" w:rsidRDefault="00D501D6" w:rsidP="002555D1">
      <w:pPr>
        <w:tabs>
          <w:tab w:val="clear" w:pos="567"/>
        </w:tabs>
        <w:spacing w:line="240" w:lineRule="auto"/>
        <w:ind w:right="113"/>
        <w:jc w:val="center"/>
        <w:outlineLvl w:val="0"/>
      </w:pPr>
    </w:p>
    <w:p w14:paraId="2C2FC20C" w14:textId="77777777" w:rsidR="00D501D6" w:rsidRPr="00D501D6" w:rsidRDefault="00D501D6" w:rsidP="00D501D6"/>
    <w:p w14:paraId="4B7110F8" w14:textId="77777777" w:rsidR="00D501D6" w:rsidRPr="00D501D6" w:rsidRDefault="00D501D6" w:rsidP="00D501D6"/>
    <w:p w14:paraId="0C5FF5C8" w14:textId="4BA4DC8D" w:rsidR="00D501D6" w:rsidRDefault="00D501D6" w:rsidP="002555D1">
      <w:pPr>
        <w:tabs>
          <w:tab w:val="clear" w:pos="567"/>
        </w:tabs>
        <w:spacing w:line="240" w:lineRule="auto"/>
        <w:ind w:right="113"/>
        <w:jc w:val="center"/>
        <w:outlineLvl w:val="0"/>
      </w:pPr>
    </w:p>
    <w:p w14:paraId="0EADDAA0" w14:textId="0ACB3D42" w:rsidR="00D501D6" w:rsidRDefault="00D501D6" w:rsidP="00D501D6">
      <w:pPr>
        <w:tabs>
          <w:tab w:val="clear" w:pos="567"/>
          <w:tab w:val="left" w:pos="5067"/>
        </w:tabs>
        <w:spacing w:line="240" w:lineRule="auto"/>
        <w:ind w:right="113"/>
        <w:outlineLvl w:val="0"/>
      </w:pPr>
      <w:r>
        <w:tab/>
      </w:r>
    </w:p>
    <w:p w14:paraId="733D1E95" w14:textId="77777777" w:rsidR="002555D1" w:rsidRDefault="002555D1" w:rsidP="002555D1">
      <w:pPr>
        <w:tabs>
          <w:tab w:val="clear" w:pos="567"/>
        </w:tabs>
        <w:spacing w:line="240" w:lineRule="auto"/>
        <w:ind w:right="113"/>
        <w:jc w:val="center"/>
        <w:outlineLvl w:val="0"/>
      </w:pPr>
      <w:r w:rsidRPr="00D501D6">
        <w:br w:type="page"/>
      </w:r>
      <w:r>
        <w:rPr>
          <w:b/>
        </w:rPr>
        <w:lastRenderedPageBreak/>
        <w:t>PŘÍBALOVÁ INFORMACE</w:t>
      </w:r>
    </w:p>
    <w:p w14:paraId="62562122" w14:textId="7F1E23FF" w:rsidR="002555D1" w:rsidRDefault="00740780" w:rsidP="004412AE">
      <w:pPr>
        <w:tabs>
          <w:tab w:val="clear" w:pos="567"/>
        </w:tabs>
        <w:spacing w:line="240" w:lineRule="auto"/>
        <w:jc w:val="center"/>
        <w:rPr>
          <w:b/>
          <w:bCs/>
        </w:rPr>
      </w:pPr>
      <w:proofErr w:type="spellStart"/>
      <w:r>
        <w:rPr>
          <w:b/>
        </w:rPr>
        <w:t>Menbutil</w:t>
      </w:r>
      <w:proofErr w:type="spellEnd"/>
      <w:r>
        <w:rPr>
          <w:b/>
        </w:rPr>
        <w:t xml:space="preserve"> 100 mg/ml injekční roztok pro skot, prasata, koně, ovce a kozy </w:t>
      </w:r>
    </w:p>
    <w:p w14:paraId="1D41FB68" w14:textId="77777777" w:rsidR="002555D1" w:rsidRDefault="002555D1" w:rsidP="002555D1">
      <w:pPr>
        <w:tabs>
          <w:tab w:val="clear" w:pos="567"/>
        </w:tabs>
        <w:spacing w:line="240" w:lineRule="auto"/>
        <w:jc w:val="center"/>
        <w:rPr>
          <w:b/>
          <w:bCs/>
        </w:rPr>
      </w:pPr>
    </w:p>
    <w:p w14:paraId="07568765" w14:textId="77777777" w:rsidR="002555D1" w:rsidRDefault="002555D1" w:rsidP="002555D1">
      <w:pPr>
        <w:tabs>
          <w:tab w:val="clear" w:pos="567"/>
        </w:tabs>
        <w:spacing w:line="240" w:lineRule="auto"/>
        <w:jc w:val="center"/>
        <w:rPr>
          <w:b/>
          <w:bCs/>
        </w:rPr>
      </w:pPr>
    </w:p>
    <w:p w14:paraId="1D94F387" w14:textId="77777777" w:rsidR="002555D1" w:rsidRDefault="002555D1" w:rsidP="002555D1">
      <w:pPr>
        <w:spacing w:line="240" w:lineRule="auto"/>
        <w:ind w:left="567" w:hanging="567"/>
        <w:rPr>
          <w:b/>
        </w:rPr>
      </w:pPr>
      <w:r>
        <w:rPr>
          <w:b/>
        </w:rPr>
        <w:t>1.</w:t>
      </w:r>
      <w:r>
        <w:rPr>
          <w:b/>
        </w:rPr>
        <w:tab/>
        <w:t>JMÉNO A ADRESA DRŽITELE ROZHODNUTÍ O REGISTRACI A DRŽITELE POVOLENÍ K VÝROBĚ ODPOVĚDNÉHO ZA UVOLNĚNÍ ŠARŽE, POKUD SE NESHODUJE</w:t>
      </w:r>
    </w:p>
    <w:p w14:paraId="764F409B" w14:textId="77777777" w:rsidR="002555D1" w:rsidRDefault="002555D1" w:rsidP="002555D1">
      <w:pPr>
        <w:spacing w:line="240" w:lineRule="auto"/>
        <w:ind w:left="567" w:hanging="567"/>
        <w:rPr>
          <w:b/>
        </w:rPr>
      </w:pPr>
    </w:p>
    <w:p w14:paraId="596E6DD9" w14:textId="52A17033" w:rsidR="002555D1" w:rsidRDefault="002555D1" w:rsidP="002555D1">
      <w:pPr>
        <w:tabs>
          <w:tab w:val="clear" w:pos="567"/>
        </w:tabs>
        <w:spacing w:line="240" w:lineRule="auto"/>
        <w:outlineLvl w:val="0"/>
        <w:rPr>
          <w:iCs/>
        </w:rPr>
      </w:pPr>
      <w:r>
        <w:rPr>
          <w:u w:val="single"/>
        </w:rPr>
        <w:t>Držitel rozhodnutí o registraci</w:t>
      </w:r>
      <w:r>
        <w:t>:</w:t>
      </w:r>
    </w:p>
    <w:p w14:paraId="7C78FB44" w14:textId="77777777" w:rsidR="002555D1" w:rsidRDefault="002555D1" w:rsidP="002555D1">
      <w:pPr>
        <w:tabs>
          <w:tab w:val="clear" w:pos="567"/>
        </w:tabs>
        <w:spacing w:line="240" w:lineRule="auto"/>
        <w:rPr>
          <w:iCs/>
        </w:rPr>
      </w:pPr>
    </w:p>
    <w:p w14:paraId="484C4CF3" w14:textId="77777777" w:rsidR="002555D1" w:rsidRPr="00C43087" w:rsidRDefault="002555D1" w:rsidP="002555D1">
      <w:pPr>
        <w:jc w:val="both"/>
        <w:rPr>
          <w:szCs w:val="28"/>
        </w:rPr>
      </w:pPr>
      <w:proofErr w:type="spellStart"/>
      <w:r>
        <w:t>aniMedica</w:t>
      </w:r>
      <w:proofErr w:type="spellEnd"/>
      <w:r>
        <w:t xml:space="preserve"> GmbH</w:t>
      </w:r>
    </w:p>
    <w:p w14:paraId="3230D9D3" w14:textId="77777777" w:rsidR="002555D1" w:rsidRPr="00C43087" w:rsidRDefault="002555D1" w:rsidP="002555D1">
      <w:pPr>
        <w:jc w:val="both"/>
        <w:rPr>
          <w:szCs w:val="28"/>
        </w:rPr>
      </w:pPr>
      <w:proofErr w:type="spellStart"/>
      <w:r>
        <w:t>Im</w:t>
      </w:r>
      <w:proofErr w:type="spellEnd"/>
      <w:r>
        <w:t xml:space="preserve"> </w:t>
      </w:r>
      <w:proofErr w:type="spellStart"/>
      <w:r>
        <w:t>Südfeld</w:t>
      </w:r>
      <w:proofErr w:type="spellEnd"/>
      <w:r>
        <w:t xml:space="preserve"> 9</w:t>
      </w:r>
    </w:p>
    <w:p w14:paraId="17213B70" w14:textId="77777777" w:rsidR="002555D1" w:rsidRPr="00C43087" w:rsidRDefault="002555D1" w:rsidP="002555D1">
      <w:pPr>
        <w:jc w:val="both"/>
        <w:rPr>
          <w:szCs w:val="28"/>
        </w:rPr>
      </w:pPr>
      <w:r>
        <w:t xml:space="preserve">48308 </w:t>
      </w:r>
      <w:proofErr w:type="spellStart"/>
      <w:r>
        <w:t>Senden-Bösensell</w:t>
      </w:r>
      <w:proofErr w:type="spellEnd"/>
    </w:p>
    <w:p w14:paraId="70F1EB9C" w14:textId="77777777" w:rsidR="002555D1" w:rsidRDefault="002555D1" w:rsidP="002555D1">
      <w:pPr>
        <w:jc w:val="both"/>
      </w:pPr>
      <w:r>
        <w:t>Německo</w:t>
      </w:r>
    </w:p>
    <w:p w14:paraId="50A70A99" w14:textId="77777777" w:rsidR="00073FF5" w:rsidRDefault="00073FF5" w:rsidP="002555D1">
      <w:pPr>
        <w:jc w:val="both"/>
      </w:pPr>
    </w:p>
    <w:p w14:paraId="6351844E" w14:textId="77777777" w:rsidR="00073FF5" w:rsidRDefault="00073FF5" w:rsidP="00073FF5">
      <w:pPr>
        <w:jc w:val="both"/>
        <w:rPr>
          <w:szCs w:val="28"/>
        </w:rPr>
      </w:pPr>
      <w:r w:rsidRPr="00F30D3F">
        <w:rPr>
          <w:bCs/>
          <w:u w:val="single"/>
        </w:rPr>
        <w:t>Výrobce odpovědný za uvolnění šarže</w:t>
      </w:r>
      <w:r w:rsidRPr="00F30D3F">
        <w:t>:</w:t>
      </w:r>
    </w:p>
    <w:p w14:paraId="494DA1D7" w14:textId="77777777" w:rsidR="00073FF5" w:rsidRPr="00C43087" w:rsidRDefault="00073FF5" w:rsidP="00073FF5">
      <w:pPr>
        <w:jc w:val="both"/>
        <w:rPr>
          <w:szCs w:val="28"/>
        </w:rPr>
      </w:pPr>
      <w:proofErr w:type="spellStart"/>
      <w:r>
        <w:t>aniMedica</w:t>
      </w:r>
      <w:proofErr w:type="spellEnd"/>
      <w:r>
        <w:t xml:space="preserve"> GmbH</w:t>
      </w:r>
    </w:p>
    <w:p w14:paraId="42469876" w14:textId="77777777" w:rsidR="00073FF5" w:rsidRPr="00C43087" w:rsidRDefault="00073FF5" w:rsidP="00073FF5">
      <w:pPr>
        <w:jc w:val="both"/>
        <w:rPr>
          <w:szCs w:val="28"/>
        </w:rPr>
      </w:pPr>
      <w:proofErr w:type="spellStart"/>
      <w:r>
        <w:t>Im</w:t>
      </w:r>
      <w:proofErr w:type="spellEnd"/>
      <w:r>
        <w:t xml:space="preserve"> </w:t>
      </w:r>
      <w:proofErr w:type="spellStart"/>
      <w:r>
        <w:t>Südfeld</w:t>
      </w:r>
      <w:proofErr w:type="spellEnd"/>
      <w:r>
        <w:t xml:space="preserve"> 9</w:t>
      </w:r>
    </w:p>
    <w:p w14:paraId="2953BB2A" w14:textId="77777777" w:rsidR="00073FF5" w:rsidRPr="00C43087" w:rsidRDefault="00073FF5" w:rsidP="00073FF5">
      <w:pPr>
        <w:jc w:val="both"/>
        <w:rPr>
          <w:szCs w:val="28"/>
        </w:rPr>
      </w:pPr>
      <w:r>
        <w:t xml:space="preserve">48308 </w:t>
      </w:r>
      <w:proofErr w:type="spellStart"/>
      <w:r>
        <w:t>Senden-Bösensell</w:t>
      </w:r>
      <w:proofErr w:type="spellEnd"/>
    </w:p>
    <w:p w14:paraId="0C3FFB00" w14:textId="77777777" w:rsidR="00073FF5" w:rsidRDefault="00073FF5" w:rsidP="00073FF5">
      <w:pPr>
        <w:jc w:val="both"/>
      </w:pPr>
      <w:r>
        <w:t>Německo</w:t>
      </w:r>
    </w:p>
    <w:p w14:paraId="0D8CE015" w14:textId="77777777" w:rsidR="00073FF5" w:rsidRDefault="00073FF5" w:rsidP="00073FF5">
      <w:pPr>
        <w:tabs>
          <w:tab w:val="clear" w:pos="567"/>
        </w:tabs>
        <w:spacing w:line="240" w:lineRule="auto"/>
      </w:pPr>
    </w:p>
    <w:p w14:paraId="707D3821" w14:textId="77777777" w:rsidR="00073FF5" w:rsidRPr="00FA52E6" w:rsidRDefault="00073FF5" w:rsidP="00073FF5">
      <w:pPr>
        <w:pStyle w:val="TextkrperGebrauchsinformation"/>
        <w:rPr>
          <w:lang w:val="it-IT"/>
        </w:rPr>
      </w:pPr>
      <w:r w:rsidRPr="00FA52E6">
        <w:rPr>
          <w:lang w:val="it-IT"/>
        </w:rPr>
        <w:t>Industrial Veterinaria, S.A.</w:t>
      </w:r>
    </w:p>
    <w:p w14:paraId="0EDF342A" w14:textId="77777777" w:rsidR="00073FF5" w:rsidRPr="00FA52E6" w:rsidRDefault="00073FF5" w:rsidP="00073FF5">
      <w:pPr>
        <w:pStyle w:val="TextkrperGebrauchsinformation"/>
        <w:rPr>
          <w:lang w:val="it-IT"/>
        </w:rPr>
      </w:pPr>
      <w:r w:rsidRPr="00FA52E6">
        <w:rPr>
          <w:lang w:val="it-IT"/>
        </w:rPr>
        <w:t>Esmeralda 19</w:t>
      </w:r>
    </w:p>
    <w:p w14:paraId="23E0F192" w14:textId="77777777" w:rsidR="00073FF5" w:rsidRPr="00FA52E6" w:rsidRDefault="00073FF5" w:rsidP="00073FF5">
      <w:pPr>
        <w:pStyle w:val="TextkrperGebrauchsinformation"/>
        <w:rPr>
          <w:lang w:val="it-IT"/>
        </w:rPr>
      </w:pPr>
      <w:r w:rsidRPr="00FA52E6">
        <w:rPr>
          <w:lang w:val="it-IT"/>
        </w:rPr>
        <w:t>08950 Esplugues de Llobregat</w:t>
      </w:r>
    </w:p>
    <w:p w14:paraId="07A03E5E" w14:textId="77777777" w:rsidR="00073FF5" w:rsidRPr="00FA52E6" w:rsidRDefault="00073FF5" w:rsidP="00073FF5">
      <w:pPr>
        <w:pStyle w:val="TextkrperGebrauchsinformation"/>
        <w:rPr>
          <w:lang w:val="it-IT"/>
        </w:rPr>
      </w:pPr>
      <w:r w:rsidRPr="00FA52E6">
        <w:rPr>
          <w:lang w:val="it-IT"/>
        </w:rPr>
        <w:t>Barcelona</w:t>
      </w:r>
    </w:p>
    <w:p w14:paraId="298544D6" w14:textId="77777777" w:rsidR="00073FF5" w:rsidRDefault="00073FF5" w:rsidP="00073FF5">
      <w:pPr>
        <w:tabs>
          <w:tab w:val="clear" w:pos="567"/>
        </w:tabs>
        <w:spacing w:line="240" w:lineRule="auto"/>
        <w:jc w:val="both"/>
      </w:pPr>
      <w:r w:rsidRPr="00FA52E6">
        <w:rPr>
          <w:snapToGrid w:val="0"/>
          <w:szCs w:val="22"/>
          <w:lang w:val="it-IT"/>
        </w:rPr>
        <w:t>Španělsko</w:t>
      </w:r>
    </w:p>
    <w:p w14:paraId="0BE8BB28" w14:textId="18E04A63" w:rsidR="002555D1" w:rsidRDefault="002555D1" w:rsidP="002555D1">
      <w:pPr>
        <w:tabs>
          <w:tab w:val="clear" w:pos="567"/>
        </w:tabs>
        <w:spacing w:line="240" w:lineRule="auto"/>
      </w:pPr>
    </w:p>
    <w:p w14:paraId="6F9280A5" w14:textId="77777777" w:rsidR="00C846E6" w:rsidRDefault="00C846E6" w:rsidP="002555D1">
      <w:pPr>
        <w:tabs>
          <w:tab w:val="clear" w:pos="567"/>
        </w:tabs>
        <w:spacing w:line="240" w:lineRule="auto"/>
      </w:pPr>
    </w:p>
    <w:p w14:paraId="7A60AE31" w14:textId="77777777" w:rsidR="002555D1" w:rsidRDefault="002555D1" w:rsidP="002555D1">
      <w:pPr>
        <w:spacing w:line="240" w:lineRule="auto"/>
        <w:ind w:left="567" w:hanging="567"/>
      </w:pPr>
      <w:r>
        <w:rPr>
          <w:b/>
        </w:rPr>
        <w:t>2.</w:t>
      </w:r>
      <w:r>
        <w:rPr>
          <w:b/>
        </w:rPr>
        <w:tab/>
        <w:t>NÁZEV VETERINÁRNÍHO LÉČIVÉHO PŘÍPRAVKU</w:t>
      </w:r>
    </w:p>
    <w:p w14:paraId="6A0784A3" w14:textId="77777777" w:rsidR="002555D1" w:rsidRDefault="002555D1" w:rsidP="002555D1">
      <w:pPr>
        <w:tabs>
          <w:tab w:val="clear" w:pos="567"/>
        </w:tabs>
        <w:spacing w:line="240" w:lineRule="auto"/>
      </w:pPr>
    </w:p>
    <w:p w14:paraId="3D783E5A" w14:textId="4257DBEE" w:rsidR="002555D1" w:rsidRDefault="002555D1" w:rsidP="002555D1">
      <w:pPr>
        <w:tabs>
          <w:tab w:val="clear" w:pos="567"/>
        </w:tabs>
        <w:spacing w:line="240" w:lineRule="auto"/>
        <w:outlineLvl w:val="0"/>
      </w:pPr>
      <w:proofErr w:type="spellStart"/>
      <w:r>
        <w:t>Menbutil</w:t>
      </w:r>
      <w:proofErr w:type="spellEnd"/>
      <w:r>
        <w:t xml:space="preserve"> 100 mg/ml injekční roztok pro skot, prasata, koně, ovce a kozy</w:t>
      </w:r>
    </w:p>
    <w:p w14:paraId="48FCD411" w14:textId="7783B3DF" w:rsidR="002555D1" w:rsidRDefault="002555D1" w:rsidP="002555D1">
      <w:pPr>
        <w:tabs>
          <w:tab w:val="clear" w:pos="567"/>
        </w:tabs>
        <w:spacing w:line="240" w:lineRule="auto"/>
      </w:pPr>
      <w:proofErr w:type="spellStart"/>
      <w:r>
        <w:t>Menbuton</w:t>
      </w:r>
      <w:r w:rsidR="004412AE">
        <w:t>um</w:t>
      </w:r>
      <w:proofErr w:type="spellEnd"/>
    </w:p>
    <w:p w14:paraId="2660740F" w14:textId="625E1B1F" w:rsidR="002555D1" w:rsidRDefault="002555D1" w:rsidP="002555D1">
      <w:pPr>
        <w:tabs>
          <w:tab w:val="clear" w:pos="567"/>
        </w:tabs>
        <w:spacing w:line="240" w:lineRule="auto"/>
      </w:pPr>
    </w:p>
    <w:p w14:paraId="4F4364BA" w14:textId="77777777" w:rsidR="00C846E6" w:rsidRDefault="00C846E6" w:rsidP="002555D1">
      <w:pPr>
        <w:tabs>
          <w:tab w:val="clear" w:pos="567"/>
        </w:tabs>
        <w:spacing w:line="240" w:lineRule="auto"/>
      </w:pPr>
    </w:p>
    <w:p w14:paraId="5D511BCB" w14:textId="77777777" w:rsidR="002555D1" w:rsidRDefault="002555D1" w:rsidP="002555D1">
      <w:pPr>
        <w:spacing w:line="240" w:lineRule="auto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>OBSAH LÉČIVÝCH A OSTATNÍCH LÁTEK</w:t>
      </w:r>
    </w:p>
    <w:p w14:paraId="0BA42B5E" w14:textId="77777777" w:rsidR="002555D1" w:rsidRDefault="002555D1" w:rsidP="002555D1">
      <w:pPr>
        <w:spacing w:line="240" w:lineRule="auto"/>
        <w:ind w:left="567" w:hanging="567"/>
        <w:rPr>
          <w:b/>
        </w:rPr>
      </w:pPr>
    </w:p>
    <w:p w14:paraId="342068DA" w14:textId="2DEE049D" w:rsidR="002555D1" w:rsidRDefault="00056677" w:rsidP="00327B33">
      <w:pPr>
        <w:tabs>
          <w:tab w:val="clear" w:pos="567"/>
        </w:tabs>
        <w:spacing w:line="240" w:lineRule="auto"/>
      </w:pPr>
      <w:r>
        <w:t xml:space="preserve">Každý </w:t>
      </w:r>
      <w:r w:rsidR="002555D1">
        <w:t>ml obsahuje:</w:t>
      </w:r>
    </w:p>
    <w:p w14:paraId="5A633368" w14:textId="77777777" w:rsidR="002555D1" w:rsidRDefault="002555D1" w:rsidP="002555D1">
      <w:pPr>
        <w:tabs>
          <w:tab w:val="clear" w:pos="567"/>
        </w:tabs>
        <w:spacing w:line="240" w:lineRule="auto"/>
      </w:pPr>
    </w:p>
    <w:p w14:paraId="2AB8102C" w14:textId="77777777" w:rsidR="002555D1" w:rsidRPr="004C0651" w:rsidRDefault="002555D1" w:rsidP="002555D1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Léčivá látka:</w:t>
      </w:r>
    </w:p>
    <w:p w14:paraId="72513755" w14:textId="3F9D21B0" w:rsidR="002555D1" w:rsidRDefault="002555D1" w:rsidP="002555D1">
      <w:pPr>
        <w:tabs>
          <w:tab w:val="clear" w:pos="567"/>
        </w:tabs>
        <w:spacing w:line="240" w:lineRule="auto"/>
      </w:pPr>
      <w:proofErr w:type="spellStart"/>
      <w:r>
        <w:t>Menbuton</w:t>
      </w:r>
      <w:r w:rsidR="004412AE">
        <w:t>um</w:t>
      </w:r>
      <w:proofErr w:type="spellEnd"/>
      <w:r>
        <w:tab/>
      </w:r>
      <w:r>
        <w:tab/>
      </w:r>
      <w:r>
        <w:tab/>
        <w:t>100,0 mg</w:t>
      </w:r>
    </w:p>
    <w:p w14:paraId="30C49F6E" w14:textId="77777777" w:rsidR="002555D1" w:rsidRDefault="002555D1" w:rsidP="002555D1">
      <w:pPr>
        <w:tabs>
          <w:tab w:val="clear" w:pos="567"/>
        </w:tabs>
        <w:spacing w:line="240" w:lineRule="auto"/>
      </w:pPr>
    </w:p>
    <w:p w14:paraId="02251A01" w14:textId="77777777" w:rsidR="002555D1" w:rsidRPr="004C0651" w:rsidRDefault="002555D1" w:rsidP="002555D1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Pomocné látky:</w:t>
      </w:r>
    </w:p>
    <w:p w14:paraId="64634013" w14:textId="77777777" w:rsidR="002555D1" w:rsidRPr="009C1C59" w:rsidRDefault="002555D1" w:rsidP="002555D1">
      <w:pPr>
        <w:tabs>
          <w:tab w:val="clear" w:pos="567"/>
        </w:tabs>
        <w:spacing w:line="240" w:lineRule="auto"/>
      </w:pPr>
      <w:proofErr w:type="spellStart"/>
      <w:r>
        <w:t>Chlorkresol</w:t>
      </w:r>
      <w:proofErr w:type="spellEnd"/>
      <w:r>
        <w:tab/>
      </w:r>
      <w:r>
        <w:tab/>
      </w:r>
      <w:r>
        <w:tab/>
      </w:r>
      <w:r w:rsidR="00444401">
        <w:tab/>
      </w:r>
      <w:r>
        <w:t>2,0 mg</w:t>
      </w:r>
    </w:p>
    <w:p w14:paraId="4E9DFD15" w14:textId="77777777" w:rsidR="002555D1" w:rsidRPr="009C1C59" w:rsidRDefault="002555D1" w:rsidP="002555D1">
      <w:pPr>
        <w:tabs>
          <w:tab w:val="clear" w:pos="567"/>
        </w:tabs>
        <w:spacing w:line="240" w:lineRule="auto"/>
      </w:pPr>
      <w:proofErr w:type="spellStart"/>
      <w:r>
        <w:t>Disiřičitan</w:t>
      </w:r>
      <w:proofErr w:type="spellEnd"/>
      <w:r>
        <w:t xml:space="preserve"> sodný (E 223)</w:t>
      </w:r>
      <w:r>
        <w:tab/>
      </w:r>
      <w:r>
        <w:tab/>
        <w:t>2,0 mg</w:t>
      </w:r>
    </w:p>
    <w:p w14:paraId="1E02F9DB" w14:textId="77777777" w:rsidR="002555D1" w:rsidRPr="00E80AB1" w:rsidRDefault="002555D1" w:rsidP="002555D1">
      <w:pPr>
        <w:tabs>
          <w:tab w:val="clear" w:pos="567"/>
        </w:tabs>
        <w:spacing w:line="240" w:lineRule="auto"/>
      </w:pPr>
    </w:p>
    <w:p w14:paraId="7337F742" w14:textId="77777777" w:rsidR="002555D1" w:rsidRDefault="002555D1" w:rsidP="002555D1">
      <w:pPr>
        <w:tabs>
          <w:tab w:val="clear" w:pos="567"/>
        </w:tabs>
        <w:spacing w:line="240" w:lineRule="auto"/>
      </w:pPr>
      <w:r>
        <w:t>Čirý, slabě žlutý roztok.</w:t>
      </w:r>
    </w:p>
    <w:p w14:paraId="4515A1BA" w14:textId="7F39E573" w:rsidR="002555D1" w:rsidRDefault="002555D1" w:rsidP="002555D1">
      <w:pPr>
        <w:tabs>
          <w:tab w:val="clear" w:pos="567"/>
        </w:tabs>
        <w:spacing w:line="240" w:lineRule="auto"/>
        <w:rPr>
          <w:iCs/>
        </w:rPr>
      </w:pPr>
    </w:p>
    <w:p w14:paraId="6B246CFA" w14:textId="77777777" w:rsidR="003A3517" w:rsidRDefault="003A3517" w:rsidP="002555D1">
      <w:pPr>
        <w:tabs>
          <w:tab w:val="clear" w:pos="567"/>
        </w:tabs>
        <w:spacing w:line="240" w:lineRule="auto"/>
        <w:rPr>
          <w:iCs/>
        </w:rPr>
      </w:pPr>
    </w:p>
    <w:p w14:paraId="69EA350F" w14:textId="77777777" w:rsidR="002555D1" w:rsidRDefault="002555D1" w:rsidP="002555D1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4.</w:t>
      </w:r>
      <w:r>
        <w:rPr>
          <w:b/>
        </w:rPr>
        <w:tab/>
        <w:t>INDIKACE</w:t>
      </w:r>
    </w:p>
    <w:p w14:paraId="59026E25" w14:textId="77777777" w:rsidR="002555D1" w:rsidRDefault="002555D1" w:rsidP="002555D1">
      <w:pPr>
        <w:tabs>
          <w:tab w:val="clear" w:pos="567"/>
        </w:tabs>
        <w:spacing w:line="240" w:lineRule="auto"/>
      </w:pPr>
    </w:p>
    <w:p w14:paraId="4D485848" w14:textId="4905EB09" w:rsidR="002555D1" w:rsidRDefault="002555D1" w:rsidP="002555D1">
      <w:pPr>
        <w:outlineLvl w:val="0"/>
      </w:pPr>
      <w:r>
        <w:t xml:space="preserve">Stimulace činnosti jater a trávicího traktu v případě digestivních poruch a </w:t>
      </w:r>
      <w:r w:rsidR="00433092">
        <w:t>jaterní insuficienc</w:t>
      </w:r>
      <w:r w:rsidR="004726A1">
        <w:t>e</w:t>
      </w:r>
      <w:r>
        <w:t>.</w:t>
      </w:r>
    </w:p>
    <w:p w14:paraId="6B6FB000" w14:textId="6F75AAEE" w:rsidR="002555D1" w:rsidRDefault="002555D1" w:rsidP="002555D1"/>
    <w:p w14:paraId="102B4CE6" w14:textId="77777777" w:rsidR="003A3517" w:rsidRDefault="003A3517" w:rsidP="002555D1"/>
    <w:p w14:paraId="36BFD4C8" w14:textId="77777777" w:rsidR="002555D1" w:rsidRDefault="002555D1" w:rsidP="002555D1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KONTRAINDIKACE</w:t>
      </w:r>
    </w:p>
    <w:p w14:paraId="7852BBF8" w14:textId="77777777" w:rsidR="002555D1" w:rsidRDefault="002555D1" w:rsidP="002555D1">
      <w:pPr>
        <w:tabs>
          <w:tab w:val="clear" w:pos="567"/>
        </w:tabs>
        <w:spacing w:line="240" w:lineRule="auto"/>
      </w:pPr>
    </w:p>
    <w:p w14:paraId="19020598" w14:textId="77777777" w:rsidR="002555D1" w:rsidRDefault="002555D1" w:rsidP="002555D1">
      <w:pPr>
        <w:jc w:val="both"/>
        <w:outlineLvl w:val="0"/>
      </w:pPr>
      <w:r>
        <w:t>Nepoužívat v případě přecitlivělosti na léčivou látku nebo na některou z pomocných látek.</w:t>
      </w:r>
    </w:p>
    <w:p w14:paraId="7D9D4C4A" w14:textId="0316926A" w:rsidR="002555D1" w:rsidRDefault="002555D1" w:rsidP="002555D1">
      <w:pPr>
        <w:jc w:val="both"/>
        <w:outlineLvl w:val="0"/>
      </w:pPr>
      <w:r>
        <w:t xml:space="preserve">Nepoužívat u zvířat s onemocněním </w:t>
      </w:r>
      <w:r w:rsidR="00433092">
        <w:t xml:space="preserve">srdce </w:t>
      </w:r>
      <w:r>
        <w:t>nebo v pozdních stádiích březosti.</w:t>
      </w:r>
    </w:p>
    <w:p w14:paraId="1684BC4E" w14:textId="6831BE56" w:rsidR="002555D1" w:rsidRDefault="002555D1" w:rsidP="002555D1">
      <w:pPr>
        <w:tabs>
          <w:tab w:val="clear" w:pos="567"/>
        </w:tabs>
        <w:spacing w:line="240" w:lineRule="auto"/>
      </w:pPr>
    </w:p>
    <w:p w14:paraId="7D38B4E7" w14:textId="77777777" w:rsidR="002555D1" w:rsidRDefault="002555D1" w:rsidP="002555D1">
      <w:pPr>
        <w:spacing w:line="240" w:lineRule="auto"/>
        <w:ind w:left="567" w:hanging="567"/>
      </w:pPr>
      <w:r>
        <w:rPr>
          <w:b/>
        </w:rPr>
        <w:t>6.</w:t>
      </w:r>
      <w:r>
        <w:rPr>
          <w:b/>
        </w:rPr>
        <w:tab/>
        <w:t>NEŽÁDOUCÍ ÚČINKY</w:t>
      </w:r>
    </w:p>
    <w:p w14:paraId="03810772" w14:textId="77777777" w:rsidR="002555D1" w:rsidRDefault="002555D1" w:rsidP="002555D1">
      <w:pPr>
        <w:tabs>
          <w:tab w:val="clear" w:pos="567"/>
        </w:tabs>
        <w:spacing w:line="240" w:lineRule="auto"/>
      </w:pPr>
    </w:p>
    <w:p w14:paraId="080747E8" w14:textId="77777777" w:rsidR="002555D1" w:rsidRDefault="002555D1" w:rsidP="00073FF5">
      <w:pPr>
        <w:jc w:val="both"/>
      </w:pPr>
      <w:r>
        <w:t>Po intravenózním podání se může vyskytnout slinění, slzení, třesy, spontánní močení a defekace.</w:t>
      </w:r>
    </w:p>
    <w:p w14:paraId="1A5E3832" w14:textId="13FB8D54" w:rsidR="002555D1" w:rsidRDefault="002555D1" w:rsidP="00073FF5">
      <w:pPr>
        <w:tabs>
          <w:tab w:val="clear" w:pos="567"/>
        </w:tabs>
        <w:spacing w:line="240" w:lineRule="auto"/>
        <w:jc w:val="both"/>
      </w:pPr>
      <w:r>
        <w:t xml:space="preserve">Po intramuskulárním podání může dojít k reakci v místě </w:t>
      </w:r>
      <w:r w:rsidR="007D3C48">
        <w:t xml:space="preserve">injekčního podání </w:t>
      </w:r>
      <w:r>
        <w:t>(edém, krvácení, nekróza).</w:t>
      </w:r>
    </w:p>
    <w:p w14:paraId="0DA0C134" w14:textId="77777777" w:rsidR="0052756D" w:rsidRDefault="0052756D" w:rsidP="0052756D">
      <w:pPr>
        <w:spacing w:line="240" w:lineRule="auto"/>
      </w:pPr>
      <w:r>
        <w:t>Občas je pozorován neklid a zvýšená dechová frekvence.</w:t>
      </w:r>
    </w:p>
    <w:p w14:paraId="6B20B344" w14:textId="77777777" w:rsidR="0052756D" w:rsidRDefault="0052756D" w:rsidP="0052756D">
      <w:pPr>
        <w:spacing w:line="240" w:lineRule="auto"/>
      </w:pPr>
      <w:r>
        <w:t>Ve vzácných případech se může objevit přechodné ulehnutí, zejména u skotu a po rychlém intravenózním podání.</w:t>
      </w:r>
    </w:p>
    <w:p w14:paraId="2B9E9063" w14:textId="52094DF6" w:rsidR="002555D1" w:rsidRDefault="002555D1" w:rsidP="00073FF5">
      <w:pPr>
        <w:spacing w:line="240" w:lineRule="auto"/>
        <w:jc w:val="both"/>
      </w:pPr>
      <w:r>
        <w:t>Ve velmi vzácných případech se mohou vyskytnout reakce anafylaktického typu</w:t>
      </w:r>
      <w:r w:rsidR="00433092">
        <w:t>, které se</w:t>
      </w:r>
      <w:r>
        <w:t xml:space="preserve"> léč</w:t>
      </w:r>
      <w:r w:rsidR="00433092">
        <w:t>í</w:t>
      </w:r>
      <w:r>
        <w:t xml:space="preserve"> symptomaticky.</w:t>
      </w:r>
    </w:p>
    <w:p w14:paraId="7D15DE9B" w14:textId="77777777" w:rsidR="002555D1" w:rsidRPr="00E80AB1" w:rsidRDefault="002555D1" w:rsidP="00073FF5">
      <w:pPr>
        <w:spacing w:line="240" w:lineRule="auto"/>
        <w:jc w:val="both"/>
      </w:pPr>
    </w:p>
    <w:p w14:paraId="3222ADAD" w14:textId="77777777" w:rsidR="0052756D" w:rsidRDefault="0052756D" w:rsidP="0052756D">
      <w:pPr>
        <w:keepNext/>
      </w:pPr>
      <w:r>
        <w:t>Četnost nežádoucích účinků je charakterizována podle následujících pravidel:</w:t>
      </w:r>
    </w:p>
    <w:p w14:paraId="776D91F9" w14:textId="77777777" w:rsidR="0052756D" w:rsidRDefault="0052756D" w:rsidP="0052756D">
      <w:pPr>
        <w:keepNext/>
      </w:pPr>
      <w:r>
        <w:t>- velmi časté (nežádoucí účinek(</w:t>
      </w:r>
      <w:proofErr w:type="spellStart"/>
      <w:r>
        <w:t>nky</w:t>
      </w:r>
      <w:proofErr w:type="spellEnd"/>
      <w:r>
        <w:t>) se projevil(y) u více než 1 z 10 ošetřených zvířat)</w:t>
      </w:r>
    </w:p>
    <w:p w14:paraId="4185EC47" w14:textId="77777777" w:rsidR="0052756D" w:rsidRDefault="0052756D" w:rsidP="0052756D">
      <w:pPr>
        <w:keepNext/>
      </w:pPr>
      <w:r>
        <w:t>- časté (u více než 1, ale méně než 10 ze 100 ošetřených zvířat)</w:t>
      </w:r>
    </w:p>
    <w:p w14:paraId="49C62C25" w14:textId="77777777" w:rsidR="0052756D" w:rsidRDefault="0052756D" w:rsidP="0052756D">
      <w:pPr>
        <w:keepNext/>
      </w:pPr>
      <w:r>
        <w:t>- neobvyklé (u více než 1, ale méně než 10 z 1000 ošetřených zvířat)</w:t>
      </w:r>
    </w:p>
    <w:p w14:paraId="529864CD" w14:textId="77777777" w:rsidR="0052756D" w:rsidRDefault="0052756D" w:rsidP="0052756D">
      <w:pPr>
        <w:keepNext/>
      </w:pPr>
      <w:r>
        <w:t xml:space="preserve">- vzácné (u více než 1, ale méně než 10 </w:t>
      </w:r>
      <w:proofErr w:type="gramStart"/>
      <w:r>
        <w:t>z  10000</w:t>
      </w:r>
      <w:proofErr w:type="gramEnd"/>
      <w:r>
        <w:t xml:space="preserve"> ošetřených zvířat)</w:t>
      </w:r>
    </w:p>
    <w:p w14:paraId="3B5FF2C0" w14:textId="77777777" w:rsidR="0052756D" w:rsidRDefault="0052756D" w:rsidP="0052756D">
      <w:pPr>
        <w:keepNext/>
      </w:pPr>
      <w:r>
        <w:t>- velmi vzácné (u méně než 1 z 10000 ošetřených zvířat, včetně ojedinělých hlášení).</w:t>
      </w:r>
    </w:p>
    <w:p w14:paraId="2FF4C147" w14:textId="77777777" w:rsidR="002555D1" w:rsidRDefault="002555D1" w:rsidP="00073FF5">
      <w:pPr>
        <w:tabs>
          <w:tab w:val="clear" w:pos="567"/>
        </w:tabs>
        <w:spacing w:line="240" w:lineRule="auto"/>
        <w:jc w:val="both"/>
      </w:pPr>
    </w:p>
    <w:p w14:paraId="746AABD7" w14:textId="77777777" w:rsidR="0052756D" w:rsidRPr="00D501D6" w:rsidRDefault="0052756D" w:rsidP="0052756D">
      <w:pPr>
        <w:spacing w:line="240" w:lineRule="auto"/>
        <w:jc w:val="both"/>
        <w:rPr>
          <w:szCs w:val="22"/>
          <w:lang w:eastAsia="cs-CZ"/>
        </w:rPr>
      </w:pPr>
      <w:r w:rsidRPr="00D501D6">
        <w:rPr>
          <w:szCs w:val="22"/>
          <w:lang w:eastAsia="cs-CZ"/>
        </w:rPr>
        <w:t xml:space="preserve">Jestliže zaznamenáte kterýkoliv z nežádoucích účinků a to i takové, které nejsou uvedeny v této příbalové informaci, nebo si myslíte, že </w:t>
      </w:r>
      <w:r w:rsidRPr="00D501D6">
        <w:rPr>
          <w:szCs w:val="22"/>
        </w:rPr>
        <w:t>léčivý přípravek není účinný</w:t>
      </w:r>
      <w:r w:rsidRPr="00D501D6">
        <w:rPr>
          <w:szCs w:val="22"/>
          <w:lang w:eastAsia="cs-CZ"/>
        </w:rPr>
        <w:t>, oznamte to, prosím, vašemu veterinárnímu lékaři.</w:t>
      </w:r>
      <w:r w:rsidRPr="00D501D6">
        <w:rPr>
          <w:i/>
          <w:color w:val="008000"/>
          <w:szCs w:val="22"/>
          <w:lang w:eastAsia="cs-CZ"/>
        </w:rPr>
        <w:t>]</w:t>
      </w:r>
    </w:p>
    <w:p w14:paraId="22CDE7CA" w14:textId="77777777" w:rsidR="00433092" w:rsidRDefault="00433092" w:rsidP="00073FF5">
      <w:pPr>
        <w:jc w:val="both"/>
      </w:pPr>
      <w:r>
        <w:t xml:space="preserve">Pokud se u vašeho zvířete vyskytne kterýkoli z nežádoucích účinků, sdělte to svému veterinárnímu lékaři. Stejně postupujte v případě jakýchkoli nežádoucích účinků, které nejsou uvedeny v této příbalové informaci. Nežádoucí účinky můžete hlásit prostřednictvím formuláře na webových stránkách ÚSKVBL elektronicky, nebo také přímo na adresu: </w:t>
      </w:r>
    </w:p>
    <w:p w14:paraId="5041F444" w14:textId="77777777" w:rsidR="00433092" w:rsidRDefault="00433092" w:rsidP="00073FF5">
      <w:pPr>
        <w:jc w:val="both"/>
      </w:pPr>
      <w:r>
        <w:t xml:space="preserve">Ústav pro státní kontrolu veterinárních biopreparátů a léčiv </w:t>
      </w:r>
    </w:p>
    <w:p w14:paraId="0D44C446" w14:textId="77777777" w:rsidR="00433092" w:rsidRDefault="00433092" w:rsidP="00073FF5">
      <w:pPr>
        <w:jc w:val="both"/>
      </w:pPr>
      <w:r>
        <w:t>Hudcova 56a</w:t>
      </w:r>
    </w:p>
    <w:p w14:paraId="222A76AA" w14:textId="77777777" w:rsidR="00433092" w:rsidRDefault="00433092" w:rsidP="00433092">
      <w:r>
        <w:t>621 00 Brno </w:t>
      </w:r>
    </w:p>
    <w:p w14:paraId="52172B4D" w14:textId="77777777" w:rsidR="00433092" w:rsidRDefault="00433092" w:rsidP="00433092">
      <w:r>
        <w:t xml:space="preserve">Mail: </w:t>
      </w:r>
      <w:hyperlink r:id="rId8" w:history="1">
        <w:r>
          <w:rPr>
            <w:rStyle w:val="Hypertextovodkaz"/>
          </w:rPr>
          <w:t>adr@uskvbl.cz</w:t>
        </w:r>
      </w:hyperlink>
    </w:p>
    <w:p w14:paraId="5BA78CB2" w14:textId="1AEE808F" w:rsidR="002555D1" w:rsidRDefault="00433092" w:rsidP="00433092">
      <w:pPr>
        <w:tabs>
          <w:tab w:val="clear" w:pos="567"/>
        </w:tabs>
        <w:spacing w:line="240" w:lineRule="auto"/>
      </w:pPr>
      <w:r>
        <w:t xml:space="preserve">Webové stránky: </w:t>
      </w:r>
      <w:hyperlink r:id="rId9" w:history="1">
        <w:r>
          <w:rPr>
            <w:rStyle w:val="Hypertextovodkaz"/>
          </w:rPr>
          <w:t>http://www.uskvbl.cz/cs/farmakovigilance</w:t>
        </w:r>
      </w:hyperlink>
    </w:p>
    <w:p w14:paraId="45CD6294" w14:textId="4C26E61C" w:rsidR="002555D1" w:rsidRDefault="002555D1" w:rsidP="002555D1">
      <w:pPr>
        <w:tabs>
          <w:tab w:val="clear" w:pos="567"/>
        </w:tabs>
        <w:spacing w:line="240" w:lineRule="auto"/>
      </w:pPr>
    </w:p>
    <w:p w14:paraId="0B569DFC" w14:textId="77777777" w:rsidR="003A3517" w:rsidRDefault="003A3517" w:rsidP="002555D1">
      <w:pPr>
        <w:tabs>
          <w:tab w:val="clear" w:pos="567"/>
        </w:tabs>
        <w:spacing w:line="240" w:lineRule="auto"/>
      </w:pPr>
    </w:p>
    <w:p w14:paraId="734BA067" w14:textId="77777777" w:rsidR="002555D1" w:rsidRDefault="002555D1" w:rsidP="002555D1">
      <w:pPr>
        <w:spacing w:line="240" w:lineRule="auto"/>
        <w:ind w:left="567" w:hanging="567"/>
      </w:pPr>
      <w:r>
        <w:rPr>
          <w:b/>
        </w:rPr>
        <w:t>7.</w:t>
      </w:r>
      <w:r>
        <w:rPr>
          <w:b/>
        </w:rPr>
        <w:tab/>
        <w:t>CÍLOVÝ DRUH ZVÍŘAT</w:t>
      </w:r>
    </w:p>
    <w:p w14:paraId="37558B0D" w14:textId="77777777" w:rsidR="002555D1" w:rsidRPr="00E80AB1" w:rsidRDefault="002555D1" w:rsidP="002555D1">
      <w:pPr>
        <w:tabs>
          <w:tab w:val="clear" w:pos="567"/>
        </w:tabs>
        <w:spacing w:line="240" w:lineRule="auto"/>
      </w:pPr>
    </w:p>
    <w:p w14:paraId="67C44078" w14:textId="77777777" w:rsidR="002555D1" w:rsidRDefault="002555D1" w:rsidP="002555D1">
      <w:pPr>
        <w:tabs>
          <w:tab w:val="clear" w:pos="567"/>
        </w:tabs>
        <w:spacing w:line="240" w:lineRule="auto"/>
      </w:pPr>
      <w:r>
        <w:t>Skot, prasata, koně, ovce a kozy.</w:t>
      </w:r>
    </w:p>
    <w:p w14:paraId="6EEA381F" w14:textId="14F78FE9" w:rsidR="002555D1" w:rsidRDefault="002555D1" w:rsidP="002555D1">
      <w:pPr>
        <w:tabs>
          <w:tab w:val="clear" w:pos="567"/>
        </w:tabs>
        <w:spacing w:line="240" w:lineRule="auto"/>
      </w:pPr>
    </w:p>
    <w:p w14:paraId="78589C6E" w14:textId="77777777" w:rsidR="003A3517" w:rsidRDefault="003A3517" w:rsidP="002555D1">
      <w:pPr>
        <w:tabs>
          <w:tab w:val="clear" w:pos="567"/>
        </w:tabs>
        <w:spacing w:line="240" w:lineRule="auto"/>
      </w:pPr>
    </w:p>
    <w:p w14:paraId="2A77F91F" w14:textId="77777777" w:rsidR="002555D1" w:rsidRDefault="002555D1" w:rsidP="002555D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8.</w:t>
      </w:r>
      <w:r>
        <w:rPr>
          <w:b/>
        </w:rPr>
        <w:tab/>
        <w:t>DÁVKOVÁNÍ PRO KAŽDÝ DRUH, CESTA(Y) A ZPŮSOB PODÁNÍ</w:t>
      </w:r>
    </w:p>
    <w:p w14:paraId="579CD77A" w14:textId="77777777" w:rsidR="002555D1" w:rsidRDefault="002555D1" w:rsidP="002555D1">
      <w:pPr>
        <w:jc w:val="both"/>
        <w:rPr>
          <w:szCs w:val="28"/>
        </w:rPr>
      </w:pPr>
    </w:p>
    <w:p w14:paraId="37034C85" w14:textId="3B4F5AE8" w:rsidR="002555D1" w:rsidRDefault="002555D1" w:rsidP="00073FF5">
      <w:pPr>
        <w:jc w:val="both"/>
        <w:rPr>
          <w:szCs w:val="24"/>
        </w:rPr>
      </w:pPr>
      <w:r>
        <w:t>Telata (do 6</w:t>
      </w:r>
      <w:r w:rsidR="00444401">
        <w:t> </w:t>
      </w:r>
      <w:r>
        <w:t>měsíců</w:t>
      </w:r>
      <w:r w:rsidR="0052756D">
        <w:t xml:space="preserve"> věku</w:t>
      </w:r>
      <w:r>
        <w:t>), ovce, kozy a prasata:</w:t>
      </w:r>
    </w:p>
    <w:p w14:paraId="149B650F" w14:textId="2D54F47D" w:rsidR="002555D1" w:rsidRDefault="002555D1" w:rsidP="00073FF5">
      <w:pPr>
        <w:pStyle w:val="Zkladntext2"/>
        <w:tabs>
          <w:tab w:val="clear" w:pos="567"/>
          <w:tab w:val="left" w:pos="0"/>
        </w:tabs>
        <w:ind w:left="0" w:firstLine="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10 mg </w:t>
      </w:r>
      <w:proofErr w:type="spellStart"/>
      <w:r>
        <w:rPr>
          <w:b w:val="0"/>
          <w:bCs/>
          <w:szCs w:val="24"/>
        </w:rPr>
        <w:t>menbutonu</w:t>
      </w:r>
      <w:proofErr w:type="spellEnd"/>
      <w:r>
        <w:rPr>
          <w:b w:val="0"/>
          <w:bCs/>
          <w:szCs w:val="24"/>
        </w:rPr>
        <w:t xml:space="preserve"> na kg </w:t>
      </w:r>
      <w:r w:rsidR="00651637">
        <w:rPr>
          <w:b w:val="0"/>
          <w:bCs/>
          <w:szCs w:val="24"/>
        </w:rPr>
        <w:t xml:space="preserve">živé </w:t>
      </w:r>
      <w:r>
        <w:rPr>
          <w:b w:val="0"/>
          <w:bCs/>
          <w:szCs w:val="24"/>
        </w:rPr>
        <w:t xml:space="preserve">hmotnosti </w:t>
      </w:r>
      <w:r w:rsidR="0052756D">
        <w:rPr>
          <w:b w:val="0"/>
          <w:bCs/>
          <w:szCs w:val="24"/>
        </w:rPr>
        <w:t xml:space="preserve">podaných hluboce intramuskulárně nebo pomalu intravenózně, </w:t>
      </w:r>
      <w:r w:rsidR="00651637">
        <w:rPr>
          <w:b w:val="0"/>
          <w:bCs/>
          <w:szCs w:val="24"/>
        </w:rPr>
        <w:t>což odpovídá</w:t>
      </w:r>
      <w:r>
        <w:rPr>
          <w:b w:val="0"/>
          <w:bCs/>
          <w:szCs w:val="24"/>
        </w:rPr>
        <w:t xml:space="preserve"> 1 ml injekčního roztoku na 10 kg </w:t>
      </w:r>
      <w:r w:rsidR="00651637">
        <w:rPr>
          <w:b w:val="0"/>
          <w:bCs/>
          <w:szCs w:val="24"/>
        </w:rPr>
        <w:t xml:space="preserve">živé </w:t>
      </w:r>
      <w:r>
        <w:rPr>
          <w:b w:val="0"/>
          <w:bCs/>
          <w:szCs w:val="24"/>
        </w:rPr>
        <w:t>hmotnosti.</w:t>
      </w:r>
    </w:p>
    <w:p w14:paraId="2880A2A7" w14:textId="77777777" w:rsidR="002555D1" w:rsidRDefault="002555D1" w:rsidP="00073FF5">
      <w:pPr>
        <w:jc w:val="both"/>
        <w:rPr>
          <w:szCs w:val="24"/>
        </w:rPr>
      </w:pPr>
    </w:p>
    <w:p w14:paraId="69ECAEF7" w14:textId="77777777" w:rsidR="002555D1" w:rsidRDefault="002555D1" w:rsidP="00073FF5">
      <w:pPr>
        <w:jc w:val="both"/>
        <w:rPr>
          <w:szCs w:val="24"/>
        </w:rPr>
      </w:pPr>
      <w:r>
        <w:t>Skot:</w:t>
      </w:r>
    </w:p>
    <w:p w14:paraId="380132D1" w14:textId="37AA1050" w:rsidR="002555D1" w:rsidRDefault="002555D1" w:rsidP="00073FF5">
      <w:pPr>
        <w:jc w:val="both"/>
        <w:rPr>
          <w:b/>
          <w:spacing w:val="2"/>
          <w:szCs w:val="24"/>
        </w:rPr>
      </w:pPr>
      <w:r>
        <w:t xml:space="preserve">5–7,5 mg </w:t>
      </w:r>
      <w:proofErr w:type="spellStart"/>
      <w:r>
        <w:t>menbutonu</w:t>
      </w:r>
      <w:proofErr w:type="spellEnd"/>
      <w:r>
        <w:t xml:space="preserve"> na kg </w:t>
      </w:r>
      <w:r w:rsidR="00651637">
        <w:t xml:space="preserve">živé </w:t>
      </w:r>
      <w:r>
        <w:t xml:space="preserve">hmotnosti </w:t>
      </w:r>
      <w:r w:rsidR="0052756D">
        <w:t xml:space="preserve">pomalu </w:t>
      </w:r>
      <w:r w:rsidR="00975661">
        <w:t>intravenózně</w:t>
      </w:r>
      <w:r w:rsidR="00651637">
        <w:t>, což odpovídá</w:t>
      </w:r>
      <w:r>
        <w:t xml:space="preserve"> 1 ml injekčního roztoku na 15–20 kg </w:t>
      </w:r>
      <w:r w:rsidR="00651637">
        <w:t xml:space="preserve">živé </w:t>
      </w:r>
      <w:r>
        <w:t>hmotnosti.</w:t>
      </w:r>
    </w:p>
    <w:p w14:paraId="210743C9" w14:textId="77777777" w:rsidR="002555D1" w:rsidRDefault="002555D1" w:rsidP="00073FF5">
      <w:pPr>
        <w:jc w:val="both"/>
        <w:rPr>
          <w:b/>
          <w:spacing w:val="2"/>
          <w:szCs w:val="24"/>
        </w:rPr>
      </w:pPr>
    </w:p>
    <w:p w14:paraId="2EC030EA" w14:textId="77777777" w:rsidR="002555D1" w:rsidRDefault="002555D1" w:rsidP="00073FF5">
      <w:pPr>
        <w:jc w:val="both"/>
        <w:rPr>
          <w:b/>
          <w:spacing w:val="2"/>
          <w:szCs w:val="24"/>
        </w:rPr>
      </w:pPr>
      <w:r>
        <w:t>Koně:</w:t>
      </w:r>
    </w:p>
    <w:p w14:paraId="1E215202" w14:textId="5F92634C" w:rsidR="002555D1" w:rsidRDefault="002555D1" w:rsidP="00073FF5">
      <w:pPr>
        <w:jc w:val="both"/>
        <w:rPr>
          <w:szCs w:val="24"/>
        </w:rPr>
      </w:pPr>
      <w:r>
        <w:t xml:space="preserve">2,5–5 mg </w:t>
      </w:r>
      <w:proofErr w:type="spellStart"/>
      <w:r>
        <w:t>menbutonu</w:t>
      </w:r>
      <w:proofErr w:type="spellEnd"/>
      <w:r>
        <w:t xml:space="preserve"> na kg </w:t>
      </w:r>
      <w:r w:rsidR="00651637">
        <w:t xml:space="preserve">živé </w:t>
      </w:r>
      <w:r>
        <w:t>hmotnosti pomal</w:t>
      </w:r>
      <w:r w:rsidR="00975661">
        <w:t>u</w:t>
      </w:r>
      <w:r>
        <w:t xml:space="preserve"> intravenózn</w:t>
      </w:r>
      <w:r w:rsidR="00975661">
        <w:t>ě</w:t>
      </w:r>
      <w:r w:rsidR="00651637">
        <w:t>, což odpovídá</w:t>
      </w:r>
      <w:r>
        <w:t xml:space="preserve"> 1 ml injekčního roztoku na 20–40 kg </w:t>
      </w:r>
      <w:r w:rsidR="00651637">
        <w:t xml:space="preserve">živé </w:t>
      </w:r>
      <w:r>
        <w:t>hmotnosti.</w:t>
      </w:r>
    </w:p>
    <w:p w14:paraId="7F53D7C3" w14:textId="77777777" w:rsidR="002555D1" w:rsidRDefault="002555D1" w:rsidP="00073FF5">
      <w:pPr>
        <w:jc w:val="both"/>
        <w:rPr>
          <w:szCs w:val="28"/>
        </w:rPr>
      </w:pPr>
    </w:p>
    <w:p w14:paraId="4E894727" w14:textId="156248BB" w:rsidR="002555D1" w:rsidRDefault="00975661" w:rsidP="00073FF5">
      <w:pPr>
        <w:tabs>
          <w:tab w:val="clear" w:pos="567"/>
        </w:tabs>
        <w:spacing w:line="240" w:lineRule="auto"/>
        <w:jc w:val="both"/>
        <w:rPr>
          <w:szCs w:val="28"/>
        </w:rPr>
      </w:pPr>
      <w:r>
        <w:t>P</w:t>
      </w:r>
      <w:r w:rsidR="002555D1">
        <w:t>říprav</w:t>
      </w:r>
      <w:r>
        <w:t>e</w:t>
      </w:r>
      <w:r w:rsidR="002555D1">
        <w:t xml:space="preserve">k je možné </w:t>
      </w:r>
      <w:r w:rsidR="00651637">
        <w:t xml:space="preserve">v případě </w:t>
      </w:r>
      <w:r>
        <w:t>nutnosti</w:t>
      </w:r>
      <w:r w:rsidR="00651637">
        <w:t xml:space="preserve"> </w:t>
      </w:r>
      <w:r>
        <w:t>podat</w:t>
      </w:r>
      <w:r w:rsidR="002555D1">
        <w:t xml:space="preserve"> </w:t>
      </w:r>
      <w:r w:rsidR="00AE6A3F">
        <w:t xml:space="preserve">opakovaně </w:t>
      </w:r>
      <w:r w:rsidR="0052756D">
        <w:t xml:space="preserve">jedenkrát </w:t>
      </w:r>
      <w:r w:rsidR="002555D1">
        <w:t xml:space="preserve">po 24 hodinách. </w:t>
      </w:r>
    </w:p>
    <w:p w14:paraId="037B91FE" w14:textId="7A763067" w:rsidR="002555D1" w:rsidRDefault="002555D1" w:rsidP="00073FF5">
      <w:pPr>
        <w:tabs>
          <w:tab w:val="clear" w:pos="567"/>
        </w:tabs>
        <w:spacing w:line="240" w:lineRule="auto"/>
        <w:jc w:val="both"/>
        <w:rPr>
          <w:iCs/>
        </w:rPr>
      </w:pPr>
    </w:p>
    <w:p w14:paraId="232BD6C8" w14:textId="77777777" w:rsidR="003A3517" w:rsidRDefault="003A3517" w:rsidP="00073FF5">
      <w:pPr>
        <w:tabs>
          <w:tab w:val="clear" w:pos="567"/>
        </w:tabs>
        <w:spacing w:line="240" w:lineRule="auto"/>
        <w:jc w:val="both"/>
        <w:rPr>
          <w:iCs/>
        </w:rPr>
      </w:pPr>
    </w:p>
    <w:p w14:paraId="369C6330" w14:textId="77777777" w:rsidR="002555D1" w:rsidRDefault="002555D1" w:rsidP="00D501D6">
      <w:pPr>
        <w:keepNext/>
        <w:spacing w:line="240" w:lineRule="auto"/>
        <w:ind w:left="567" w:hanging="567"/>
        <w:jc w:val="both"/>
      </w:pPr>
      <w:r>
        <w:rPr>
          <w:b/>
        </w:rPr>
        <w:lastRenderedPageBreak/>
        <w:t>9.</w:t>
      </w:r>
      <w:r>
        <w:rPr>
          <w:b/>
        </w:rPr>
        <w:tab/>
        <w:t>POKYNY PRO SPRÁVNÉ PODÁNÍ</w:t>
      </w:r>
    </w:p>
    <w:p w14:paraId="2895FED5" w14:textId="77777777" w:rsidR="002555D1" w:rsidRDefault="002555D1" w:rsidP="00D501D6">
      <w:pPr>
        <w:keepNext/>
        <w:tabs>
          <w:tab w:val="clear" w:pos="567"/>
        </w:tabs>
        <w:spacing w:line="240" w:lineRule="auto"/>
        <w:jc w:val="both"/>
      </w:pPr>
    </w:p>
    <w:p w14:paraId="1D5DF56B" w14:textId="768CEE98" w:rsidR="002555D1" w:rsidRDefault="00975661" w:rsidP="00073FF5">
      <w:pPr>
        <w:jc w:val="both"/>
        <w:rPr>
          <w:szCs w:val="28"/>
        </w:rPr>
      </w:pPr>
      <w:r>
        <w:t>Podávejte pomalu</w:t>
      </w:r>
      <w:r w:rsidR="002555D1">
        <w:t xml:space="preserve"> </w:t>
      </w:r>
      <w:r>
        <w:t>intravenózně</w:t>
      </w:r>
      <w:r w:rsidR="002555D1">
        <w:t xml:space="preserve"> (</w:t>
      </w:r>
      <w:r>
        <w:t>minimálně</w:t>
      </w:r>
      <w:r w:rsidR="002555D1">
        <w:t xml:space="preserve"> 1 minutu), aby nedošlo k nežádoucím účinkům popsaným v bodě „Nežádoucí účinky“.</w:t>
      </w:r>
    </w:p>
    <w:p w14:paraId="389CBAA6" w14:textId="779BDA12" w:rsidR="002555D1" w:rsidRDefault="00651637" w:rsidP="00073FF5">
      <w:pPr>
        <w:jc w:val="both"/>
        <w:outlineLvl w:val="0"/>
        <w:rPr>
          <w:szCs w:val="28"/>
        </w:rPr>
      </w:pPr>
      <w:r>
        <w:t>Ned</w:t>
      </w:r>
      <w:r w:rsidR="002555D1">
        <w:t xml:space="preserve">oporučuje se </w:t>
      </w:r>
      <w:r w:rsidR="005B4DB7">
        <w:t xml:space="preserve">podávat </w:t>
      </w:r>
      <w:r w:rsidR="002555D1">
        <w:t>intramuskulárn</w:t>
      </w:r>
      <w:r w:rsidR="00975661">
        <w:t xml:space="preserve">ě </w:t>
      </w:r>
      <w:r w:rsidR="002555D1">
        <w:t xml:space="preserve">více než 20 ml </w:t>
      </w:r>
      <w:r w:rsidR="00975661">
        <w:t xml:space="preserve">do </w:t>
      </w:r>
      <w:r w:rsidR="002555D1">
        <w:t>jedno</w:t>
      </w:r>
      <w:r w:rsidR="00975661">
        <w:t>ho</w:t>
      </w:r>
      <w:r w:rsidR="002555D1">
        <w:t xml:space="preserve"> míst</w:t>
      </w:r>
      <w:r w:rsidR="00975661">
        <w:t>a</w:t>
      </w:r>
      <w:r w:rsidR="002555D1">
        <w:t xml:space="preserve"> </w:t>
      </w:r>
      <w:r>
        <w:t>injekčního podání</w:t>
      </w:r>
      <w:r w:rsidR="002555D1">
        <w:t>.</w:t>
      </w:r>
    </w:p>
    <w:p w14:paraId="013008B1" w14:textId="63DB77C4" w:rsidR="002555D1" w:rsidRDefault="002555D1" w:rsidP="002555D1">
      <w:pPr>
        <w:tabs>
          <w:tab w:val="clear" w:pos="567"/>
        </w:tabs>
        <w:spacing w:line="240" w:lineRule="auto"/>
      </w:pPr>
    </w:p>
    <w:p w14:paraId="758E947C" w14:textId="77777777" w:rsidR="003A3517" w:rsidRDefault="003A3517" w:rsidP="002555D1">
      <w:pPr>
        <w:tabs>
          <w:tab w:val="clear" w:pos="567"/>
        </w:tabs>
        <w:spacing w:line="240" w:lineRule="auto"/>
      </w:pPr>
    </w:p>
    <w:p w14:paraId="2ACA2F1E" w14:textId="2DAAC681" w:rsidR="002555D1" w:rsidRDefault="002555D1" w:rsidP="002555D1">
      <w:pPr>
        <w:spacing w:line="240" w:lineRule="auto"/>
        <w:ind w:left="567" w:hanging="567"/>
      </w:pPr>
      <w:r>
        <w:rPr>
          <w:b/>
        </w:rPr>
        <w:t>10.</w:t>
      </w:r>
      <w:r>
        <w:rPr>
          <w:b/>
        </w:rPr>
        <w:tab/>
        <w:t>OCHRANNÁ</w:t>
      </w:r>
      <w:r w:rsidR="006836AD">
        <w:rPr>
          <w:b/>
        </w:rPr>
        <w:t>(É)</w:t>
      </w:r>
      <w:r>
        <w:rPr>
          <w:b/>
        </w:rPr>
        <w:t xml:space="preserve"> LHŮTA</w:t>
      </w:r>
      <w:r w:rsidR="006836AD">
        <w:rPr>
          <w:b/>
        </w:rPr>
        <w:t>(Y)</w:t>
      </w:r>
    </w:p>
    <w:p w14:paraId="297E49F3" w14:textId="77777777" w:rsidR="002555D1" w:rsidRDefault="002555D1" w:rsidP="002555D1">
      <w:pPr>
        <w:tabs>
          <w:tab w:val="clear" w:pos="567"/>
        </w:tabs>
        <w:spacing w:line="240" w:lineRule="auto"/>
        <w:rPr>
          <w:iCs/>
        </w:rPr>
      </w:pPr>
    </w:p>
    <w:p w14:paraId="0D181B3F" w14:textId="1BBCFF24" w:rsidR="00975661" w:rsidRDefault="002555D1" w:rsidP="002555D1">
      <w:pPr>
        <w:tabs>
          <w:tab w:val="clear" w:pos="567"/>
        </w:tabs>
        <w:spacing w:line="240" w:lineRule="auto"/>
        <w:outlineLvl w:val="0"/>
      </w:pPr>
      <w:r>
        <w:t xml:space="preserve">Maso: </w:t>
      </w:r>
      <w:r w:rsidR="006836AD">
        <w:t>Bez ochranných lhůt.</w:t>
      </w:r>
    </w:p>
    <w:p w14:paraId="0E515CBB" w14:textId="33DD2660" w:rsidR="002555D1" w:rsidRDefault="002555D1" w:rsidP="002555D1">
      <w:pPr>
        <w:tabs>
          <w:tab w:val="clear" w:pos="567"/>
        </w:tabs>
        <w:spacing w:line="240" w:lineRule="auto"/>
        <w:outlineLvl w:val="0"/>
        <w:rPr>
          <w:iCs/>
        </w:rPr>
      </w:pPr>
      <w:r>
        <w:t xml:space="preserve">Mléko: </w:t>
      </w:r>
      <w:r w:rsidR="006836AD">
        <w:t>Bez ochranných lhůt.</w:t>
      </w:r>
    </w:p>
    <w:p w14:paraId="625F3119" w14:textId="79E343AB" w:rsidR="002555D1" w:rsidRDefault="002555D1" w:rsidP="002555D1">
      <w:pPr>
        <w:tabs>
          <w:tab w:val="clear" w:pos="567"/>
        </w:tabs>
        <w:spacing w:line="240" w:lineRule="auto"/>
        <w:rPr>
          <w:iCs/>
        </w:rPr>
      </w:pPr>
    </w:p>
    <w:p w14:paraId="1EA7E33F" w14:textId="77777777" w:rsidR="003A3517" w:rsidRDefault="003A3517" w:rsidP="002555D1">
      <w:pPr>
        <w:tabs>
          <w:tab w:val="clear" w:pos="567"/>
        </w:tabs>
        <w:spacing w:line="240" w:lineRule="auto"/>
        <w:rPr>
          <w:iCs/>
        </w:rPr>
      </w:pPr>
    </w:p>
    <w:p w14:paraId="78EB6AA3" w14:textId="77777777" w:rsidR="002555D1" w:rsidRDefault="002555D1" w:rsidP="00FB44AA">
      <w:pPr>
        <w:keepNext/>
        <w:spacing w:line="240" w:lineRule="auto"/>
        <w:ind w:left="567" w:hanging="567"/>
      </w:pPr>
      <w:r>
        <w:rPr>
          <w:b/>
        </w:rPr>
        <w:t>11.</w:t>
      </w:r>
      <w:r>
        <w:rPr>
          <w:b/>
        </w:rPr>
        <w:tab/>
        <w:t>ZVLÁŠTNÍ OPATŘENÍ PRO UCHOVÁVÁNÍ</w:t>
      </w:r>
    </w:p>
    <w:p w14:paraId="7A66F841" w14:textId="77777777" w:rsidR="002555D1" w:rsidRDefault="002555D1" w:rsidP="00FB44AA">
      <w:pPr>
        <w:keepNext/>
        <w:numPr>
          <w:ilvl w:val="12"/>
          <w:numId w:val="0"/>
        </w:numPr>
        <w:ind w:right="-2"/>
        <w:rPr>
          <w:noProof/>
        </w:rPr>
      </w:pPr>
    </w:p>
    <w:p w14:paraId="5B4EDE5B" w14:textId="77777777" w:rsidR="002555D1" w:rsidRDefault="002555D1" w:rsidP="00073FF5">
      <w:pPr>
        <w:numPr>
          <w:ilvl w:val="12"/>
          <w:numId w:val="0"/>
        </w:numPr>
        <w:ind w:right="-2"/>
        <w:jc w:val="both"/>
        <w:outlineLvl w:val="0"/>
        <w:rPr>
          <w:noProof/>
        </w:rPr>
      </w:pPr>
      <w:r>
        <w:t>Uchovávat mimo dohled a dosah dětí.</w:t>
      </w:r>
    </w:p>
    <w:p w14:paraId="7BB535ED" w14:textId="77777777" w:rsidR="002555D1" w:rsidRDefault="002555D1" w:rsidP="00073FF5">
      <w:pPr>
        <w:numPr>
          <w:ilvl w:val="12"/>
          <w:numId w:val="0"/>
        </w:numPr>
        <w:ind w:right="-2"/>
        <w:jc w:val="both"/>
        <w:rPr>
          <w:noProof/>
        </w:rPr>
      </w:pPr>
    </w:p>
    <w:p w14:paraId="71E2C260" w14:textId="77777777" w:rsidR="002555D1" w:rsidRDefault="002555D1" w:rsidP="00073FF5">
      <w:pPr>
        <w:numPr>
          <w:ilvl w:val="12"/>
          <w:numId w:val="0"/>
        </w:numPr>
        <w:ind w:right="-2"/>
        <w:jc w:val="both"/>
        <w:rPr>
          <w:noProof/>
        </w:rPr>
      </w:pPr>
      <w:r>
        <w:t>Uchovávejte při teplotě do 25 </w:t>
      </w:r>
      <w:r>
        <w:sym w:font="Symbol" w:char="F0B0"/>
      </w:r>
      <w:r>
        <w:t>C.</w:t>
      </w:r>
    </w:p>
    <w:p w14:paraId="15442DAC" w14:textId="77777777" w:rsidR="002555D1" w:rsidRDefault="002555D1" w:rsidP="00073FF5">
      <w:pPr>
        <w:ind w:right="-2"/>
        <w:jc w:val="both"/>
        <w:outlineLvl w:val="0"/>
        <w:rPr>
          <w:noProof/>
        </w:rPr>
      </w:pPr>
      <w:r>
        <w:t>Nepoužívejte tento veterinární léčivý přípravek po uplynutí doby použitelnosti uvedené na krabičce.</w:t>
      </w:r>
    </w:p>
    <w:p w14:paraId="783F4837" w14:textId="6F0C8D56" w:rsidR="002555D1" w:rsidRDefault="002555D1" w:rsidP="00073FF5">
      <w:pPr>
        <w:numPr>
          <w:ilvl w:val="12"/>
          <w:numId w:val="0"/>
        </w:numPr>
        <w:ind w:right="-2"/>
        <w:jc w:val="both"/>
        <w:rPr>
          <w:noProof/>
        </w:rPr>
      </w:pPr>
      <w:r>
        <w:t>Doba použitelnosti po prvním otevření vnitřního obalu: 28 dnů</w:t>
      </w:r>
      <w:r w:rsidR="004412AE">
        <w:t>.</w:t>
      </w:r>
    </w:p>
    <w:p w14:paraId="2EC24DFB" w14:textId="29C59F8F" w:rsidR="002555D1" w:rsidRDefault="002555D1" w:rsidP="00073FF5">
      <w:pPr>
        <w:tabs>
          <w:tab w:val="clear" w:pos="567"/>
        </w:tabs>
        <w:spacing w:line="240" w:lineRule="auto"/>
        <w:ind w:right="-2"/>
        <w:jc w:val="both"/>
      </w:pPr>
    </w:p>
    <w:p w14:paraId="1D870938" w14:textId="77777777" w:rsidR="003A3517" w:rsidRDefault="003A3517" w:rsidP="00073FF5">
      <w:pPr>
        <w:tabs>
          <w:tab w:val="clear" w:pos="567"/>
        </w:tabs>
        <w:spacing w:line="240" w:lineRule="auto"/>
        <w:ind w:right="-2"/>
        <w:jc w:val="both"/>
      </w:pPr>
    </w:p>
    <w:p w14:paraId="6F367484" w14:textId="77777777" w:rsidR="002555D1" w:rsidRDefault="002555D1" w:rsidP="00073FF5">
      <w:pPr>
        <w:keepNext/>
        <w:spacing w:line="240" w:lineRule="auto"/>
        <w:ind w:left="567" w:hanging="567"/>
        <w:jc w:val="both"/>
        <w:rPr>
          <w:b/>
        </w:rPr>
      </w:pPr>
      <w:r>
        <w:rPr>
          <w:b/>
        </w:rPr>
        <w:t>12.</w:t>
      </w:r>
      <w:r>
        <w:rPr>
          <w:b/>
        </w:rPr>
        <w:tab/>
        <w:t>ZVLÁŠTNÍ UPOZORNĚNÍ</w:t>
      </w:r>
    </w:p>
    <w:p w14:paraId="1720E018" w14:textId="77777777" w:rsidR="002555D1" w:rsidRDefault="002555D1" w:rsidP="00073FF5">
      <w:pPr>
        <w:keepNext/>
        <w:tabs>
          <w:tab w:val="clear" w:pos="567"/>
        </w:tabs>
        <w:spacing w:line="240" w:lineRule="auto"/>
        <w:jc w:val="both"/>
      </w:pPr>
    </w:p>
    <w:p w14:paraId="6341C12C" w14:textId="461604B8" w:rsidR="002555D1" w:rsidRPr="00FB44AA" w:rsidRDefault="002555D1" w:rsidP="00073FF5">
      <w:pPr>
        <w:keepNext/>
        <w:jc w:val="both"/>
        <w:outlineLvl w:val="0"/>
        <w:rPr>
          <w:u w:val="single"/>
        </w:rPr>
      </w:pPr>
      <w:r w:rsidRPr="00FB44AA">
        <w:rPr>
          <w:u w:val="single"/>
        </w:rPr>
        <w:t>Zvláštní upozornění pro každý cílový druh</w:t>
      </w:r>
      <w:r w:rsidR="00FF3066">
        <w:rPr>
          <w:u w:val="single"/>
        </w:rPr>
        <w:t>:</w:t>
      </w:r>
    </w:p>
    <w:p w14:paraId="6C9CA79F" w14:textId="77777777" w:rsidR="002555D1" w:rsidRDefault="002555D1" w:rsidP="00073FF5">
      <w:pPr>
        <w:jc w:val="both"/>
        <w:outlineLvl w:val="0"/>
      </w:pPr>
      <w:r>
        <w:t>Nejsou.</w:t>
      </w:r>
    </w:p>
    <w:p w14:paraId="50D77B84" w14:textId="77777777" w:rsidR="002555D1" w:rsidRPr="00775FD4" w:rsidRDefault="002555D1" w:rsidP="00073FF5">
      <w:pPr>
        <w:jc w:val="both"/>
        <w:outlineLvl w:val="0"/>
      </w:pPr>
    </w:p>
    <w:p w14:paraId="75AA616C" w14:textId="4F249B8B" w:rsidR="002555D1" w:rsidRPr="00FB44AA" w:rsidRDefault="002555D1" w:rsidP="00073FF5">
      <w:pPr>
        <w:jc w:val="both"/>
        <w:outlineLvl w:val="0"/>
        <w:rPr>
          <w:u w:val="single"/>
        </w:rPr>
      </w:pPr>
      <w:r w:rsidRPr="00FB44AA">
        <w:rPr>
          <w:u w:val="single"/>
        </w:rPr>
        <w:t>Zvláštní opatření pro použití u zvířat</w:t>
      </w:r>
      <w:r w:rsidR="00FF3066">
        <w:rPr>
          <w:u w:val="single"/>
        </w:rPr>
        <w:t>:</w:t>
      </w:r>
    </w:p>
    <w:p w14:paraId="246870B6" w14:textId="55BFEA7F" w:rsidR="002555D1" w:rsidRPr="00775FD4" w:rsidRDefault="00975661" w:rsidP="00073FF5">
      <w:pPr>
        <w:jc w:val="both"/>
        <w:outlineLvl w:val="0"/>
      </w:pPr>
      <w:r w:rsidRPr="00975661">
        <w:t>Podávejte pomalu intravenózně (minimálně 1 minutu)</w:t>
      </w:r>
      <w:r w:rsidR="002555D1">
        <w:t>, aby nedošlo k nežádoucím účinkům popsaným níže v bodě „Nežádoucí účinky“.</w:t>
      </w:r>
    </w:p>
    <w:p w14:paraId="55B8AEFD" w14:textId="0D43F268" w:rsidR="002555D1" w:rsidRDefault="00651637" w:rsidP="00073FF5">
      <w:pPr>
        <w:jc w:val="both"/>
        <w:outlineLvl w:val="0"/>
      </w:pPr>
      <w:r>
        <w:t>Ned</w:t>
      </w:r>
      <w:r w:rsidR="002555D1">
        <w:t xml:space="preserve">oporučuje se </w:t>
      </w:r>
      <w:r>
        <w:t xml:space="preserve">aplikovat </w:t>
      </w:r>
      <w:r w:rsidR="002555D1">
        <w:t>intramuskulárn</w:t>
      </w:r>
      <w:r w:rsidR="00975661">
        <w:t xml:space="preserve">ě </w:t>
      </w:r>
      <w:r w:rsidR="002555D1">
        <w:t xml:space="preserve">více než 20 ml </w:t>
      </w:r>
      <w:r w:rsidR="00975661">
        <w:t xml:space="preserve">do </w:t>
      </w:r>
      <w:r w:rsidR="002555D1">
        <w:t>jedno</w:t>
      </w:r>
      <w:r w:rsidR="00975661">
        <w:t>ho</w:t>
      </w:r>
      <w:r w:rsidR="002555D1">
        <w:t xml:space="preserve"> míst</w:t>
      </w:r>
      <w:r w:rsidR="00975661">
        <w:t>a</w:t>
      </w:r>
      <w:r w:rsidR="002555D1">
        <w:t xml:space="preserve"> </w:t>
      </w:r>
      <w:r w:rsidR="00B155D2">
        <w:t>injekčního podání</w:t>
      </w:r>
      <w:r w:rsidR="002555D1">
        <w:t>.</w:t>
      </w:r>
    </w:p>
    <w:p w14:paraId="7D3CB558" w14:textId="77777777" w:rsidR="002555D1" w:rsidRDefault="002555D1" w:rsidP="00073FF5">
      <w:pPr>
        <w:tabs>
          <w:tab w:val="clear" w:pos="567"/>
        </w:tabs>
        <w:spacing w:line="240" w:lineRule="auto"/>
        <w:jc w:val="both"/>
      </w:pPr>
    </w:p>
    <w:p w14:paraId="1D05DA2C" w14:textId="4A700581" w:rsidR="002555D1" w:rsidRPr="00FB44AA" w:rsidRDefault="002555D1" w:rsidP="00073FF5">
      <w:pPr>
        <w:keepNext/>
        <w:jc w:val="both"/>
        <w:outlineLvl w:val="0"/>
        <w:rPr>
          <w:u w:val="single"/>
        </w:rPr>
      </w:pPr>
      <w:r w:rsidRPr="00FB44AA">
        <w:rPr>
          <w:u w:val="single"/>
        </w:rPr>
        <w:t>Zvláštní opatření určené osobám, které podávají veterinární léčivý přípravek zvířatům</w:t>
      </w:r>
      <w:r w:rsidR="00FF3066">
        <w:rPr>
          <w:u w:val="single"/>
        </w:rPr>
        <w:t>:</w:t>
      </w:r>
    </w:p>
    <w:p w14:paraId="4B6304A5" w14:textId="37FDBEBF" w:rsidR="002E1B68" w:rsidRDefault="002555D1" w:rsidP="00073FF5">
      <w:pPr>
        <w:jc w:val="both"/>
        <w:outlineLvl w:val="0"/>
      </w:pPr>
      <w:r>
        <w:t>Při manipulaci s přípravkem nejezte, nepijte ani nekuřte.</w:t>
      </w:r>
    </w:p>
    <w:p w14:paraId="520D788F" w14:textId="77777777" w:rsidR="002E1B68" w:rsidRDefault="002E1B68" w:rsidP="002E1B68">
      <w:pPr>
        <w:jc w:val="both"/>
        <w:outlineLvl w:val="0"/>
      </w:pPr>
      <w:r>
        <w:t>Náhodné sebepoškození injekčně aplikovaným přípravkem může vyvolat podráždění.</w:t>
      </w:r>
    </w:p>
    <w:p w14:paraId="7DFF4BB6" w14:textId="77777777" w:rsidR="00932403" w:rsidRDefault="00932403" w:rsidP="00932403">
      <w:pPr>
        <w:jc w:val="both"/>
        <w:outlineLvl w:val="0"/>
      </w:pPr>
      <w:r>
        <w:t xml:space="preserve">Lidé se známou přecitlivělostí na </w:t>
      </w:r>
      <w:proofErr w:type="spellStart"/>
      <w:r>
        <w:t>menbuton</w:t>
      </w:r>
      <w:proofErr w:type="spellEnd"/>
      <w:r>
        <w:t xml:space="preserve"> by se měli vyhnout kontaktu s veterinárním léčivým přípravkem.</w:t>
      </w:r>
    </w:p>
    <w:p w14:paraId="0FEF67FE" w14:textId="77777777" w:rsidR="002555D1" w:rsidRDefault="002555D1" w:rsidP="00073FF5">
      <w:pPr>
        <w:jc w:val="both"/>
        <w:outlineLvl w:val="0"/>
      </w:pPr>
      <w:r>
        <w:t>V případě náhodného sebepoškození injekčně aplikovaným přípravkem vyhledejte ihned lékařskou pomoc a ukažte příbalovou informaci nebo etiketu praktickému lékaři.</w:t>
      </w:r>
    </w:p>
    <w:p w14:paraId="6E752335" w14:textId="77777777" w:rsidR="002555D1" w:rsidRDefault="002555D1" w:rsidP="00073FF5">
      <w:pPr>
        <w:jc w:val="both"/>
        <w:outlineLvl w:val="0"/>
      </w:pPr>
    </w:p>
    <w:p w14:paraId="5E3E4E76" w14:textId="77777777" w:rsidR="002555D1" w:rsidRDefault="002555D1" w:rsidP="00073FF5">
      <w:pPr>
        <w:jc w:val="both"/>
        <w:outlineLvl w:val="0"/>
      </w:pPr>
    </w:p>
    <w:p w14:paraId="1754E620" w14:textId="77777777" w:rsidR="002555D1" w:rsidRDefault="002555D1" w:rsidP="00073FF5">
      <w:pPr>
        <w:jc w:val="both"/>
        <w:outlineLvl w:val="0"/>
      </w:pPr>
      <w:r>
        <w:t>Březost:</w:t>
      </w:r>
    </w:p>
    <w:p w14:paraId="2F0D2AA0" w14:textId="13113685" w:rsidR="002555D1" w:rsidRDefault="002555D1" w:rsidP="00073FF5">
      <w:pPr>
        <w:jc w:val="both"/>
        <w:outlineLvl w:val="0"/>
      </w:pPr>
      <w:r>
        <w:t>Nepoužívat během poslední</w:t>
      </w:r>
      <w:r w:rsidR="00B155D2">
        <w:t xml:space="preserve"> třetiny </w:t>
      </w:r>
      <w:r>
        <w:t>březosti.</w:t>
      </w:r>
    </w:p>
    <w:p w14:paraId="2728FD2A" w14:textId="77777777" w:rsidR="002555D1" w:rsidRDefault="002555D1" w:rsidP="00073FF5">
      <w:pPr>
        <w:jc w:val="both"/>
        <w:outlineLvl w:val="0"/>
      </w:pPr>
    </w:p>
    <w:p w14:paraId="6A850135" w14:textId="77777777" w:rsidR="002555D1" w:rsidRDefault="002555D1" w:rsidP="00073FF5">
      <w:pPr>
        <w:jc w:val="both"/>
        <w:outlineLvl w:val="0"/>
      </w:pPr>
      <w:r>
        <w:t>Laktace:</w:t>
      </w:r>
    </w:p>
    <w:p w14:paraId="0B8C3D00" w14:textId="77777777" w:rsidR="002555D1" w:rsidRDefault="002555D1" w:rsidP="00073FF5">
      <w:pPr>
        <w:jc w:val="both"/>
        <w:outlineLvl w:val="0"/>
      </w:pPr>
      <w:r>
        <w:t>Tento přípravek může být podáván zvířatům v laktaci.</w:t>
      </w:r>
    </w:p>
    <w:p w14:paraId="1AF0097B" w14:textId="77777777" w:rsidR="00FF3066" w:rsidRDefault="00FF3066" w:rsidP="00073FF5">
      <w:pPr>
        <w:jc w:val="both"/>
        <w:outlineLvl w:val="0"/>
      </w:pPr>
    </w:p>
    <w:p w14:paraId="1E0CEE50" w14:textId="05A88463" w:rsidR="002555D1" w:rsidRPr="00FB44AA" w:rsidRDefault="002555D1" w:rsidP="00073FF5">
      <w:pPr>
        <w:jc w:val="both"/>
        <w:outlineLvl w:val="0"/>
        <w:rPr>
          <w:u w:val="single"/>
        </w:rPr>
      </w:pPr>
      <w:r w:rsidRPr="00FB44AA">
        <w:rPr>
          <w:u w:val="single"/>
        </w:rPr>
        <w:t>Interakce s dalšími léčivými přípravky a další formy interakce</w:t>
      </w:r>
      <w:r w:rsidR="00FF3066">
        <w:rPr>
          <w:u w:val="single"/>
        </w:rPr>
        <w:t>:</w:t>
      </w:r>
    </w:p>
    <w:p w14:paraId="711F2736" w14:textId="77777777" w:rsidR="002555D1" w:rsidRDefault="002555D1" w:rsidP="00073FF5">
      <w:pPr>
        <w:jc w:val="both"/>
        <w:outlineLvl w:val="0"/>
      </w:pPr>
      <w:r>
        <w:t>Nejsou známy.</w:t>
      </w:r>
    </w:p>
    <w:p w14:paraId="53302CA4" w14:textId="77777777" w:rsidR="002555D1" w:rsidRDefault="002555D1" w:rsidP="00073FF5">
      <w:pPr>
        <w:jc w:val="both"/>
        <w:outlineLvl w:val="0"/>
      </w:pPr>
    </w:p>
    <w:p w14:paraId="7A2D6A50" w14:textId="2CEB6F21" w:rsidR="002555D1" w:rsidRPr="00FB44AA" w:rsidRDefault="002555D1" w:rsidP="00073FF5">
      <w:pPr>
        <w:jc w:val="both"/>
        <w:outlineLvl w:val="0"/>
        <w:rPr>
          <w:u w:val="single"/>
        </w:rPr>
      </w:pPr>
      <w:r w:rsidRPr="00FB44AA">
        <w:rPr>
          <w:u w:val="single"/>
        </w:rPr>
        <w:t>Předávkování (symptomy, první pomoc, antidota), pokud je to nutné</w:t>
      </w:r>
      <w:r w:rsidR="00FF3066">
        <w:rPr>
          <w:u w:val="single"/>
        </w:rPr>
        <w:t>:</w:t>
      </w:r>
    </w:p>
    <w:p w14:paraId="3B547DFE" w14:textId="6AA639CC" w:rsidR="002555D1" w:rsidRDefault="002555D1" w:rsidP="00073FF5">
      <w:pPr>
        <w:jc w:val="both"/>
        <w:outlineLvl w:val="0"/>
      </w:pPr>
      <w:r>
        <w:t>Doporučen</w:t>
      </w:r>
      <w:r w:rsidR="00165C7E">
        <w:t>é</w:t>
      </w:r>
      <w:r>
        <w:t xml:space="preserve"> dávkování musí být přísně </w:t>
      </w:r>
      <w:r w:rsidR="00165C7E">
        <w:t>dodržováno</w:t>
      </w:r>
      <w:r>
        <w:t xml:space="preserve">, protože </w:t>
      </w:r>
      <w:r w:rsidR="00165C7E">
        <w:t>meze bezpečnosti</w:t>
      </w:r>
      <w:r>
        <w:t xml:space="preserve"> </w:t>
      </w:r>
      <w:proofErr w:type="spellStart"/>
      <w:r>
        <w:t>menbutonu</w:t>
      </w:r>
      <w:proofErr w:type="spellEnd"/>
      <w:r>
        <w:t xml:space="preserve"> nejsou známy. V případě srdeční blokád</w:t>
      </w:r>
      <w:r w:rsidR="00165C7E">
        <w:t>y</w:t>
      </w:r>
      <w:r>
        <w:t xml:space="preserve"> je nutné použít léky</w:t>
      </w:r>
      <w:r w:rsidR="00165C7E" w:rsidRPr="00165C7E">
        <w:t xml:space="preserve"> </w:t>
      </w:r>
      <w:r w:rsidR="00165C7E">
        <w:t>ovlivňující kardiovaskulární systém</w:t>
      </w:r>
      <w:r>
        <w:t>.</w:t>
      </w:r>
    </w:p>
    <w:p w14:paraId="337247B9" w14:textId="77777777" w:rsidR="002555D1" w:rsidRDefault="002555D1" w:rsidP="00073FF5">
      <w:pPr>
        <w:jc w:val="both"/>
        <w:outlineLvl w:val="0"/>
      </w:pPr>
    </w:p>
    <w:p w14:paraId="423664DD" w14:textId="5F13226C" w:rsidR="002555D1" w:rsidRPr="00FB44AA" w:rsidRDefault="002555D1" w:rsidP="00073FF5">
      <w:pPr>
        <w:tabs>
          <w:tab w:val="clear" w:pos="567"/>
        </w:tabs>
        <w:spacing w:line="240" w:lineRule="auto"/>
        <w:ind w:left="567" w:hanging="567"/>
        <w:jc w:val="both"/>
        <w:outlineLvl w:val="0"/>
        <w:rPr>
          <w:u w:val="single"/>
        </w:rPr>
      </w:pPr>
      <w:r w:rsidRPr="00FB44AA">
        <w:rPr>
          <w:u w:val="single"/>
        </w:rPr>
        <w:t>Inkompatibility</w:t>
      </w:r>
      <w:r w:rsidR="00FF3066">
        <w:rPr>
          <w:u w:val="single"/>
        </w:rPr>
        <w:t>:</w:t>
      </w:r>
    </w:p>
    <w:p w14:paraId="3BC85843" w14:textId="77777777" w:rsidR="002555D1" w:rsidRPr="00FA021F" w:rsidRDefault="002555D1" w:rsidP="00073FF5">
      <w:pPr>
        <w:jc w:val="both"/>
        <w:rPr>
          <w:szCs w:val="28"/>
        </w:rPr>
      </w:pPr>
      <w:r>
        <w:t>Nepodávat s roztoky, které obsahují:</w:t>
      </w:r>
    </w:p>
    <w:p w14:paraId="0FEEE459" w14:textId="06043A5A" w:rsidR="002555D1" w:rsidRPr="00FA021F" w:rsidRDefault="004412AE" w:rsidP="00073FF5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8"/>
        </w:rPr>
      </w:pPr>
      <w:r>
        <w:lastRenderedPageBreak/>
        <w:t>Vápník</w:t>
      </w:r>
    </w:p>
    <w:p w14:paraId="5ABAF449" w14:textId="76F10B99" w:rsidR="002555D1" w:rsidRPr="00FA021F" w:rsidRDefault="004412AE" w:rsidP="00073FF5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8"/>
        </w:rPr>
      </w:pPr>
      <w:r>
        <w:t>Prokain-</w:t>
      </w:r>
      <w:proofErr w:type="spellStart"/>
      <w:r>
        <w:t>benzylpenicilin</w:t>
      </w:r>
      <w:proofErr w:type="spellEnd"/>
    </w:p>
    <w:p w14:paraId="513A7913" w14:textId="1856ED16" w:rsidR="002555D1" w:rsidRPr="00FA021F" w:rsidRDefault="002555D1" w:rsidP="00073FF5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8"/>
        </w:rPr>
      </w:pPr>
      <w:r>
        <w:t>Vitamín B</w:t>
      </w:r>
      <w:r w:rsidR="00AE6A3F">
        <w:t>-</w:t>
      </w:r>
      <w:r>
        <w:t>komplex</w:t>
      </w:r>
    </w:p>
    <w:p w14:paraId="4B439E9A" w14:textId="77777777" w:rsidR="002555D1" w:rsidRDefault="002555D1" w:rsidP="002555D1">
      <w:pPr>
        <w:outlineLvl w:val="0"/>
      </w:pPr>
    </w:p>
    <w:p w14:paraId="7C284578" w14:textId="77777777" w:rsidR="002555D1" w:rsidRDefault="002555D1" w:rsidP="002555D1">
      <w:pPr>
        <w:tabs>
          <w:tab w:val="clear" w:pos="567"/>
        </w:tabs>
        <w:spacing w:line="240" w:lineRule="auto"/>
      </w:pPr>
    </w:p>
    <w:p w14:paraId="2FFE1065" w14:textId="77777777" w:rsidR="002555D1" w:rsidRDefault="002555D1" w:rsidP="002555D1">
      <w:pPr>
        <w:spacing w:line="240" w:lineRule="auto"/>
        <w:ind w:left="567" w:hanging="567"/>
        <w:rPr>
          <w:b/>
        </w:rPr>
      </w:pPr>
      <w:r>
        <w:rPr>
          <w:b/>
        </w:rPr>
        <w:t>13.</w:t>
      </w:r>
      <w:r>
        <w:rPr>
          <w:b/>
        </w:rPr>
        <w:tab/>
        <w:t>ZVLÁŠTNÍ OPATŘENÍ PRO ZNEŠKODŇOVÁNÍ NEPOUŽITÝCH PŘÍPRAVKŮ NEBO ODPADU, POKUD JE JICH TŘEBA</w:t>
      </w:r>
    </w:p>
    <w:p w14:paraId="40C7B9A6" w14:textId="77777777" w:rsidR="002555D1" w:rsidRDefault="002555D1" w:rsidP="00073FF5">
      <w:pPr>
        <w:spacing w:line="240" w:lineRule="auto"/>
        <w:ind w:left="567" w:hanging="567"/>
        <w:jc w:val="both"/>
      </w:pPr>
    </w:p>
    <w:p w14:paraId="4929EFAB" w14:textId="77777777" w:rsidR="002555D1" w:rsidRDefault="002555D1" w:rsidP="00073FF5">
      <w:pPr>
        <w:tabs>
          <w:tab w:val="clear" w:pos="567"/>
        </w:tabs>
        <w:spacing w:line="240" w:lineRule="auto"/>
        <w:jc w:val="both"/>
      </w:pPr>
      <w:r>
        <w:t>Léčivé přípravky se nesmí likvidovat prostřednictvím odpadní vody či domovního odpadu.</w:t>
      </w:r>
    </w:p>
    <w:p w14:paraId="68DC4F35" w14:textId="5D9389F3" w:rsidR="002555D1" w:rsidRDefault="002555D1" w:rsidP="00073FF5">
      <w:pPr>
        <w:tabs>
          <w:tab w:val="clear" w:pos="567"/>
        </w:tabs>
        <w:spacing w:line="240" w:lineRule="auto"/>
        <w:jc w:val="both"/>
      </w:pPr>
      <w:r>
        <w:t xml:space="preserve">O </w:t>
      </w:r>
      <w:r w:rsidR="00AC4FCF">
        <w:t xml:space="preserve">možnostech </w:t>
      </w:r>
      <w:r>
        <w:t>likvidac</w:t>
      </w:r>
      <w:r w:rsidR="00AC4FCF">
        <w:t xml:space="preserve">e </w:t>
      </w:r>
      <w:r>
        <w:t>nepotřebných léčiv</w:t>
      </w:r>
      <w:r w:rsidR="00AC4FCF">
        <w:t xml:space="preserve">ých přípravků </w:t>
      </w:r>
      <w:r>
        <w:t>se poraďte s</w:t>
      </w:r>
      <w:r w:rsidR="00AC4FCF">
        <w:t xml:space="preserve"> vaším </w:t>
      </w:r>
      <w:r>
        <w:t xml:space="preserve">veterinárním lékařem nebo lékárníkem. Tato opatření </w:t>
      </w:r>
      <w:r w:rsidR="00AC4FCF">
        <w:t>na</w:t>
      </w:r>
      <w:r>
        <w:t>pomáhají chránit životní prostředí.</w:t>
      </w:r>
    </w:p>
    <w:p w14:paraId="66D78728" w14:textId="60795BC5" w:rsidR="002555D1" w:rsidRDefault="002555D1" w:rsidP="002555D1">
      <w:pPr>
        <w:tabs>
          <w:tab w:val="clear" w:pos="567"/>
        </w:tabs>
        <w:spacing w:line="240" w:lineRule="auto"/>
        <w:ind w:right="-318"/>
      </w:pPr>
    </w:p>
    <w:p w14:paraId="2AC277C6" w14:textId="77777777" w:rsidR="003A3517" w:rsidRDefault="003A3517" w:rsidP="002555D1">
      <w:pPr>
        <w:tabs>
          <w:tab w:val="clear" w:pos="567"/>
        </w:tabs>
        <w:spacing w:line="240" w:lineRule="auto"/>
        <w:ind w:right="-318"/>
      </w:pPr>
    </w:p>
    <w:p w14:paraId="756900BD" w14:textId="77777777" w:rsidR="002555D1" w:rsidRDefault="002555D1" w:rsidP="002555D1">
      <w:pPr>
        <w:spacing w:line="240" w:lineRule="auto"/>
        <w:ind w:left="567" w:hanging="567"/>
        <w:rPr>
          <w:b/>
        </w:rPr>
      </w:pPr>
      <w:r>
        <w:rPr>
          <w:b/>
        </w:rPr>
        <w:t>14.</w:t>
      </w:r>
      <w:r>
        <w:rPr>
          <w:b/>
        </w:rPr>
        <w:tab/>
        <w:t>DATUM POSLEDNÍ REVIZE PŘÍBALOVÉ INFORMACE</w:t>
      </w:r>
    </w:p>
    <w:p w14:paraId="584E527D" w14:textId="0179AD4B" w:rsidR="002555D1" w:rsidRPr="00C846E6" w:rsidRDefault="002555D1" w:rsidP="002555D1">
      <w:pPr>
        <w:spacing w:line="240" w:lineRule="auto"/>
        <w:ind w:left="567" w:hanging="567"/>
      </w:pPr>
    </w:p>
    <w:p w14:paraId="708F3F15" w14:textId="1AAFB8BC" w:rsidR="00AC4FCF" w:rsidRDefault="00F350B9" w:rsidP="002555D1">
      <w:pPr>
        <w:spacing w:line="240" w:lineRule="auto"/>
        <w:ind w:left="567" w:hanging="567"/>
      </w:pPr>
      <w:r>
        <w:t>Únor 2022</w:t>
      </w:r>
      <w:bookmarkStart w:id="0" w:name="_GoBack"/>
      <w:bookmarkEnd w:id="0"/>
    </w:p>
    <w:p w14:paraId="7966BAFB" w14:textId="77777777" w:rsidR="00AC4FCF" w:rsidRPr="00C846E6" w:rsidRDefault="00AC4FCF" w:rsidP="002555D1">
      <w:pPr>
        <w:spacing w:line="240" w:lineRule="auto"/>
        <w:ind w:left="567" w:hanging="567"/>
      </w:pPr>
    </w:p>
    <w:p w14:paraId="4FBF5AC1" w14:textId="77777777" w:rsidR="002555D1" w:rsidRDefault="002555D1" w:rsidP="002555D1">
      <w:pPr>
        <w:rPr>
          <w:b/>
        </w:rPr>
      </w:pPr>
      <w:r>
        <w:rPr>
          <w:b/>
        </w:rPr>
        <w:t>15.</w:t>
      </w:r>
      <w:r>
        <w:rPr>
          <w:b/>
        </w:rPr>
        <w:tab/>
        <w:t>DALŠÍ INFORMACE</w:t>
      </w:r>
    </w:p>
    <w:p w14:paraId="08CEE70E" w14:textId="2672795B" w:rsidR="00AE6A3F" w:rsidRPr="00FB44AA" w:rsidRDefault="00AE6A3F" w:rsidP="002555D1">
      <w:r w:rsidRPr="00FB44AA">
        <w:t>Pouze pro zvířata.</w:t>
      </w:r>
    </w:p>
    <w:p w14:paraId="10A6647D" w14:textId="4D543E6C" w:rsidR="00AE6A3F" w:rsidRDefault="00AE6A3F" w:rsidP="002555D1">
      <w:r w:rsidRPr="00FB44AA">
        <w:t>Veterinární léčivý přípravek je vydáván pouze na předpis.</w:t>
      </w:r>
    </w:p>
    <w:p w14:paraId="33EB86AF" w14:textId="77777777" w:rsidR="00AE6A3F" w:rsidRPr="00FB44AA" w:rsidRDefault="00AE6A3F" w:rsidP="002555D1"/>
    <w:p w14:paraId="7B0973AE" w14:textId="5F4DEC0C" w:rsidR="002555D1" w:rsidRPr="00C43087" w:rsidRDefault="002555D1" w:rsidP="002555D1">
      <w:proofErr w:type="spellStart"/>
      <w:r>
        <w:t>Vícedávková</w:t>
      </w:r>
      <w:proofErr w:type="spellEnd"/>
      <w:r>
        <w:t xml:space="preserve">, čirá, injekční lahvička </w:t>
      </w:r>
      <w:r w:rsidR="004412AE">
        <w:t xml:space="preserve">obsahující </w:t>
      </w:r>
      <w:r>
        <w:t xml:space="preserve">100 ml ze skla typu I s </w:t>
      </w:r>
      <w:proofErr w:type="spellStart"/>
      <w:r w:rsidR="004412AE">
        <w:t>bromobutylovou</w:t>
      </w:r>
      <w:proofErr w:type="spellEnd"/>
      <w:r w:rsidR="004412AE">
        <w:t xml:space="preserve"> gumovou zátkou </w:t>
      </w:r>
      <w:r>
        <w:t xml:space="preserve">a </w:t>
      </w:r>
      <w:r w:rsidR="004412AE">
        <w:t>hliníkovou pertlí</w:t>
      </w:r>
      <w:r>
        <w:t xml:space="preserve">. Krabička </w:t>
      </w:r>
      <w:r w:rsidR="004412AE">
        <w:t xml:space="preserve">s </w:t>
      </w:r>
      <w:r>
        <w:t>1 x 100 ml nebo 12 x 100 ml</w:t>
      </w:r>
    </w:p>
    <w:p w14:paraId="34A7C4AF" w14:textId="77777777" w:rsidR="002555D1" w:rsidRPr="00C43087" w:rsidRDefault="002555D1" w:rsidP="002555D1"/>
    <w:p w14:paraId="23314BC3" w14:textId="77777777" w:rsidR="002555D1" w:rsidRDefault="002555D1" w:rsidP="002555D1">
      <w:pPr>
        <w:tabs>
          <w:tab w:val="clear" w:pos="567"/>
        </w:tabs>
        <w:spacing w:line="240" w:lineRule="auto"/>
        <w:ind w:right="-318"/>
      </w:pPr>
      <w:r>
        <w:t>Na trhu nemusí být všechny velikosti balení.</w:t>
      </w:r>
    </w:p>
    <w:p w14:paraId="415732B0" w14:textId="77777777" w:rsidR="000E1FF0" w:rsidRDefault="000E1FF0" w:rsidP="002555D1">
      <w:pPr>
        <w:tabs>
          <w:tab w:val="clear" w:pos="567"/>
        </w:tabs>
        <w:spacing w:line="240" w:lineRule="auto"/>
        <w:ind w:right="-318"/>
      </w:pPr>
    </w:p>
    <w:p w14:paraId="5EB93B7D" w14:textId="77777777" w:rsidR="000E1FF0" w:rsidRPr="000E1FF0" w:rsidRDefault="000E1FF0" w:rsidP="000E1FF0">
      <w:pPr>
        <w:tabs>
          <w:tab w:val="clear" w:pos="567"/>
        </w:tabs>
        <w:spacing w:line="240" w:lineRule="auto"/>
        <w:ind w:right="-318"/>
        <w:rPr>
          <w:b/>
        </w:rPr>
      </w:pPr>
      <w:r w:rsidRPr="000E1FF0">
        <w:rPr>
          <w:b/>
        </w:rPr>
        <w:t>Česká republika</w:t>
      </w:r>
    </w:p>
    <w:p w14:paraId="032C1B08" w14:textId="77777777" w:rsidR="000E1FF0" w:rsidRDefault="000E1FF0" w:rsidP="000E1FF0">
      <w:pPr>
        <w:tabs>
          <w:tab w:val="clear" w:pos="567"/>
        </w:tabs>
        <w:spacing w:line="240" w:lineRule="auto"/>
        <w:ind w:right="-318"/>
      </w:pPr>
      <w:r>
        <w:t>Dr. Bubeníček, spol. s r.o.</w:t>
      </w:r>
    </w:p>
    <w:p w14:paraId="4E15B59B" w14:textId="77777777" w:rsidR="000E1FF0" w:rsidRDefault="000E1FF0" w:rsidP="000E1FF0">
      <w:pPr>
        <w:tabs>
          <w:tab w:val="clear" w:pos="567"/>
        </w:tabs>
        <w:spacing w:line="240" w:lineRule="auto"/>
        <w:ind w:right="-318"/>
      </w:pPr>
      <w:r>
        <w:t>Šimáčkova 104</w:t>
      </w:r>
    </w:p>
    <w:p w14:paraId="31E4E1E4" w14:textId="77777777" w:rsidR="000E1FF0" w:rsidRDefault="000E1FF0" w:rsidP="000E1FF0">
      <w:pPr>
        <w:tabs>
          <w:tab w:val="clear" w:pos="567"/>
        </w:tabs>
        <w:spacing w:line="240" w:lineRule="auto"/>
        <w:ind w:right="-318"/>
      </w:pPr>
      <w:r>
        <w:t>628 00 Brno</w:t>
      </w:r>
    </w:p>
    <w:p w14:paraId="34BAA57F" w14:textId="77777777" w:rsidR="000E1FF0" w:rsidRDefault="000E1FF0" w:rsidP="000E1FF0">
      <w:pPr>
        <w:tabs>
          <w:tab w:val="clear" w:pos="567"/>
        </w:tabs>
        <w:spacing w:line="240" w:lineRule="auto"/>
        <w:ind w:right="-318"/>
      </w:pPr>
      <w:r>
        <w:t>Tel: +420 544 231 413</w:t>
      </w:r>
    </w:p>
    <w:p w14:paraId="49406B1F" w14:textId="776BBF6B" w:rsidR="000E1FF0" w:rsidRPr="002C0B9D" w:rsidRDefault="000E1FF0" w:rsidP="000E1FF0">
      <w:pPr>
        <w:tabs>
          <w:tab w:val="clear" w:pos="567"/>
        </w:tabs>
        <w:spacing w:line="240" w:lineRule="auto"/>
        <w:ind w:right="-318"/>
      </w:pPr>
      <w:r>
        <w:t>e-mail: info@bubenicek.cz</w:t>
      </w:r>
    </w:p>
    <w:p w14:paraId="353437AE" w14:textId="77777777" w:rsidR="002555D1" w:rsidRDefault="002555D1">
      <w:pPr>
        <w:tabs>
          <w:tab w:val="clear" w:pos="567"/>
        </w:tabs>
        <w:spacing w:line="240" w:lineRule="auto"/>
      </w:pPr>
    </w:p>
    <w:sectPr w:rsidR="002555D1" w:rsidSect="00073F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5BB62" w14:textId="77777777" w:rsidR="00085590" w:rsidRDefault="00085590">
      <w:r>
        <w:separator/>
      </w:r>
    </w:p>
  </w:endnote>
  <w:endnote w:type="continuationSeparator" w:id="0">
    <w:p w14:paraId="7CEA3253" w14:textId="77777777" w:rsidR="00085590" w:rsidRDefault="0008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2D626" w14:textId="77777777" w:rsidR="003813D0" w:rsidRDefault="003813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1B125" w14:textId="77777777" w:rsidR="003813D0" w:rsidRDefault="003813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DCCB8" w14:textId="77777777" w:rsidR="009624BB" w:rsidRDefault="009624BB" w:rsidP="002C0B9D">
    <w:pPr>
      <w:pStyle w:val="Zpat"/>
      <w:pBdr>
        <w:top w:val="single" w:sz="4" w:space="1" w:color="auto"/>
      </w:pBdr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005014A7" w14:textId="77777777" w:rsidR="009624BB" w:rsidRPr="00D93F0A" w:rsidRDefault="009624BB" w:rsidP="009624BB">
    <w:pPr>
      <w:pStyle w:val="Zpat"/>
      <w:tabs>
        <w:tab w:val="clear" w:pos="8930"/>
        <w:tab w:val="right" w:pos="8931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F1547" w14:textId="77777777" w:rsidR="00085590" w:rsidRDefault="00085590">
      <w:r>
        <w:separator/>
      </w:r>
    </w:p>
  </w:footnote>
  <w:footnote w:type="continuationSeparator" w:id="0">
    <w:p w14:paraId="34568320" w14:textId="77777777" w:rsidR="00085590" w:rsidRDefault="0008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4738" w14:textId="77777777" w:rsidR="003813D0" w:rsidRDefault="003813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1334" w14:textId="77777777" w:rsidR="003813D0" w:rsidRDefault="003813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48856" w14:textId="69D60BCB" w:rsidR="009624BB" w:rsidRDefault="00F02A7D" w:rsidP="00F02A7D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1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4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7FA666B2"/>
    <w:multiLevelType w:val="hybridMultilevel"/>
    <w:tmpl w:val="A7F0475C"/>
    <w:lvl w:ilvl="0" w:tplc="B69CF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9"/>
  </w:num>
  <w:num w:numId="4">
    <w:abstractNumId w:val="28"/>
  </w:num>
  <w:num w:numId="5">
    <w:abstractNumId w:val="12"/>
  </w:num>
  <w:num w:numId="6">
    <w:abstractNumId w:val="22"/>
  </w:num>
  <w:num w:numId="7">
    <w:abstractNumId w:val="17"/>
  </w:num>
  <w:num w:numId="8">
    <w:abstractNumId w:val="8"/>
  </w:num>
  <w:num w:numId="9">
    <w:abstractNumId w:val="26"/>
  </w:num>
  <w:num w:numId="10">
    <w:abstractNumId w:val="27"/>
  </w:num>
  <w:num w:numId="11">
    <w:abstractNumId w:val="14"/>
  </w:num>
  <w:num w:numId="12">
    <w:abstractNumId w:val="13"/>
  </w:num>
  <w:num w:numId="13">
    <w:abstractNumId w:val="3"/>
  </w:num>
  <w:num w:numId="14">
    <w:abstractNumId w:val="25"/>
  </w:num>
  <w:num w:numId="15">
    <w:abstractNumId w:val="16"/>
  </w:num>
  <w:num w:numId="16">
    <w:abstractNumId w:val="30"/>
  </w:num>
  <w:num w:numId="17">
    <w:abstractNumId w:val="9"/>
  </w:num>
  <w:num w:numId="18">
    <w:abstractNumId w:val="1"/>
  </w:num>
  <w:num w:numId="19">
    <w:abstractNumId w:val="15"/>
  </w:num>
  <w:num w:numId="20">
    <w:abstractNumId w:val="4"/>
  </w:num>
  <w:num w:numId="21">
    <w:abstractNumId w:val="7"/>
  </w:num>
  <w:num w:numId="22">
    <w:abstractNumId w:val="23"/>
  </w:num>
  <w:num w:numId="23">
    <w:abstractNumId w:val="31"/>
  </w:num>
  <w:num w:numId="24">
    <w:abstractNumId w:val="19"/>
  </w:num>
  <w:num w:numId="25">
    <w:abstractNumId w:val="10"/>
  </w:num>
  <w:num w:numId="26">
    <w:abstractNumId w:val="11"/>
  </w:num>
  <w:num w:numId="27">
    <w:abstractNumId w:val="5"/>
  </w:num>
  <w:num w:numId="28">
    <w:abstractNumId w:val="6"/>
  </w:num>
  <w:num w:numId="29">
    <w:abstractNumId w:val="20"/>
  </w:num>
  <w:num w:numId="30">
    <w:abstractNumId w:val="32"/>
  </w:num>
  <w:num w:numId="31">
    <w:abstractNumId w:val="33"/>
  </w:num>
  <w:num w:numId="32">
    <w:abstractNumId w:val="18"/>
  </w:num>
  <w:num w:numId="33">
    <w:abstractNumId w:val="24"/>
  </w:num>
  <w:num w:numId="34">
    <w:abstractNumId w:val="21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664A6E"/>
    <w:rsid w:val="0002511B"/>
    <w:rsid w:val="00033F1D"/>
    <w:rsid w:val="000343AE"/>
    <w:rsid w:val="0004743D"/>
    <w:rsid w:val="00056677"/>
    <w:rsid w:val="000619AB"/>
    <w:rsid w:val="000705ED"/>
    <w:rsid w:val="00073FF5"/>
    <w:rsid w:val="00084962"/>
    <w:rsid w:val="00085590"/>
    <w:rsid w:val="000B20A2"/>
    <w:rsid w:val="000D52E5"/>
    <w:rsid w:val="000E1FF0"/>
    <w:rsid w:val="000E730C"/>
    <w:rsid w:val="001039FC"/>
    <w:rsid w:val="00104603"/>
    <w:rsid w:val="00106FEE"/>
    <w:rsid w:val="0012197D"/>
    <w:rsid w:val="0013391A"/>
    <w:rsid w:val="00134B7A"/>
    <w:rsid w:val="001532D0"/>
    <w:rsid w:val="00165C7E"/>
    <w:rsid w:val="00173128"/>
    <w:rsid w:val="00193614"/>
    <w:rsid w:val="001B3CF4"/>
    <w:rsid w:val="001E25DE"/>
    <w:rsid w:val="001F73D8"/>
    <w:rsid w:val="00220691"/>
    <w:rsid w:val="002213C1"/>
    <w:rsid w:val="00222369"/>
    <w:rsid w:val="00231550"/>
    <w:rsid w:val="002355D3"/>
    <w:rsid w:val="00243716"/>
    <w:rsid w:val="002555D1"/>
    <w:rsid w:val="00272A09"/>
    <w:rsid w:val="00282AE3"/>
    <w:rsid w:val="00287C41"/>
    <w:rsid w:val="002A753D"/>
    <w:rsid w:val="002B46B6"/>
    <w:rsid w:val="002C0B9D"/>
    <w:rsid w:val="002E1B68"/>
    <w:rsid w:val="003217EF"/>
    <w:rsid w:val="003259BD"/>
    <w:rsid w:val="00327B33"/>
    <w:rsid w:val="003474B9"/>
    <w:rsid w:val="003634F3"/>
    <w:rsid w:val="003766FB"/>
    <w:rsid w:val="003813D0"/>
    <w:rsid w:val="003A0336"/>
    <w:rsid w:val="003A3517"/>
    <w:rsid w:val="003B524C"/>
    <w:rsid w:val="003E7302"/>
    <w:rsid w:val="00410D4B"/>
    <w:rsid w:val="00423205"/>
    <w:rsid w:val="00433092"/>
    <w:rsid w:val="004412AE"/>
    <w:rsid w:val="0044184E"/>
    <w:rsid w:val="00443673"/>
    <w:rsid w:val="00444401"/>
    <w:rsid w:val="00451D8D"/>
    <w:rsid w:val="00462072"/>
    <w:rsid w:val="0046578D"/>
    <w:rsid w:val="004726A1"/>
    <w:rsid w:val="004822F1"/>
    <w:rsid w:val="00482603"/>
    <w:rsid w:val="004A21B4"/>
    <w:rsid w:val="004B0C93"/>
    <w:rsid w:val="004C0651"/>
    <w:rsid w:val="004C4788"/>
    <w:rsid w:val="004E0B9F"/>
    <w:rsid w:val="004F1E8E"/>
    <w:rsid w:val="00500324"/>
    <w:rsid w:val="00500F6D"/>
    <w:rsid w:val="00522029"/>
    <w:rsid w:val="00524DFA"/>
    <w:rsid w:val="00526175"/>
    <w:rsid w:val="0052756D"/>
    <w:rsid w:val="00536844"/>
    <w:rsid w:val="005373A4"/>
    <w:rsid w:val="005467F5"/>
    <w:rsid w:val="0055303F"/>
    <w:rsid w:val="00583194"/>
    <w:rsid w:val="00585F10"/>
    <w:rsid w:val="005A1C0E"/>
    <w:rsid w:val="005B4DB7"/>
    <w:rsid w:val="005F2E49"/>
    <w:rsid w:val="00604F2E"/>
    <w:rsid w:val="006204AD"/>
    <w:rsid w:val="00624F63"/>
    <w:rsid w:val="00635957"/>
    <w:rsid w:val="00651637"/>
    <w:rsid w:val="00662F09"/>
    <w:rsid w:val="00664A6E"/>
    <w:rsid w:val="006836AD"/>
    <w:rsid w:val="00686D9A"/>
    <w:rsid w:val="0069062C"/>
    <w:rsid w:val="006926FB"/>
    <w:rsid w:val="006A02D8"/>
    <w:rsid w:val="006A5B11"/>
    <w:rsid w:val="006C2FAF"/>
    <w:rsid w:val="006C5581"/>
    <w:rsid w:val="006D2DBC"/>
    <w:rsid w:val="006E5D35"/>
    <w:rsid w:val="007260E1"/>
    <w:rsid w:val="00726C21"/>
    <w:rsid w:val="00740780"/>
    <w:rsid w:val="0075138E"/>
    <w:rsid w:val="00775FD4"/>
    <w:rsid w:val="00790972"/>
    <w:rsid w:val="007924B5"/>
    <w:rsid w:val="007940EC"/>
    <w:rsid w:val="007A0754"/>
    <w:rsid w:val="007C2BCB"/>
    <w:rsid w:val="007C763B"/>
    <w:rsid w:val="007D3C48"/>
    <w:rsid w:val="007D460F"/>
    <w:rsid w:val="007F34C5"/>
    <w:rsid w:val="00811AB7"/>
    <w:rsid w:val="0081204A"/>
    <w:rsid w:val="00813208"/>
    <w:rsid w:val="00815402"/>
    <w:rsid w:val="00820A4F"/>
    <w:rsid w:val="00841F17"/>
    <w:rsid w:val="00842A72"/>
    <w:rsid w:val="00847261"/>
    <w:rsid w:val="008474DD"/>
    <w:rsid w:val="00875984"/>
    <w:rsid w:val="008A18BD"/>
    <w:rsid w:val="008A749F"/>
    <w:rsid w:val="008B7890"/>
    <w:rsid w:val="008F4B8A"/>
    <w:rsid w:val="00903C04"/>
    <w:rsid w:val="00910152"/>
    <w:rsid w:val="00920272"/>
    <w:rsid w:val="00932403"/>
    <w:rsid w:val="0093546E"/>
    <w:rsid w:val="009356E6"/>
    <w:rsid w:val="00942942"/>
    <w:rsid w:val="0094540D"/>
    <w:rsid w:val="009461EC"/>
    <w:rsid w:val="009624BB"/>
    <w:rsid w:val="00964A0B"/>
    <w:rsid w:val="00975661"/>
    <w:rsid w:val="00983AD4"/>
    <w:rsid w:val="00995D8E"/>
    <w:rsid w:val="009C1C59"/>
    <w:rsid w:val="009C598D"/>
    <w:rsid w:val="009D1585"/>
    <w:rsid w:val="009F3FAD"/>
    <w:rsid w:val="009F6DC3"/>
    <w:rsid w:val="009F75AF"/>
    <w:rsid w:val="00A05AA0"/>
    <w:rsid w:val="00A40F13"/>
    <w:rsid w:val="00A4305C"/>
    <w:rsid w:val="00A45D78"/>
    <w:rsid w:val="00A53848"/>
    <w:rsid w:val="00A62C74"/>
    <w:rsid w:val="00AB7275"/>
    <w:rsid w:val="00AC4FCF"/>
    <w:rsid w:val="00AE6A3F"/>
    <w:rsid w:val="00B04454"/>
    <w:rsid w:val="00B07E88"/>
    <w:rsid w:val="00B155D2"/>
    <w:rsid w:val="00B3043A"/>
    <w:rsid w:val="00B314F2"/>
    <w:rsid w:val="00B36799"/>
    <w:rsid w:val="00B44586"/>
    <w:rsid w:val="00B72FCC"/>
    <w:rsid w:val="00B74AEB"/>
    <w:rsid w:val="00B77964"/>
    <w:rsid w:val="00B825EF"/>
    <w:rsid w:val="00B84408"/>
    <w:rsid w:val="00B920B7"/>
    <w:rsid w:val="00BD33E3"/>
    <w:rsid w:val="00BF4D64"/>
    <w:rsid w:val="00C006C6"/>
    <w:rsid w:val="00C05BAA"/>
    <w:rsid w:val="00C15829"/>
    <w:rsid w:val="00C24027"/>
    <w:rsid w:val="00C26550"/>
    <w:rsid w:val="00C43087"/>
    <w:rsid w:val="00C44E4C"/>
    <w:rsid w:val="00C51896"/>
    <w:rsid w:val="00C53DB2"/>
    <w:rsid w:val="00C60F96"/>
    <w:rsid w:val="00C7357D"/>
    <w:rsid w:val="00C846E6"/>
    <w:rsid w:val="00C92787"/>
    <w:rsid w:val="00C96287"/>
    <w:rsid w:val="00C976F2"/>
    <w:rsid w:val="00CA0880"/>
    <w:rsid w:val="00CB7DF6"/>
    <w:rsid w:val="00CD1142"/>
    <w:rsid w:val="00CE541C"/>
    <w:rsid w:val="00D11B81"/>
    <w:rsid w:val="00D27949"/>
    <w:rsid w:val="00D30978"/>
    <w:rsid w:val="00D40BBD"/>
    <w:rsid w:val="00D501D6"/>
    <w:rsid w:val="00D56984"/>
    <w:rsid w:val="00D747B6"/>
    <w:rsid w:val="00D9190C"/>
    <w:rsid w:val="00D93DBE"/>
    <w:rsid w:val="00D93F0A"/>
    <w:rsid w:val="00DA3352"/>
    <w:rsid w:val="00DA68A2"/>
    <w:rsid w:val="00DB2409"/>
    <w:rsid w:val="00DD0ECD"/>
    <w:rsid w:val="00E1685B"/>
    <w:rsid w:val="00E80AB1"/>
    <w:rsid w:val="00EB6867"/>
    <w:rsid w:val="00EC50A4"/>
    <w:rsid w:val="00EF27EA"/>
    <w:rsid w:val="00F02A7D"/>
    <w:rsid w:val="00F240C9"/>
    <w:rsid w:val="00F31DFC"/>
    <w:rsid w:val="00F350B9"/>
    <w:rsid w:val="00F41C75"/>
    <w:rsid w:val="00F42E80"/>
    <w:rsid w:val="00F602AB"/>
    <w:rsid w:val="00F67797"/>
    <w:rsid w:val="00F71E4E"/>
    <w:rsid w:val="00F77473"/>
    <w:rsid w:val="00F81A7A"/>
    <w:rsid w:val="00F83CC5"/>
    <w:rsid w:val="00F87517"/>
    <w:rsid w:val="00F90A82"/>
    <w:rsid w:val="00F93122"/>
    <w:rsid w:val="00F9705E"/>
    <w:rsid w:val="00FA021F"/>
    <w:rsid w:val="00FA2BF4"/>
    <w:rsid w:val="00FA4FB2"/>
    <w:rsid w:val="00FB4171"/>
    <w:rsid w:val="00FB44AA"/>
    <w:rsid w:val="00FC5C7F"/>
    <w:rsid w:val="00FE2A52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2B2107"/>
  <w15:docId w15:val="{56435810-E1E2-48E0-A70B-685B9FDF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2C74"/>
    <w:pPr>
      <w:tabs>
        <w:tab w:val="left" w:pos="567"/>
      </w:tabs>
      <w:spacing w:line="260" w:lineRule="exact"/>
    </w:pPr>
    <w:rPr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62C74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link w:val="Nadpis2Char"/>
    <w:uiPriority w:val="99"/>
    <w:qFormat/>
    <w:rsid w:val="00A62C7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62C74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C74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uiPriority w:val="99"/>
    <w:qFormat/>
    <w:rsid w:val="00A62C74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link w:val="Nadpis6Char"/>
    <w:uiPriority w:val="99"/>
    <w:qFormat/>
    <w:rsid w:val="00A62C7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A62C7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A62C74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A62C74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6578D"/>
    <w:rPr>
      <w:rFonts w:ascii="Cambria" w:hAnsi="Cambria" w:cs="Times New Roman"/>
      <w:b/>
      <w:bCs/>
      <w:kern w:val="32"/>
      <w:sz w:val="32"/>
      <w:szCs w:val="32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6578D"/>
    <w:rPr>
      <w:rFonts w:ascii="Cambria" w:hAnsi="Cambria" w:cs="Times New Roman"/>
      <w:b/>
      <w:bCs/>
      <w:i/>
      <w:iCs/>
      <w:sz w:val="28"/>
      <w:szCs w:val="28"/>
      <w:lang w:val="cs-CZ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46578D"/>
    <w:rPr>
      <w:rFonts w:ascii="Cambria" w:hAnsi="Cambria" w:cs="Times New Roman"/>
      <w:b/>
      <w:bCs/>
      <w:sz w:val="26"/>
      <w:szCs w:val="26"/>
      <w:lang w:val="cs-CZ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6578D"/>
    <w:rPr>
      <w:rFonts w:ascii="Calibri" w:hAnsi="Calibri" w:cs="Times New Roman"/>
      <w:b/>
      <w:bCs/>
      <w:sz w:val="28"/>
      <w:szCs w:val="28"/>
      <w:lang w:val="cs-CZ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6578D"/>
    <w:rPr>
      <w:rFonts w:ascii="Calibri" w:hAnsi="Calibri" w:cs="Times New Roman"/>
      <w:b/>
      <w:bCs/>
      <w:i/>
      <w:iCs/>
      <w:sz w:val="26"/>
      <w:szCs w:val="26"/>
      <w:lang w:val="cs-CZ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46578D"/>
    <w:rPr>
      <w:rFonts w:ascii="Calibri" w:hAnsi="Calibri" w:cs="Times New Roman"/>
      <w:b/>
      <w:bCs/>
      <w:sz w:val="22"/>
      <w:szCs w:val="22"/>
      <w:lang w:val="cs-CZ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46578D"/>
    <w:rPr>
      <w:rFonts w:ascii="Calibri" w:hAnsi="Calibri" w:cs="Times New Roman"/>
      <w:sz w:val="24"/>
      <w:szCs w:val="24"/>
      <w:lang w:val="cs-CZ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46578D"/>
    <w:rPr>
      <w:rFonts w:ascii="Calibri" w:hAnsi="Calibri" w:cs="Times New Roman"/>
      <w:i/>
      <w:iCs/>
      <w:sz w:val="24"/>
      <w:szCs w:val="24"/>
      <w:lang w:val="cs-CZ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46578D"/>
    <w:rPr>
      <w:rFonts w:ascii="Cambria" w:hAnsi="Cambria" w:cs="Times New Roman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62C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578D"/>
    <w:rPr>
      <w:rFonts w:cs="Times New Roman"/>
      <w:sz w:val="2"/>
      <w:lang w:val="cs-CZ" w:eastAsia="en-US"/>
    </w:rPr>
  </w:style>
  <w:style w:type="paragraph" w:styleId="Zhlav">
    <w:name w:val="header"/>
    <w:basedOn w:val="Normln"/>
    <w:link w:val="ZhlavChar"/>
    <w:rsid w:val="00A62C7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locked/>
    <w:rsid w:val="0046578D"/>
    <w:rPr>
      <w:rFonts w:cs="Times New Roman"/>
      <w:sz w:val="22"/>
      <w:lang w:val="cs-CZ" w:eastAsia="en-US"/>
    </w:rPr>
  </w:style>
  <w:style w:type="paragraph" w:styleId="Zpat">
    <w:name w:val="footer"/>
    <w:basedOn w:val="Normln"/>
    <w:link w:val="ZpatChar"/>
    <w:rsid w:val="00A62C74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semiHidden/>
    <w:locked/>
    <w:rsid w:val="0046578D"/>
    <w:rPr>
      <w:rFonts w:cs="Times New Roman"/>
      <w:sz w:val="22"/>
      <w:lang w:val="cs-CZ" w:eastAsia="en-US"/>
    </w:rPr>
  </w:style>
  <w:style w:type="paragraph" w:styleId="Obsah9">
    <w:name w:val="toc 9"/>
    <w:basedOn w:val="Normln"/>
    <w:next w:val="Normln"/>
    <w:uiPriority w:val="99"/>
    <w:semiHidden/>
    <w:rsid w:val="00A62C74"/>
    <w:pPr>
      <w:tabs>
        <w:tab w:val="clear" w:pos="567"/>
      </w:tabs>
      <w:ind w:left="1760"/>
    </w:pPr>
  </w:style>
  <w:style w:type="character" w:styleId="Odkaznavysvtlivky">
    <w:name w:val="endnote reference"/>
    <w:basedOn w:val="Standardnpsmoodstavce"/>
    <w:uiPriority w:val="99"/>
    <w:semiHidden/>
    <w:rsid w:val="00A62C74"/>
    <w:rPr>
      <w:rFonts w:cs="Times New Roman"/>
      <w:vertAlign w:val="superscript"/>
    </w:rPr>
  </w:style>
  <w:style w:type="character" w:styleId="Znakapoznpodarou">
    <w:name w:val="footnote reference"/>
    <w:basedOn w:val="Standardnpsmoodstavce"/>
    <w:uiPriority w:val="99"/>
    <w:semiHidden/>
    <w:rsid w:val="00A62C74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A62C74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6578D"/>
    <w:rPr>
      <w:rFonts w:cs="Times New Roman"/>
      <w:lang w:val="cs-CZ" w:eastAsia="en-US"/>
    </w:rPr>
  </w:style>
  <w:style w:type="paragraph" w:styleId="Zkladntext">
    <w:name w:val="Body Text"/>
    <w:basedOn w:val="Normln"/>
    <w:link w:val="ZkladntextChar"/>
    <w:autoRedefine/>
    <w:uiPriority w:val="99"/>
    <w:rsid w:val="00A62C74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6578D"/>
    <w:rPr>
      <w:rFonts w:cs="Times New Roman"/>
      <w:sz w:val="22"/>
      <w:lang w:val="cs-CZ" w:eastAsia="en-US"/>
    </w:rPr>
  </w:style>
  <w:style w:type="paragraph" w:styleId="Textvbloku">
    <w:name w:val="Block Text"/>
    <w:basedOn w:val="Normln"/>
    <w:uiPriority w:val="99"/>
    <w:rsid w:val="00A62C74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uiPriority w:val="99"/>
    <w:rsid w:val="00A62C74"/>
    <w:pPr>
      <w:spacing w:line="240" w:lineRule="auto"/>
      <w:ind w:left="567" w:hanging="567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6578D"/>
    <w:rPr>
      <w:rFonts w:cs="Times New Roman"/>
      <w:sz w:val="22"/>
      <w:lang w:val="cs-CZ" w:eastAsia="en-US"/>
    </w:rPr>
  </w:style>
  <w:style w:type="paragraph" w:styleId="Zkladntext3">
    <w:name w:val="Body Text 3"/>
    <w:basedOn w:val="Normln"/>
    <w:link w:val="Zkladntext3Char"/>
    <w:uiPriority w:val="99"/>
    <w:rsid w:val="00A62C74"/>
    <w:pPr>
      <w:ind w:right="113"/>
      <w:jc w:val="both"/>
    </w:pPr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46578D"/>
    <w:rPr>
      <w:rFonts w:cs="Times New Roman"/>
      <w:sz w:val="16"/>
      <w:szCs w:val="16"/>
      <w:lang w:val="cs-CZ"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A62C74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46578D"/>
    <w:rPr>
      <w:rFonts w:cs="Times New Roman"/>
      <w:lang w:val="cs-CZ" w:eastAsia="en-US"/>
    </w:rPr>
  </w:style>
  <w:style w:type="character" w:styleId="Odkaznakoment">
    <w:name w:val="annotation reference"/>
    <w:basedOn w:val="Standardnpsmoodstavce"/>
    <w:uiPriority w:val="99"/>
    <w:semiHidden/>
    <w:rsid w:val="00A62C74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A62C74"/>
    <w:pPr>
      <w:ind w:left="567" w:hanging="567"/>
      <w:jc w:val="both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46578D"/>
    <w:rPr>
      <w:rFonts w:cs="Times New Roman"/>
      <w:sz w:val="22"/>
      <w:lang w:val="cs-CZ"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A62C7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6578D"/>
    <w:rPr>
      <w:rFonts w:cs="Times New Roman"/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A62C74"/>
    <w:pPr>
      <w:spacing w:line="240" w:lineRule="auto"/>
      <w:ind w:left="567" w:hanging="567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46578D"/>
    <w:rPr>
      <w:rFonts w:cs="Times New Roman"/>
      <w:sz w:val="16"/>
      <w:szCs w:val="16"/>
      <w:lang w:val="cs-CZ" w:eastAsia="en-US"/>
    </w:rPr>
  </w:style>
  <w:style w:type="character" w:styleId="Hypertextovodkaz">
    <w:name w:val="Hyperlink"/>
    <w:basedOn w:val="Standardnpsmoodstavce"/>
    <w:uiPriority w:val="99"/>
    <w:rsid w:val="00A62C74"/>
    <w:rPr>
      <w:rFonts w:cs="Times New Roman"/>
      <w:color w:val="0000FF"/>
      <w:u w:val="single"/>
    </w:rPr>
  </w:style>
  <w:style w:type="paragraph" w:customStyle="1" w:styleId="AHeader1">
    <w:name w:val="AHeader 1"/>
    <w:basedOn w:val="Normln"/>
    <w:uiPriority w:val="99"/>
    <w:rsid w:val="00A62C74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A62C74"/>
    <w:pPr>
      <w:numPr>
        <w:ilvl w:val="1"/>
      </w:numPr>
      <w:tabs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A62C74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uiPriority w:val="99"/>
    <w:rsid w:val="00A62C74"/>
    <w:pPr>
      <w:numPr>
        <w:ilvl w:val="3"/>
      </w:numPr>
      <w:tabs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A62C74"/>
    <w:pPr>
      <w:numPr>
        <w:ilvl w:val="4"/>
      </w:numPr>
      <w:tabs>
        <w:tab w:val="num" w:pos="1440"/>
        <w:tab w:val="num" w:pos="3600"/>
      </w:tabs>
      <w:ind w:left="3600"/>
    </w:pPr>
  </w:style>
  <w:style w:type="character" w:styleId="Sledovanodkaz">
    <w:name w:val="FollowedHyperlink"/>
    <w:basedOn w:val="Standardnpsmoodstavce"/>
    <w:uiPriority w:val="99"/>
    <w:rsid w:val="00A62C74"/>
    <w:rPr>
      <w:rFonts w:cs="Times New Roman"/>
      <w:color w:val="800080"/>
      <w:u w:val="single"/>
    </w:rPr>
  </w:style>
  <w:style w:type="paragraph" w:styleId="Zkladntextodsazen">
    <w:name w:val="Body Text Indent"/>
    <w:basedOn w:val="Default"/>
    <w:next w:val="Default"/>
    <w:link w:val="ZkladntextodsazenChar"/>
    <w:uiPriority w:val="99"/>
    <w:rsid w:val="00A62C74"/>
    <w:rPr>
      <w:color w:val="auto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6578D"/>
    <w:rPr>
      <w:rFonts w:cs="Times New Roman"/>
      <w:sz w:val="22"/>
      <w:lang w:val="cs-CZ" w:eastAsia="en-US"/>
    </w:rPr>
  </w:style>
  <w:style w:type="paragraph" w:customStyle="1" w:styleId="Default">
    <w:name w:val="Default"/>
    <w:uiPriority w:val="99"/>
    <w:rsid w:val="00A62C74"/>
    <w:pPr>
      <w:autoSpaceDE w:val="0"/>
      <w:autoSpaceDN w:val="0"/>
      <w:adjustRightInd w:val="0"/>
    </w:pPr>
    <w:rPr>
      <w:color w:val="000000"/>
      <w:sz w:val="24"/>
      <w:szCs w:val="24"/>
      <w:lang w:eastAsia="fi-FI"/>
    </w:rPr>
  </w:style>
  <w:style w:type="character" w:styleId="slostrnky">
    <w:name w:val="page number"/>
    <w:basedOn w:val="Standardnpsmoodstavce"/>
    <w:uiPriority w:val="99"/>
    <w:rsid w:val="00A62C74"/>
    <w:rPr>
      <w:rFonts w:cs="Times New Roman"/>
    </w:rPr>
  </w:style>
  <w:style w:type="paragraph" w:customStyle="1" w:styleId="Seliteteksti">
    <w:name w:val="Seliteteksti"/>
    <w:basedOn w:val="Normln"/>
    <w:uiPriority w:val="99"/>
    <w:semiHidden/>
    <w:rsid w:val="00A62C74"/>
    <w:rPr>
      <w:rFonts w:ascii="Tahoma" w:hAnsi="Tahoma" w:cs="Tahoma"/>
      <w:sz w:val="16"/>
      <w:szCs w:val="16"/>
    </w:rPr>
  </w:style>
  <w:style w:type="paragraph" w:customStyle="1" w:styleId="Kommentinotsikko">
    <w:name w:val="Kommentin otsikko"/>
    <w:basedOn w:val="Textkomente"/>
    <w:next w:val="Textkomente"/>
    <w:uiPriority w:val="99"/>
    <w:semiHidden/>
    <w:rsid w:val="00A62C74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A62C74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6578D"/>
    <w:rPr>
      <w:rFonts w:cs="Times New Roman"/>
      <w:sz w:val="2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62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578D"/>
    <w:rPr>
      <w:rFonts w:cs="Times New Roman"/>
      <w:b/>
      <w:bCs/>
      <w:lang w:val="cs-CZ" w:eastAsia="en-US"/>
    </w:rPr>
  </w:style>
  <w:style w:type="paragraph" w:styleId="Revize">
    <w:name w:val="Revision"/>
    <w:hidden/>
    <w:uiPriority w:val="99"/>
    <w:semiHidden/>
    <w:rsid w:val="00C92787"/>
    <w:rPr>
      <w:szCs w:val="20"/>
      <w:lang w:eastAsia="en-US"/>
    </w:rPr>
  </w:style>
  <w:style w:type="paragraph" w:customStyle="1" w:styleId="TextkrperGebrauchsinformation">
    <w:name w:val="TextkörperGebrauchsinformation"/>
    <w:basedOn w:val="Normln"/>
    <w:link w:val="TextkrperGebrauchsinformationChar"/>
    <w:rsid w:val="00073FF5"/>
    <w:pPr>
      <w:jc w:val="both"/>
    </w:pPr>
    <w:rPr>
      <w:snapToGrid w:val="0"/>
      <w:szCs w:val="22"/>
      <w:lang w:val="de-DE"/>
    </w:rPr>
  </w:style>
  <w:style w:type="character" w:customStyle="1" w:styleId="TextkrperGebrauchsinformationChar">
    <w:name w:val="TextkörperGebrauchsinformation Char"/>
    <w:link w:val="TextkrperGebrauchsinformation"/>
    <w:rsid w:val="00073FF5"/>
    <w:rPr>
      <w:snapToGrid w:val="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7EE8-82F7-49D7-99C6-0350CD87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[TEM-006 Version 01/2006]</vt:lpstr>
      <vt:lpstr>[TEM-006 Version 01/2006]</vt:lpstr>
    </vt:vector>
  </TitlesOfParts>
  <Company>EMEA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[TEM-006 Version 01/2006]</dc:title>
  <dc:subject>SOP-EMEA/CMDv/65982/2006</dc:subject>
  <dc:creator>med-translations</dc:creator>
  <cp:lastModifiedBy>Neugebauerová Kateřina</cp:lastModifiedBy>
  <cp:revision>4</cp:revision>
  <cp:lastPrinted>2018-12-28T11:24:00Z</cp:lastPrinted>
  <dcterms:created xsi:type="dcterms:W3CDTF">2022-02-04T14:30:00Z</dcterms:created>
  <dcterms:modified xsi:type="dcterms:W3CDTF">2022-02-04T14:40:00Z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SOP-EMEA/CMDv/65982/2006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TEM-006 Downloadable QRD template</vt:lpwstr>
  </property>
  <property fmtid="{D5CDD505-2E9C-101B-9397-08002B2CF9AE}" pid="31" name="DM_Owner">
    <vt:lpwstr>Riepma Wim</vt:lpwstr>
  </property>
  <property fmtid="{D5CDD505-2E9C-101B-9397-08002B2CF9AE}" pid="32" name="DM_Creation_Date">
    <vt:lpwstr>21/02/2006 11:41:22</vt:lpwstr>
  </property>
  <property fmtid="{D5CDD505-2E9C-101B-9397-08002B2CF9AE}" pid="33" name="DM_Creator_Name">
    <vt:lpwstr>Riepma Wim</vt:lpwstr>
  </property>
  <property fmtid="{D5CDD505-2E9C-101B-9397-08002B2CF9AE}" pid="34" name="DM_Modifer_Name">
    <vt:lpwstr>Riepma Wim</vt:lpwstr>
  </property>
  <property fmtid="{D5CDD505-2E9C-101B-9397-08002B2CF9AE}" pid="35" name="DM_Modified_Date">
    <vt:lpwstr>21/02/2006 11:42:52</vt:lpwstr>
  </property>
  <property fmtid="{D5CDD505-2E9C-101B-9397-08002B2CF9AE}" pid="36" name="DM_Type">
    <vt:lpwstr>emea_document</vt:lpwstr>
  </property>
  <property fmtid="{D5CDD505-2E9C-101B-9397-08002B2CF9AE}" pid="37" name="DM_Version">
    <vt:lpwstr>0.1, CURRENT</vt:lpwstr>
  </property>
  <property fmtid="{D5CDD505-2E9C-101B-9397-08002B2CF9AE}" pid="38" name="DM_emea_doc_ref_id">
    <vt:lpwstr>EMEA/CMDv/65982/2006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65982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>CMDv</vt:lpwstr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SOP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2006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</Properties>
</file>