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42" w:rsidRDefault="00117242" w:rsidP="00117242">
      <w:pPr>
        <w:rPr>
          <w:bCs/>
        </w:rPr>
      </w:pPr>
      <w:bookmarkStart w:id="0" w:name="_GoBack"/>
      <w:bookmarkEnd w:id="0"/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jc w:val="center"/>
        <w:rPr>
          <w:bCs/>
        </w:rPr>
      </w:pPr>
    </w:p>
    <w:p w:rsidR="00117242" w:rsidRDefault="00117242" w:rsidP="00117242">
      <w:pPr>
        <w:ind w:right="113"/>
        <w:rPr>
          <w:bCs/>
        </w:rPr>
      </w:pPr>
    </w:p>
    <w:p w:rsidR="00117242" w:rsidRDefault="00117242" w:rsidP="00117242">
      <w:pPr>
        <w:ind w:right="113"/>
        <w:rPr>
          <w:bCs/>
        </w:rPr>
      </w:pPr>
    </w:p>
    <w:p w:rsidR="00117242" w:rsidRDefault="00117242" w:rsidP="00117242">
      <w:pPr>
        <w:ind w:right="113"/>
        <w:rPr>
          <w:bCs/>
        </w:rPr>
      </w:pPr>
    </w:p>
    <w:p w:rsidR="00117242" w:rsidRDefault="00117242" w:rsidP="00117242">
      <w:pPr>
        <w:ind w:right="113"/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ind w:right="113"/>
        <w:jc w:val="center"/>
        <w:rPr>
          <w:bCs/>
        </w:rPr>
      </w:pPr>
      <w:r>
        <w:rPr>
          <w:bCs/>
        </w:rPr>
        <w:t>B. PŘÍBALOVÁ INFORMACE</w:t>
      </w:r>
    </w:p>
    <w:p w:rsidR="00117242" w:rsidRDefault="00117242" w:rsidP="00117242">
      <w:pPr>
        <w:jc w:val="center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PŘÍBALOVÁ INFORMACE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pStyle w:val="Zkladntext3"/>
      </w:pPr>
      <w:r>
        <w:t>1.</w:t>
      </w:r>
      <w:r>
        <w:tab/>
        <w:t>JMÉNO A ADRESA DRŽITELE ROZHODNUTÍ O REGISTRACI                     A DRŽITELE POVOLENÍ K VÝROBĚ ODPOVĚDNÉHO ZA UVOLNĚNÍ ŠARŽE, POKUD SE NESHODUJE</w:t>
      </w:r>
    </w:p>
    <w:p w:rsidR="00117242" w:rsidRDefault="00117242" w:rsidP="00117242">
      <w:pPr>
        <w:rPr>
          <w:bCs/>
        </w:rPr>
      </w:pPr>
    </w:p>
    <w:p w:rsidR="00F9529C" w:rsidRPr="00AC6819" w:rsidRDefault="00F9529C" w:rsidP="00F9529C">
      <w:pPr>
        <w:rPr>
          <w:rFonts w:eastAsia="Calibri"/>
          <w:b w:val="0"/>
          <w:szCs w:val="22"/>
          <w:lang w:val="en-GB" w:eastAsia="en-US"/>
        </w:rPr>
      </w:pPr>
      <w:r w:rsidRPr="006928E7">
        <w:rPr>
          <w:b w:val="0"/>
          <w:iCs/>
          <w:u w:val="single"/>
        </w:rPr>
        <w:t>Držitel rozhodnutí o registraci:</w:t>
      </w:r>
      <w:r w:rsidRPr="00AC6819">
        <w:rPr>
          <w:rFonts w:eastAsia="Calibri"/>
          <w:b w:val="0"/>
          <w:szCs w:val="22"/>
          <w:lang w:val="en-GB" w:eastAsia="en-US"/>
        </w:rPr>
        <w:t xml:space="preserve"> </w:t>
      </w:r>
    </w:p>
    <w:p w:rsidR="00F9529C" w:rsidRDefault="00F9529C" w:rsidP="00F9529C">
      <w:pPr>
        <w:pStyle w:val="Zkladntext"/>
      </w:pPr>
      <w:proofErr w:type="spellStart"/>
      <w:r>
        <w:t>Norbrook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(</w:t>
      </w:r>
      <w:proofErr w:type="spellStart"/>
      <w:r>
        <w:t>Ireland</w:t>
      </w:r>
      <w:proofErr w:type="spellEnd"/>
      <w:r>
        <w:t xml:space="preserve">) Limited, </w:t>
      </w:r>
      <w:proofErr w:type="spellStart"/>
      <w:r>
        <w:t>Rossmore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, </w:t>
      </w:r>
      <w:proofErr w:type="spellStart"/>
      <w:r>
        <w:t>Monaghan</w:t>
      </w:r>
      <w:proofErr w:type="spellEnd"/>
      <w:r>
        <w:t>, Irsko.</w:t>
      </w:r>
    </w:p>
    <w:p w:rsidR="00F9529C" w:rsidRDefault="00F9529C" w:rsidP="00F9529C">
      <w:pPr>
        <w:rPr>
          <w:bCs/>
        </w:rPr>
      </w:pPr>
    </w:p>
    <w:p w:rsidR="00F9529C" w:rsidRPr="00AC6819" w:rsidRDefault="00F9529C" w:rsidP="00F9529C">
      <w:pPr>
        <w:rPr>
          <w:rFonts w:eastAsia="Calibri"/>
          <w:b w:val="0"/>
          <w:szCs w:val="22"/>
          <w:lang w:val="en-GB" w:eastAsia="en-US"/>
        </w:rPr>
      </w:pPr>
      <w:r w:rsidRPr="006928E7">
        <w:rPr>
          <w:b w:val="0"/>
          <w:bCs/>
          <w:u w:val="single"/>
        </w:rPr>
        <w:t>Výrobce odpovědný za uvolnění šarže</w:t>
      </w:r>
      <w:r w:rsidRPr="006928E7">
        <w:rPr>
          <w:b w:val="0"/>
        </w:rPr>
        <w:t>:</w:t>
      </w:r>
    </w:p>
    <w:p w:rsidR="005855EA" w:rsidRPr="0049155F" w:rsidRDefault="005855EA" w:rsidP="005855EA">
      <w:pPr>
        <w:rPr>
          <w:b w:val="0"/>
        </w:rPr>
      </w:pPr>
      <w:proofErr w:type="spellStart"/>
      <w:r w:rsidRPr="00964863">
        <w:rPr>
          <w:b w:val="0"/>
          <w:highlight w:val="lightGray"/>
        </w:rPr>
        <w:t>Norbrook</w:t>
      </w:r>
      <w:proofErr w:type="spellEnd"/>
      <w:r w:rsidRPr="00964863">
        <w:rPr>
          <w:b w:val="0"/>
          <w:highlight w:val="lightGray"/>
        </w:rPr>
        <w:t xml:space="preserve"> </w:t>
      </w:r>
      <w:proofErr w:type="spellStart"/>
      <w:r w:rsidRPr="00964863">
        <w:rPr>
          <w:b w:val="0"/>
          <w:highlight w:val="lightGray"/>
        </w:rPr>
        <w:t>Manufacturing</w:t>
      </w:r>
      <w:proofErr w:type="spellEnd"/>
      <w:r w:rsidRPr="00964863">
        <w:rPr>
          <w:b w:val="0"/>
          <w:highlight w:val="lightGray"/>
        </w:rPr>
        <w:t xml:space="preserve"> Ltd, </w:t>
      </w:r>
      <w:proofErr w:type="spellStart"/>
      <w:r w:rsidRPr="00964863">
        <w:rPr>
          <w:b w:val="0"/>
          <w:highlight w:val="lightGray"/>
        </w:rPr>
        <w:t>Rossmore</w:t>
      </w:r>
      <w:proofErr w:type="spellEnd"/>
      <w:r w:rsidRPr="00964863">
        <w:rPr>
          <w:b w:val="0"/>
          <w:highlight w:val="lightGray"/>
        </w:rPr>
        <w:t xml:space="preserve"> </w:t>
      </w:r>
      <w:proofErr w:type="spellStart"/>
      <w:r w:rsidRPr="00964863">
        <w:rPr>
          <w:b w:val="0"/>
          <w:highlight w:val="lightGray"/>
        </w:rPr>
        <w:t>Industrial</w:t>
      </w:r>
      <w:proofErr w:type="spellEnd"/>
      <w:r w:rsidRPr="00964863">
        <w:rPr>
          <w:b w:val="0"/>
          <w:highlight w:val="lightGray"/>
        </w:rPr>
        <w:t xml:space="preserve"> </w:t>
      </w:r>
      <w:proofErr w:type="spellStart"/>
      <w:r w:rsidRPr="00964863">
        <w:rPr>
          <w:b w:val="0"/>
          <w:highlight w:val="lightGray"/>
        </w:rPr>
        <w:t>Estate</w:t>
      </w:r>
      <w:proofErr w:type="spellEnd"/>
      <w:r w:rsidRPr="00964863">
        <w:rPr>
          <w:b w:val="0"/>
          <w:highlight w:val="lightGray"/>
        </w:rPr>
        <w:t xml:space="preserve">, </w:t>
      </w:r>
      <w:proofErr w:type="spellStart"/>
      <w:r w:rsidRPr="00964863">
        <w:rPr>
          <w:b w:val="0"/>
          <w:highlight w:val="lightGray"/>
        </w:rPr>
        <w:t>Monaghan</w:t>
      </w:r>
      <w:proofErr w:type="spellEnd"/>
      <w:r w:rsidRPr="00964863">
        <w:rPr>
          <w:b w:val="0"/>
          <w:highlight w:val="lightGray"/>
        </w:rPr>
        <w:t>, Irsko.</w:t>
      </w:r>
    </w:p>
    <w:p w:rsidR="00117242" w:rsidRPr="005855EA" w:rsidRDefault="005855EA" w:rsidP="005855EA">
      <w:proofErr w:type="spellStart"/>
      <w:r w:rsidRPr="00964863">
        <w:rPr>
          <w:b w:val="0"/>
        </w:rPr>
        <w:t>Norbrook</w:t>
      </w:r>
      <w:proofErr w:type="spellEnd"/>
      <w:r w:rsidRPr="00964863">
        <w:rPr>
          <w:b w:val="0"/>
        </w:rPr>
        <w:t xml:space="preserve"> </w:t>
      </w:r>
      <w:proofErr w:type="spellStart"/>
      <w:r w:rsidRPr="00964863">
        <w:rPr>
          <w:b w:val="0"/>
        </w:rPr>
        <w:t>Laboratories</w:t>
      </w:r>
      <w:proofErr w:type="spellEnd"/>
      <w:r w:rsidRPr="00964863">
        <w:rPr>
          <w:b w:val="0"/>
        </w:rPr>
        <w:t xml:space="preserve"> Limited, Station Works, </w:t>
      </w:r>
      <w:proofErr w:type="spellStart"/>
      <w:r w:rsidRPr="00964863">
        <w:rPr>
          <w:b w:val="0"/>
        </w:rPr>
        <w:t>Newry</w:t>
      </w:r>
      <w:proofErr w:type="spellEnd"/>
      <w:r w:rsidRPr="00964863">
        <w:rPr>
          <w:b w:val="0"/>
        </w:rPr>
        <w:t>, Severní Irsko BT35 6 JP.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2.</w:t>
      </w:r>
      <w:r>
        <w:rPr>
          <w:bCs/>
        </w:rPr>
        <w:tab/>
        <w:t>NÁZEV VETERINÁRNÍHO LÉČIVÉHO PŘÍPRAVKU</w:t>
      </w:r>
    </w:p>
    <w:p w:rsidR="00117242" w:rsidRDefault="00117242" w:rsidP="00117242">
      <w:pPr>
        <w:rPr>
          <w:bCs/>
        </w:rPr>
      </w:pPr>
    </w:p>
    <w:p w:rsidR="00075869" w:rsidRDefault="00075869" w:rsidP="00075869">
      <w:pPr>
        <w:pStyle w:val="Zkladntext"/>
      </w:pPr>
      <w:r>
        <w:t xml:space="preserve">NOROMECTIN 140 mg perorální pasta pro koně </w:t>
      </w:r>
    </w:p>
    <w:p w:rsidR="00117242" w:rsidRPr="00075869" w:rsidRDefault="00075869" w:rsidP="00117242">
      <w:pPr>
        <w:rPr>
          <w:b w:val="0"/>
          <w:bCs/>
        </w:rPr>
      </w:pPr>
      <w:proofErr w:type="spellStart"/>
      <w:r w:rsidRPr="00075869">
        <w:rPr>
          <w:b w:val="0"/>
        </w:rPr>
        <w:t>Ivermectinum</w:t>
      </w:r>
      <w:proofErr w:type="spellEnd"/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3.</w:t>
      </w:r>
      <w:r>
        <w:rPr>
          <w:bCs/>
        </w:rPr>
        <w:tab/>
        <w:t>OBSAH LÉČIVÝCH A OSTATNÍCH LÁTEK</w:t>
      </w:r>
    </w:p>
    <w:p w:rsidR="00117242" w:rsidRDefault="00117242" w:rsidP="00117242">
      <w:pPr>
        <w:rPr>
          <w:bCs/>
        </w:rPr>
      </w:pPr>
    </w:p>
    <w:p w:rsidR="00075869" w:rsidRPr="00366BB8" w:rsidRDefault="00075869" w:rsidP="00075869">
      <w:pPr>
        <w:rPr>
          <w:b w:val="0"/>
          <w:bCs/>
        </w:rPr>
      </w:pPr>
      <w:r w:rsidRPr="00366BB8">
        <w:rPr>
          <w:b w:val="0"/>
          <w:bCs/>
        </w:rPr>
        <w:t xml:space="preserve">1 </w:t>
      </w:r>
      <w:r>
        <w:rPr>
          <w:b w:val="0"/>
          <w:bCs/>
        </w:rPr>
        <w:t>aplikátor (</w:t>
      </w:r>
      <w:smartTag w:uri="urn:schemas-microsoft-com:office:smarttags" w:element="metricconverter">
        <w:smartTagPr>
          <w:attr w:name="ProductID" w:val="7,49 g"/>
        </w:smartTagPr>
        <w:r>
          <w:rPr>
            <w:b w:val="0"/>
            <w:bCs/>
          </w:rPr>
          <w:t>7,49 g</w:t>
        </w:r>
      </w:smartTag>
      <w:r>
        <w:rPr>
          <w:b w:val="0"/>
          <w:bCs/>
        </w:rPr>
        <w:t>) obsahuje</w:t>
      </w:r>
    </w:p>
    <w:p w:rsidR="00075869" w:rsidRDefault="00075869" w:rsidP="00075869">
      <w:pPr>
        <w:rPr>
          <w:bCs/>
        </w:rPr>
      </w:pPr>
    </w:p>
    <w:p w:rsidR="00075869" w:rsidRDefault="00075869" w:rsidP="00075869">
      <w:pPr>
        <w:rPr>
          <w:b w:val="0"/>
          <w:sz w:val="28"/>
        </w:rPr>
      </w:pPr>
      <w:r>
        <w:rPr>
          <w:bCs/>
        </w:rPr>
        <w:t xml:space="preserve">Léčivá látka:        </w:t>
      </w:r>
      <w:r>
        <w:rPr>
          <w:b w:val="0"/>
          <w:sz w:val="28"/>
        </w:rPr>
        <w:t xml:space="preserve">                      </w:t>
      </w:r>
    </w:p>
    <w:p w:rsidR="00075869" w:rsidRDefault="00075869" w:rsidP="00075869">
      <w:pPr>
        <w:tabs>
          <w:tab w:val="left" w:pos="3420"/>
        </w:tabs>
        <w:rPr>
          <w:b w:val="0"/>
        </w:rPr>
      </w:pPr>
      <w:proofErr w:type="spellStart"/>
      <w:r>
        <w:rPr>
          <w:b w:val="0"/>
        </w:rPr>
        <w:t>Ivermectinum</w:t>
      </w:r>
      <w:proofErr w:type="spellEnd"/>
      <w:r>
        <w:rPr>
          <w:b w:val="0"/>
        </w:rPr>
        <w:tab/>
        <w:t>140 mg</w:t>
      </w:r>
    </w:p>
    <w:p w:rsidR="00075869" w:rsidRDefault="00075869" w:rsidP="00117242">
      <w:pPr>
        <w:rPr>
          <w:bCs/>
        </w:rPr>
      </w:pPr>
    </w:p>
    <w:p w:rsidR="00117242" w:rsidRDefault="00117242" w:rsidP="00117242">
      <w:pPr>
        <w:rPr>
          <w:b w:val="0"/>
          <w:bCs/>
        </w:rPr>
      </w:pPr>
    </w:p>
    <w:p w:rsidR="00075869" w:rsidRDefault="00075869" w:rsidP="00117242">
      <w:pPr>
        <w:rPr>
          <w:b w:val="0"/>
          <w:bCs/>
        </w:rPr>
      </w:pPr>
      <w:r>
        <w:rPr>
          <w:b w:val="0"/>
          <w:bCs/>
        </w:rPr>
        <w:t>Bílá</w:t>
      </w:r>
      <w:r w:rsidR="00E1495B">
        <w:rPr>
          <w:b w:val="0"/>
          <w:bCs/>
        </w:rPr>
        <w:t xml:space="preserve"> homogenní</w:t>
      </w:r>
      <w:r>
        <w:rPr>
          <w:b w:val="0"/>
          <w:bCs/>
        </w:rPr>
        <w:t>, perorální pasta</w:t>
      </w:r>
    </w:p>
    <w:p w:rsidR="00117242" w:rsidRDefault="00117242" w:rsidP="00117242">
      <w:pPr>
        <w:jc w:val="both"/>
        <w:rPr>
          <w:b w:val="0"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4.</w:t>
      </w:r>
      <w:r>
        <w:rPr>
          <w:bCs/>
        </w:rPr>
        <w:tab/>
        <w:t>INDIKACE</w:t>
      </w:r>
    </w:p>
    <w:p w:rsidR="00117242" w:rsidRDefault="00117242" w:rsidP="00117242">
      <w:pPr>
        <w:rPr>
          <w:bCs/>
        </w:rPr>
      </w:pPr>
    </w:p>
    <w:p w:rsidR="00CE1E72" w:rsidRDefault="00CE1E72" w:rsidP="00CE1E72">
      <w:pPr>
        <w:rPr>
          <w:b w:val="0"/>
          <w:bCs/>
        </w:rPr>
      </w:pPr>
      <w:r>
        <w:rPr>
          <w:b w:val="0"/>
          <w:bCs/>
        </w:rPr>
        <w:t xml:space="preserve">Léčba a prevence parazitárních onemocnění způsobených následujícími parazity: Dospělci a arteriální larvální </w:t>
      </w:r>
      <w:proofErr w:type="spellStart"/>
      <w:r>
        <w:rPr>
          <w:b w:val="0"/>
          <w:bCs/>
        </w:rPr>
        <w:t>stadiia</w:t>
      </w:r>
      <w:proofErr w:type="spellEnd"/>
      <w:r>
        <w:rPr>
          <w:b w:val="0"/>
          <w:bCs/>
        </w:rPr>
        <w:t xml:space="preserve"> – </w:t>
      </w:r>
      <w:proofErr w:type="spellStart"/>
      <w:r w:rsidRPr="005830A2">
        <w:rPr>
          <w:b w:val="0"/>
          <w:bCs/>
          <w:i/>
          <w:iCs/>
        </w:rPr>
        <w:t>Strongylus</w:t>
      </w:r>
      <w:proofErr w:type="spellEnd"/>
      <w:r w:rsidRPr="005830A2">
        <w:rPr>
          <w:b w:val="0"/>
          <w:bCs/>
          <w:i/>
          <w:iCs/>
        </w:rPr>
        <w:t xml:space="preserve"> </w:t>
      </w:r>
      <w:proofErr w:type="spellStart"/>
      <w:r w:rsidRPr="005830A2">
        <w:rPr>
          <w:b w:val="0"/>
          <w:bCs/>
          <w:i/>
          <w:iCs/>
        </w:rPr>
        <w:t>vulgaris</w:t>
      </w:r>
      <w:proofErr w:type="spellEnd"/>
      <w:r>
        <w:rPr>
          <w:b w:val="0"/>
          <w:bCs/>
          <w:iCs/>
        </w:rPr>
        <w:t>, d</w:t>
      </w:r>
      <w:r>
        <w:rPr>
          <w:b w:val="0"/>
          <w:bCs/>
        </w:rPr>
        <w:t xml:space="preserve">ospělci a tkáňové larvální </w:t>
      </w:r>
      <w:proofErr w:type="spellStart"/>
      <w:r>
        <w:rPr>
          <w:b w:val="0"/>
          <w:bCs/>
        </w:rPr>
        <w:t>stadiia</w:t>
      </w:r>
      <w:proofErr w:type="spellEnd"/>
      <w:r>
        <w:rPr>
          <w:b w:val="0"/>
          <w:bCs/>
        </w:rPr>
        <w:t xml:space="preserve"> – </w:t>
      </w:r>
      <w:proofErr w:type="spellStart"/>
      <w:r w:rsidRPr="005830A2">
        <w:rPr>
          <w:b w:val="0"/>
          <w:bCs/>
          <w:i/>
          <w:iCs/>
        </w:rPr>
        <w:t>Strongylus</w:t>
      </w:r>
      <w:proofErr w:type="spellEnd"/>
      <w:r w:rsidRPr="005830A2">
        <w:rPr>
          <w:b w:val="0"/>
          <w:bCs/>
          <w:i/>
          <w:iCs/>
        </w:rPr>
        <w:t xml:space="preserve"> </w:t>
      </w:r>
      <w:proofErr w:type="spellStart"/>
      <w:r w:rsidRPr="005830A2">
        <w:rPr>
          <w:b w:val="0"/>
          <w:bCs/>
          <w:i/>
          <w:iCs/>
        </w:rPr>
        <w:t>edentatus</w:t>
      </w:r>
      <w:proofErr w:type="spellEnd"/>
      <w:r w:rsidRPr="005830A2">
        <w:rPr>
          <w:b w:val="0"/>
          <w:bCs/>
          <w:i/>
          <w:iCs/>
        </w:rPr>
        <w:t>,</w:t>
      </w:r>
      <w:r>
        <w:rPr>
          <w:b w:val="0"/>
          <w:bCs/>
        </w:rPr>
        <w:t xml:space="preserve"> dospělci </w:t>
      </w:r>
      <w:r w:rsidRPr="005830A2">
        <w:rPr>
          <w:b w:val="0"/>
          <w:bCs/>
          <w:i/>
        </w:rPr>
        <w:t xml:space="preserve">S. </w:t>
      </w:r>
      <w:proofErr w:type="spellStart"/>
      <w:r w:rsidRPr="005830A2">
        <w:rPr>
          <w:b w:val="0"/>
          <w:bCs/>
          <w:i/>
        </w:rPr>
        <w:t>equinus</w:t>
      </w:r>
      <w:proofErr w:type="spellEnd"/>
      <w:r>
        <w:rPr>
          <w:b w:val="0"/>
          <w:bCs/>
        </w:rPr>
        <w:t xml:space="preserve"> a </w:t>
      </w:r>
      <w:proofErr w:type="spellStart"/>
      <w:r w:rsidRPr="005830A2">
        <w:rPr>
          <w:b w:val="0"/>
          <w:bCs/>
          <w:i/>
        </w:rPr>
        <w:t>Triodontophorus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spp</w:t>
      </w:r>
      <w:proofErr w:type="spellEnd"/>
      <w:r>
        <w:rPr>
          <w:b w:val="0"/>
          <w:bCs/>
        </w:rPr>
        <w:t xml:space="preserve">. Malí </w:t>
      </w:r>
      <w:proofErr w:type="spellStart"/>
      <w:r>
        <w:rPr>
          <w:b w:val="0"/>
          <w:bCs/>
        </w:rPr>
        <w:t>strongylidé</w:t>
      </w:r>
      <w:proofErr w:type="spellEnd"/>
      <w:r>
        <w:rPr>
          <w:b w:val="0"/>
          <w:bCs/>
        </w:rPr>
        <w:t>, dospělci,</w:t>
      </w:r>
      <w:r w:rsidR="00652E28">
        <w:rPr>
          <w:b w:val="0"/>
          <w:bCs/>
        </w:rPr>
        <w:t xml:space="preserve"> </w:t>
      </w:r>
      <w:r>
        <w:rPr>
          <w:b w:val="0"/>
          <w:bCs/>
        </w:rPr>
        <w:t xml:space="preserve">včetně </w:t>
      </w:r>
      <w:proofErr w:type="spellStart"/>
      <w:r>
        <w:rPr>
          <w:b w:val="0"/>
          <w:bCs/>
        </w:rPr>
        <w:t>benzimidazol</w:t>
      </w:r>
      <w:proofErr w:type="spellEnd"/>
      <w:r>
        <w:rPr>
          <w:b w:val="0"/>
          <w:bCs/>
        </w:rPr>
        <w:t xml:space="preserve">-rezistentních kmenů: </w:t>
      </w:r>
      <w:proofErr w:type="spellStart"/>
      <w:r w:rsidRPr="009146B2">
        <w:rPr>
          <w:b w:val="0"/>
          <w:bCs/>
          <w:i/>
        </w:rPr>
        <w:t>Cyathostomum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spp</w:t>
      </w:r>
      <w:proofErr w:type="spellEnd"/>
      <w:r>
        <w:rPr>
          <w:b w:val="0"/>
          <w:bCs/>
        </w:rPr>
        <w:t xml:space="preserve">., </w:t>
      </w:r>
      <w:proofErr w:type="spellStart"/>
      <w:r w:rsidRPr="009146B2">
        <w:rPr>
          <w:b w:val="0"/>
          <w:bCs/>
          <w:i/>
        </w:rPr>
        <w:t>Cylicocyclus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spp</w:t>
      </w:r>
      <w:proofErr w:type="spellEnd"/>
      <w:r>
        <w:rPr>
          <w:b w:val="0"/>
          <w:bCs/>
        </w:rPr>
        <w:t xml:space="preserve">., </w:t>
      </w:r>
      <w:proofErr w:type="spellStart"/>
      <w:r w:rsidRPr="009146B2">
        <w:rPr>
          <w:b w:val="0"/>
          <w:bCs/>
          <w:i/>
        </w:rPr>
        <w:t>Cylicostephanus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spp</w:t>
      </w:r>
      <w:proofErr w:type="spellEnd"/>
      <w:r>
        <w:rPr>
          <w:b w:val="0"/>
          <w:bCs/>
        </w:rPr>
        <w:t xml:space="preserve">., </w:t>
      </w:r>
      <w:proofErr w:type="spellStart"/>
      <w:r w:rsidRPr="009146B2">
        <w:rPr>
          <w:b w:val="0"/>
          <w:bCs/>
          <w:i/>
        </w:rPr>
        <w:t>Cylicodontophorus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spp</w:t>
      </w:r>
      <w:proofErr w:type="spellEnd"/>
      <w:r>
        <w:rPr>
          <w:b w:val="0"/>
          <w:bCs/>
        </w:rPr>
        <w:t xml:space="preserve">., </w:t>
      </w:r>
      <w:proofErr w:type="spellStart"/>
      <w:r w:rsidRPr="009146B2">
        <w:rPr>
          <w:b w:val="0"/>
          <w:bCs/>
          <w:i/>
        </w:rPr>
        <w:t>Gyocephalus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spp</w:t>
      </w:r>
      <w:proofErr w:type="spellEnd"/>
      <w:r>
        <w:rPr>
          <w:b w:val="0"/>
          <w:bCs/>
        </w:rPr>
        <w:t xml:space="preserve">. Dospělí a nezralí plicní parazité </w:t>
      </w:r>
      <w:proofErr w:type="spellStart"/>
      <w:r w:rsidRPr="009146B2">
        <w:rPr>
          <w:b w:val="0"/>
          <w:bCs/>
          <w:i/>
        </w:rPr>
        <w:t>Dictyocaulus</w:t>
      </w:r>
      <w:proofErr w:type="spellEnd"/>
      <w:r w:rsidRPr="009146B2">
        <w:rPr>
          <w:b w:val="0"/>
          <w:bCs/>
          <w:i/>
        </w:rPr>
        <w:t xml:space="preserve"> </w:t>
      </w:r>
      <w:proofErr w:type="spellStart"/>
      <w:r w:rsidRPr="009146B2">
        <w:rPr>
          <w:b w:val="0"/>
          <w:bCs/>
          <w:i/>
        </w:rPr>
        <w:t>arnfieldi</w:t>
      </w:r>
      <w:proofErr w:type="spellEnd"/>
      <w:r>
        <w:rPr>
          <w:b w:val="0"/>
          <w:bCs/>
        </w:rPr>
        <w:t xml:space="preserve">, dospělá a nezralá stádia </w:t>
      </w:r>
      <w:proofErr w:type="spellStart"/>
      <w:r w:rsidRPr="009146B2">
        <w:rPr>
          <w:b w:val="0"/>
          <w:bCs/>
          <w:i/>
        </w:rPr>
        <w:t>Oxyuris</w:t>
      </w:r>
      <w:proofErr w:type="spellEnd"/>
      <w:r w:rsidRPr="009146B2">
        <w:rPr>
          <w:b w:val="0"/>
          <w:bCs/>
          <w:i/>
        </w:rPr>
        <w:t xml:space="preserve"> </w:t>
      </w:r>
      <w:proofErr w:type="spellStart"/>
      <w:r w:rsidRPr="009146B2">
        <w:rPr>
          <w:b w:val="0"/>
          <w:bCs/>
          <w:i/>
        </w:rPr>
        <w:t>equi</w:t>
      </w:r>
      <w:proofErr w:type="spellEnd"/>
      <w:r>
        <w:rPr>
          <w:b w:val="0"/>
          <w:bCs/>
        </w:rPr>
        <w:t xml:space="preserve">, dospělci a nezralá stádia </w:t>
      </w:r>
      <w:proofErr w:type="spellStart"/>
      <w:r w:rsidRPr="009146B2">
        <w:rPr>
          <w:b w:val="0"/>
          <w:bCs/>
          <w:i/>
        </w:rPr>
        <w:t>Parascaris</w:t>
      </w:r>
      <w:proofErr w:type="spellEnd"/>
      <w:r w:rsidRPr="009146B2">
        <w:rPr>
          <w:b w:val="0"/>
          <w:bCs/>
          <w:i/>
        </w:rPr>
        <w:t xml:space="preserve"> </w:t>
      </w:r>
      <w:proofErr w:type="spellStart"/>
      <w:r w:rsidRPr="009146B2">
        <w:rPr>
          <w:b w:val="0"/>
          <w:bCs/>
          <w:i/>
        </w:rPr>
        <w:t>equorum</w:t>
      </w:r>
      <w:proofErr w:type="spellEnd"/>
      <w:r>
        <w:rPr>
          <w:b w:val="0"/>
          <w:bCs/>
        </w:rPr>
        <w:t xml:space="preserve">, dospělci </w:t>
      </w:r>
      <w:proofErr w:type="spellStart"/>
      <w:r w:rsidRPr="009146B2">
        <w:rPr>
          <w:b w:val="0"/>
          <w:bCs/>
          <w:i/>
        </w:rPr>
        <w:t>Trichostrongylus</w:t>
      </w:r>
      <w:proofErr w:type="spellEnd"/>
      <w:r w:rsidRPr="009146B2">
        <w:rPr>
          <w:b w:val="0"/>
          <w:bCs/>
          <w:i/>
        </w:rPr>
        <w:t xml:space="preserve"> </w:t>
      </w:r>
      <w:proofErr w:type="spellStart"/>
      <w:r w:rsidRPr="009146B2">
        <w:rPr>
          <w:b w:val="0"/>
          <w:bCs/>
          <w:i/>
        </w:rPr>
        <w:t>axei</w:t>
      </w:r>
      <w:proofErr w:type="spellEnd"/>
      <w:r w:rsidRPr="009146B2">
        <w:rPr>
          <w:b w:val="0"/>
          <w:bCs/>
          <w:i/>
        </w:rPr>
        <w:t xml:space="preserve">, </w:t>
      </w:r>
      <w:proofErr w:type="spellStart"/>
      <w:r w:rsidRPr="009146B2">
        <w:rPr>
          <w:b w:val="0"/>
          <w:bCs/>
          <w:i/>
        </w:rPr>
        <w:t>Habronema</w:t>
      </w:r>
      <w:proofErr w:type="spellEnd"/>
      <w:r w:rsidRPr="009146B2">
        <w:rPr>
          <w:b w:val="0"/>
          <w:bCs/>
          <w:i/>
        </w:rPr>
        <w:t xml:space="preserve"> </w:t>
      </w:r>
      <w:proofErr w:type="spellStart"/>
      <w:r w:rsidRPr="009146B2">
        <w:rPr>
          <w:b w:val="0"/>
          <w:bCs/>
          <w:i/>
        </w:rPr>
        <w:t>muscae</w:t>
      </w:r>
      <w:proofErr w:type="spellEnd"/>
      <w:r w:rsidRPr="009146B2">
        <w:rPr>
          <w:b w:val="0"/>
          <w:bCs/>
          <w:i/>
        </w:rPr>
        <w:t xml:space="preserve">, </w:t>
      </w:r>
      <w:proofErr w:type="spellStart"/>
      <w:r w:rsidRPr="009146B2">
        <w:rPr>
          <w:b w:val="0"/>
          <w:bCs/>
          <w:i/>
        </w:rPr>
        <w:t>Strongyloides</w:t>
      </w:r>
      <w:proofErr w:type="spellEnd"/>
      <w:r w:rsidRPr="009146B2">
        <w:rPr>
          <w:b w:val="0"/>
          <w:bCs/>
          <w:i/>
        </w:rPr>
        <w:t xml:space="preserve"> </w:t>
      </w:r>
      <w:proofErr w:type="spellStart"/>
      <w:r w:rsidRPr="009146B2">
        <w:rPr>
          <w:b w:val="0"/>
          <w:bCs/>
          <w:i/>
        </w:rPr>
        <w:t>westeri</w:t>
      </w:r>
      <w:proofErr w:type="spellEnd"/>
      <w:r>
        <w:rPr>
          <w:b w:val="0"/>
          <w:bCs/>
        </w:rPr>
        <w:t xml:space="preserve">, </w:t>
      </w:r>
      <w:proofErr w:type="spellStart"/>
      <w:r>
        <w:rPr>
          <w:b w:val="0"/>
          <w:bCs/>
        </w:rPr>
        <w:t>mikrofilarie</w:t>
      </w:r>
      <w:proofErr w:type="spellEnd"/>
      <w:r>
        <w:rPr>
          <w:b w:val="0"/>
          <w:bCs/>
        </w:rPr>
        <w:t xml:space="preserve"> </w:t>
      </w:r>
      <w:proofErr w:type="spellStart"/>
      <w:r w:rsidRPr="009146B2">
        <w:rPr>
          <w:b w:val="0"/>
          <w:bCs/>
          <w:i/>
        </w:rPr>
        <w:t>Onchocerca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spp</w:t>
      </w:r>
      <w:proofErr w:type="spellEnd"/>
      <w:r>
        <w:rPr>
          <w:b w:val="0"/>
          <w:bCs/>
        </w:rPr>
        <w:t xml:space="preserve">., orální a žaludeční stádia larev střečka </w:t>
      </w:r>
      <w:proofErr w:type="spellStart"/>
      <w:r w:rsidRPr="009146B2">
        <w:rPr>
          <w:b w:val="0"/>
          <w:bCs/>
          <w:i/>
        </w:rPr>
        <w:t>Gastrophilus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spp</w:t>
      </w:r>
      <w:proofErr w:type="spellEnd"/>
      <w:r>
        <w:rPr>
          <w:b w:val="0"/>
          <w:bCs/>
        </w:rPr>
        <w:t>.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 xml:space="preserve">5. </w:t>
      </w:r>
      <w:r>
        <w:rPr>
          <w:bCs/>
        </w:rPr>
        <w:tab/>
        <w:t>KONTRAINDIKACE</w:t>
      </w:r>
    </w:p>
    <w:p w:rsidR="00117242" w:rsidRDefault="00117242" w:rsidP="00117242">
      <w:pPr>
        <w:rPr>
          <w:bCs/>
        </w:rPr>
      </w:pPr>
    </w:p>
    <w:p w:rsidR="00CE1E72" w:rsidRPr="005830A2" w:rsidRDefault="00CE1E72" w:rsidP="00CE1E72">
      <w:pPr>
        <w:jc w:val="both"/>
        <w:rPr>
          <w:b w:val="0"/>
        </w:rPr>
      </w:pPr>
      <w:r w:rsidRPr="005830A2">
        <w:rPr>
          <w:b w:val="0"/>
        </w:rPr>
        <w:t>Nepoužívat v případě přecitlivělosti na léčivou látku nebo na některou z pomocných látek.</w:t>
      </w:r>
    </w:p>
    <w:p w:rsidR="00117242" w:rsidRPr="00652E28" w:rsidRDefault="00CE1E72" w:rsidP="00117242">
      <w:pPr>
        <w:rPr>
          <w:b w:val="0"/>
          <w:bCs/>
        </w:rPr>
      </w:pPr>
      <w:r w:rsidRPr="00652E28">
        <w:rPr>
          <w:b w:val="0"/>
          <w:szCs w:val="22"/>
        </w:rPr>
        <w:t>Nepoužívat u psů a koček z důvodu možného výskytu vážných nežádoucích účinků.</w:t>
      </w:r>
    </w:p>
    <w:p w:rsidR="00117242" w:rsidRDefault="00117242" w:rsidP="00117242">
      <w:pPr>
        <w:rPr>
          <w:bCs/>
        </w:rPr>
      </w:pPr>
    </w:p>
    <w:p w:rsidR="00652E28" w:rsidRDefault="00652E28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6.</w:t>
      </w:r>
      <w:r>
        <w:rPr>
          <w:bCs/>
        </w:rPr>
        <w:tab/>
        <w:t>NEŽÁDOUCÍ ÚČINKY</w:t>
      </w:r>
    </w:p>
    <w:p w:rsidR="00117242" w:rsidRDefault="00117242" w:rsidP="00117242">
      <w:pPr>
        <w:rPr>
          <w:bCs/>
        </w:rPr>
      </w:pPr>
    </w:p>
    <w:p w:rsidR="00CE1E72" w:rsidRDefault="00CE1E72" w:rsidP="00CE1E72">
      <w:pPr>
        <w:pStyle w:val="Zkladntext"/>
      </w:pPr>
      <w:r>
        <w:t xml:space="preserve">Při silné invazi </w:t>
      </w:r>
      <w:proofErr w:type="spellStart"/>
      <w:r>
        <w:t>Onchocerca</w:t>
      </w:r>
      <w:proofErr w:type="spellEnd"/>
      <w:r>
        <w:t xml:space="preserve"> může dojít po aplikaci přípravku k reakci (svědění, otoky) zapříčiněné velkým množstvím odumřelých </w:t>
      </w:r>
      <w:proofErr w:type="spellStart"/>
      <w:r>
        <w:t>mikrofilárií</w:t>
      </w:r>
      <w:proofErr w:type="spellEnd"/>
      <w:r>
        <w:t>. Příznaky mizí spontánně v několika dnech, případně se doporučuje symptomatická léčba.</w:t>
      </w:r>
    </w:p>
    <w:p w:rsidR="00117242" w:rsidRDefault="00117242" w:rsidP="00117242">
      <w:pPr>
        <w:rPr>
          <w:bCs/>
        </w:rPr>
      </w:pPr>
    </w:p>
    <w:p w:rsidR="00652E28" w:rsidRPr="00652E28" w:rsidRDefault="00652E28" w:rsidP="00652E28">
      <w:pPr>
        <w:rPr>
          <w:b w:val="0"/>
        </w:rPr>
      </w:pPr>
      <w:r w:rsidRPr="00652E28">
        <w:rPr>
          <w:b w:val="0"/>
        </w:rPr>
        <w:t>Jestliže zaznamenáte jakékoliv závažné nežádoucí účinky či jiné reakce, které nejsou uvedeny v této příbalové informaci, oznamte to pros</w:t>
      </w:r>
      <w:r>
        <w:rPr>
          <w:b w:val="0"/>
        </w:rPr>
        <w:t>ím vašemu veterinárnímu lékaři.</w:t>
      </w:r>
    </w:p>
    <w:p w:rsidR="00652E28" w:rsidRDefault="00652E28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DF68C4" w:rsidRDefault="00DF68C4" w:rsidP="00117242">
      <w:pPr>
        <w:rPr>
          <w:bCs/>
        </w:rPr>
      </w:pPr>
    </w:p>
    <w:p w:rsidR="00DF68C4" w:rsidRDefault="00DF68C4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7.</w:t>
      </w:r>
      <w:r>
        <w:rPr>
          <w:bCs/>
        </w:rPr>
        <w:tab/>
        <w:t>CÍLOVÝ DRUH ZVÍŘAT</w:t>
      </w:r>
    </w:p>
    <w:p w:rsidR="00117242" w:rsidRDefault="00117242" w:rsidP="00117242">
      <w:pPr>
        <w:rPr>
          <w:b w:val="0"/>
          <w:bCs/>
        </w:rPr>
      </w:pPr>
    </w:p>
    <w:p w:rsidR="00117242" w:rsidRDefault="00117242" w:rsidP="00117242">
      <w:pPr>
        <w:rPr>
          <w:b w:val="0"/>
          <w:bCs/>
        </w:rPr>
      </w:pPr>
      <w:r>
        <w:rPr>
          <w:b w:val="0"/>
          <w:bCs/>
        </w:rPr>
        <w:t>Koně.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8.</w:t>
      </w:r>
      <w:r>
        <w:rPr>
          <w:bCs/>
        </w:rPr>
        <w:tab/>
        <w:t>DÁVKOVÁNÍ PRO KAŽDÝ DRUH, CESTA(Y) A ZPŮSOB PODÁNÍ</w:t>
      </w:r>
    </w:p>
    <w:p w:rsidR="00117242" w:rsidRDefault="00117242" w:rsidP="00117242">
      <w:pPr>
        <w:rPr>
          <w:bCs/>
        </w:rPr>
      </w:pPr>
    </w:p>
    <w:p w:rsidR="00CE1E72" w:rsidRPr="0060168B" w:rsidRDefault="00CE1E72" w:rsidP="00CE1E72">
      <w:pPr>
        <w:rPr>
          <w:b w:val="0"/>
          <w:bCs/>
        </w:rPr>
      </w:pPr>
      <w:r w:rsidRPr="0060168B">
        <w:rPr>
          <w:b w:val="0"/>
          <w:bCs/>
        </w:rPr>
        <w:t>Perorální podání</w:t>
      </w:r>
    </w:p>
    <w:p w:rsidR="00CE1E72" w:rsidRDefault="00CE1E72" w:rsidP="00CE1E72">
      <w:pPr>
        <w:pStyle w:val="Zkladntext"/>
      </w:pPr>
      <w:proofErr w:type="gramStart"/>
      <w:r>
        <w:t>Koně - obecná</w:t>
      </w:r>
      <w:proofErr w:type="gramEnd"/>
      <w:r>
        <w:t xml:space="preserve"> doporučená dávka je 0,2 mg </w:t>
      </w:r>
      <w:proofErr w:type="spellStart"/>
      <w:r>
        <w:t>ivermectinu</w:t>
      </w:r>
      <w:proofErr w:type="spellEnd"/>
      <w:r>
        <w:t xml:space="preserve"> na </w:t>
      </w:r>
      <w:smartTag w:uri="urn:schemas-microsoft-com:office:smarttags" w:element="metricconverter">
        <w:smartTagPr>
          <w:attr w:name="ProductID" w:val="1 kg"/>
        </w:smartTagPr>
        <w:r>
          <w:t>1 kg</w:t>
        </w:r>
      </w:smartTag>
      <w:r>
        <w:t xml:space="preserve"> ž.hm. jednorázově perorálně. Aplikátor </w:t>
      </w:r>
      <w:smartTag w:uri="urn:schemas-microsoft-com:office:smarttags" w:element="metricconverter">
        <w:smartTagPr>
          <w:attr w:name="ProductID" w:val="7,49 g"/>
        </w:smartTagPr>
        <w:r>
          <w:t>7,49 g</w:t>
        </w:r>
      </w:smartTag>
      <w:r>
        <w:t xml:space="preserve"> obsahuje 140 mg </w:t>
      </w:r>
      <w:proofErr w:type="spellStart"/>
      <w:r>
        <w:t>ivermectinu</w:t>
      </w:r>
      <w:proofErr w:type="spellEnd"/>
      <w:r>
        <w:t xml:space="preserve">, množství dostatečné k ošetření </w:t>
      </w:r>
      <w:smartTag w:uri="urn:schemas-microsoft-com:office:smarttags" w:element="metricconverter">
        <w:smartTagPr>
          <w:attr w:name="ProductID" w:val="700 kg"/>
        </w:smartTagPr>
        <w:r>
          <w:t>700 kg</w:t>
        </w:r>
      </w:smartTag>
      <w:r>
        <w:t xml:space="preserve"> živé hmotnosti. </w:t>
      </w:r>
    </w:p>
    <w:p w:rsidR="00CE1E72" w:rsidRDefault="00CE1E72" w:rsidP="00CE1E72">
      <w:pPr>
        <w:rPr>
          <w:b w:val="0"/>
          <w:bCs/>
        </w:rPr>
      </w:pPr>
      <w:r>
        <w:rPr>
          <w:b w:val="0"/>
          <w:bCs/>
        </w:rPr>
        <w:t xml:space="preserve">Hříbata - aplikace od 6-8 týdnů stáří s opakováním po 6-8 týdnech. 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9.</w:t>
      </w:r>
      <w:r>
        <w:rPr>
          <w:bCs/>
        </w:rPr>
        <w:tab/>
        <w:t>POKYNY PRO SPRÁVNÉ PODÁNÍ</w:t>
      </w:r>
    </w:p>
    <w:p w:rsidR="00117242" w:rsidRDefault="00117242" w:rsidP="00117242">
      <w:pPr>
        <w:rPr>
          <w:bCs/>
        </w:rPr>
      </w:pPr>
    </w:p>
    <w:p w:rsidR="00CE1E72" w:rsidRDefault="00CE1E72" w:rsidP="00CE1E72">
      <w:pPr>
        <w:rPr>
          <w:b w:val="0"/>
          <w:bCs/>
        </w:rPr>
      </w:pPr>
      <w:r>
        <w:rPr>
          <w:b w:val="0"/>
          <w:bCs/>
        </w:rPr>
        <w:t xml:space="preserve">Aplikuje se na kořen jazyka.  Po aplikaci </w:t>
      </w:r>
      <w:r w:rsidR="00CF0B32">
        <w:rPr>
          <w:b w:val="0"/>
          <w:bCs/>
        </w:rPr>
        <w:t xml:space="preserve">je třeba </w:t>
      </w:r>
      <w:r>
        <w:rPr>
          <w:b w:val="0"/>
          <w:bCs/>
        </w:rPr>
        <w:t>podržet na několik vteřin hlavu koně či hříběte, aby došlo k polknutí aplikované dávky.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10.</w:t>
      </w:r>
      <w:r>
        <w:rPr>
          <w:bCs/>
        </w:rPr>
        <w:tab/>
        <w:t xml:space="preserve">OCHRANNÁ LHŮTA 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pStyle w:val="Zkladntext"/>
      </w:pPr>
      <w:r>
        <w:t>Maso</w:t>
      </w:r>
      <w:r w:rsidR="004D0ECA">
        <w:t>:</w:t>
      </w:r>
      <w:r w:rsidR="00E63667">
        <w:t xml:space="preserve"> </w:t>
      </w:r>
      <w:r>
        <w:t>34 dn</w:t>
      </w:r>
      <w:r w:rsidR="00015514">
        <w:t>í</w:t>
      </w:r>
    </w:p>
    <w:p w:rsidR="004D0ECA" w:rsidRPr="00803A20" w:rsidRDefault="004D0ECA" w:rsidP="004D0ECA">
      <w:pPr>
        <w:pStyle w:val="Zkladntext"/>
      </w:pPr>
      <w:r w:rsidRPr="00803A20">
        <w:rPr>
          <w:bCs w:val="0"/>
        </w:rPr>
        <w:t>Nepoužívat u koní</w:t>
      </w:r>
      <w:r>
        <w:rPr>
          <w:bCs w:val="0"/>
        </w:rPr>
        <w:t>,</w:t>
      </w:r>
      <w:r w:rsidRPr="00803A20">
        <w:rPr>
          <w:bCs w:val="0"/>
        </w:rPr>
        <w:t xml:space="preserve"> jejichž mléko je určeno pro lidský konzum.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11.</w:t>
      </w:r>
      <w:r>
        <w:rPr>
          <w:bCs/>
        </w:rPr>
        <w:tab/>
        <w:t>ZVLÁŠTNÍ OPATŘENÍ PRO UCHOVÁVÁNÍ</w:t>
      </w:r>
    </w:p>
    <w:p w:rsidR="00117242" w:rsidRDefault="00117242" w:rsidP="00117242">
      <w:pPr>
        <w:rPr>
          <w:bCs/>
        </w:rPr>
      </w:pPr>
    </w:p>
    <w:p w:rsidR="00075869" w:rsidRPr="00075869" w:rsidRDefault="00075869" w:rsidP="00117242">
      <w:pPr>
        <w:rPr>
          <w:b w:val="0"/>
          <w:bCs/>
        </w:rPr>
      </w:pPr>
      <w:r>
        <w:rPr>
          <w:b w:val="0"/>
          <w:bCs/>
        </w:rPr>
        <w:t>Uchovávat mimo dosah dětí.</w:t>
      </w:r>
    </w:p>
    <w:p w:rsidR="00075869" w:rsidRDefault="00075869" w:rsidP="00075869">
      <w:pPr>
        <w:pStyle w:val="Zkladntext2"/>
      </w:pPr>
      <w: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>
          <w:t>25 °C</w:t>
        </w:r>
      </w:smartTag>
    </w:p>
    <w:p w:rsidR="00075869" w:rsidRDefault="00075869" w:rsidP="00075869">
      <w:pPr>
        <w:pStyle w:val="Zkladntext2"/>
      </w:pPr>
      <w:r>
        <w:t>Chraňte před světlem</w:t>
      </w:r>
    </w:p>
    <w:p w:rsidR="00117242" w:rsidRDefault="00075869" w:rsidP="00117242">
      <w:pPr>
        <w:rPr>
          <w:bCs/>
        </w:rPr>
      </w:pPr>
      <w:r w:rsidRPr="00CE1E72">
        <w:rPr>
          <w:b w:val="0"/>
        </w:rPr>
        <w:t>Nepoužívejte po uplynutí doby použitelnosti uvedené na obalu.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12.</w:t>
      </w:r>
      <w:r>
        <w:rPr>
          <w:bCs/>
        </w:rPr>
        <w:tab/>
        <w:t>ZVLÁŠTNÍ UPOZORNĚNÍ</w:t>
      </w:r>
    </w:p>
    <w:p w:rsidR="00117242" w:rsidRDefault="00117242" w:rsidP="00117242">
      <w:pPr>
        <w:rPr>
          <w:bCs/>
        </w:rPr>
      </w:pPr>
    </w:p>
    <w:p w:rsidR="00CE1E72" w:rsidRDefault="00CE1E72" w:rsidP="00CE1E72">
      <w:pPr>
        <w:rPr>
          <w:bCs/>
        </w:rPr>
      </w:pPr>
      <w:r>
        <w:rPr>
          <w:bCs/>
        </w:rPr>
        <w:t>Zvláštní upozornění pro každý cílový druh</w:t>
      </w:r>
    </w:p>
    <w:p w:rsidR="00CE1E72" w:rsidRDefault="00CE1E72" w:rsidP="00CE1E72">
      <w:pPr>
        <w:pStyle w:val="Normlnweb"/>
        <w:rPr>
          <w:sz w:val="22"/>
          <w:szCs w:val="22"/>
        </w:rPr>
      </w:pPr>
      <w:r w:rsidRPr="00776F51">
        <w:rPr>
          <w:sz w:val="22"/>
          <w:szCs w:val="22"/>
        </w:rPr>
        <w:t>Z důvodu zvýšení rizika možného vývoje rezistence, které by mohlo vést k neúčinné terapii, je třeba přistupovat k podání přípravku obezřetně a vyhnout se následujícím praktikám:</w:t>
      </w:r>
      <w:r w:rsidRPr="00776F51">
        <w:rPr>
          <w:sz w:val="22"/>
          <w:szCs w:val="22"/>
        </w:rPr>
        <w:br/>
        <w:t>- příliš častému a opakujícímu se používání anthelmintik ze stejné skupiny, příliš dlouhé době podávání</w:t>
      </w:r>
      <w:r w:rsidRPr="00776F51">
        <w:rPr>
          <w:sz w:val="22"/>
          <w:szCs w:val="22"/>
        </w:rPr>
        <w:br/>
        <w:t xml:space="preserve">- </w:t>
      </w:r>
      <w:proofErr w:type="spellStart"/>
      <w:r w:rsidRPr="00776F51">
        <w:rPr>
          <w:sz w:val="22"/>
          <w:szCs w:val="22"/>
        </w:rPr>
        <w:t>poddávkování</w:t>
      </w:r>
      <w:proofErr w:type="spellEnd"/>
      <w:r w:rsidRPr="00776F51">
        <w:rPr>
          <w:sz w:val="22"/>
          <w:szCs w:val="22"/>
        </w:rPr>
        <w:t>, z důvodu špatného stanovení živé hmotnosti, chybného podání přípravku</w:t>
      </w:r>
      <w:r>
        <w:rPr>
          <w:sz w:val="22"/>
          <w:szCs w:val="22"/>
        </w:rPr>
        <w:t>.</w:t>
      </w:r>
      <w:r w:rsidRPr="00776F51">
        <w:rPr>
          <w:sz w:val="22"/>
          <w:szCs w:val="22"/>
        </w:rPr>
        <w:t xml:space="preserve"> </w:t>
      </w:r>
    </w:p>
    <w:p w:rsidR="00CE1E72" w:rsidRPr="00776F51" w:rsidRDefault="00CE1E72" w:rsidP="00CE1E72">
      <w:pPr>
        <w:pStyle w:val="Normlnweb"/>
        <w:rPr>
          <w:sz w:val="22"/>
          <w:szCs w:val="22"/>
        </w:rPr>
      </w:pPr>
      <w:r w:rsidRPr="00776F51">
        <w:rPr>
          <w:sz w:val="22"/>
          <w:szCs w:val="22"/>
        </w:rPr>
        <w:t>Za použití vhodných testů (např. Testu redukce počtu vajíček-FECRT) mají být vyšetřeny podezřelé klinické případy na rezistenci k anthelmintikům. Tam, kde výsledky testu potvrzují rezistenci k určitému anthelmintiku, by mělo být použito anthelmintikum náležející do jiné skupiny a mající jiný způsob účinku.</w:t>
      </w:r>
    </w:p>
    <w:p w:rsidR="00CE1E72" w:rsidRPr="00776F51" w:rsidRDefault="00CE1E72" w:rsidP="00CE1E72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P</w:t>
      </w:r>
      <w:r w:rsidRPr="00776F51">
        <w:rPr>
          <w:sz w:val="22"/>
          <w:szCs w:val="22"/>
        </w:rPr>
        <w:t xml:space="preserve">oužití přípravku by mělo být založeno na základě místní epidemiologické informace o citlivosti gastrointestinálních </w:t>
      </w:r>
      <w:proofErr w:type="spellStart"/>
      <w:r w:rsidRPr="00776F51">
        <w:rPr>
          <w:sz w:val="22"/>
          <w:szCs w:val="22"/>
        </w:rPr>
        <w:t>nematod</w:t>
      </w:r>
      <w:proofErr w:type="spellEnd"/>
      <w:r w:rsidRPr="00776F51">
        <w:rPr>
          <w:sz w:val="22"/>
          <w:szCs w:val="22"/>
        </w:rPr>
        <w:t xml:space="preserve"> a doporučení, jak omezit další selekci rezistence k anthelmintikům.</w:t>
      </w:r>
    </w:p>
    <w:p w:rsidR="00117242" w:rsidRDefault="00117242" w:rsidP="00117242">
      <w:pPr>
        <w:rPr>
          <w:bCs/>
        </w:rPr>
      </w:pPr>
    </w:p>
    <w:p w:rsidR="00CE1E72" w:rsidRPr="00CE1E72" w:rsidRDefault="00CE1E72" w:rsidP="00CE1E72">
      <w:pPr>
        <w:pStyle w:val="Nadpis2"/>
      </w:pPr>
      <w:r w:rsidRPr="00CE1E72">
        <w:t>Zvláštní opatření pro použití u zvířat</w:t>
      </w:r>
    </w:p>
    <w:p w:rsidR="00CE1E72" w:rsidRDefault="00CE1E72" w:rsidP="00CE1E72">
      <w:pPr>
        <w:rPr>
          <w:b w:val="0"/>
          <w:szCs w:val="22"/>
        </w:rPr>
      </w:pPr>
      <w:proofErr w:type="spellStart"/>
      <w:r w:rsidRPr="00CE1E72">
        <w:rPr>
          <w:b w:val="0"/>
          <w:szCs w:val="22"/>
        </w:rPr>
        <w:t>Avermektiny</w:t>
      </w:r>
      <w:proofErr w:type="spellEnd"/>
      <w:r w:rsidRPr="00CE1E72">
        <w:rPr>
          <w:b w:val="0"/>
          <w:szCs w:val="22"/>
        </w:rPr>
        <w:t xml:space="preserve"> nemusí být dobře snášeny necílovými zvířaty (případy nesnášenlivosti s fatálním koncem byly zaznamenány u psů, zejména kolií a jejich kříženců, a také u želv</w:t>
      </w:r>
      <w:r w:rsidR="00652E28">
        <w:rPr>
          <w:b w:val="0"/>
          <w:szCs w:val="22"/>
        </w:rPr>
        <w:t>)</w:t>
      </w:r>
      <w:r w:rsidRPr="00CE1E72">
        <w:rPr>
          <w:b w:val="0"/>
          <w:szCs w:val="22"/>
        </w:rPr>
        <w:t xml:space="preserve">.  </w:t>
      </w:r>
    </w:p>
    <w:p w:rsidR="00652E28" w:rsidRDefault="00652E28" w:rsidP="00CE1E72">
      <w:pPr>
        <w:rPr>
          <w:b w:val="0"/>
          <w:szCs w:val="22"/>
        </w:rPr>
      </w:pPr>
    </w:p>
    <w:p w:rsidR="00CE1E72" w:rsidRDefault="00CE1E72" w:rsidP="00CE1E72">
      <w:pPr>
        <w:pStyle w:val="Nadpis2"/>
      </w:pPr>
      <w:r>
        <w:t>Zvláštní opatření určené osobám, které podávají veterinární léčivý přípravek zvířatům</w:t>
      </w:r>
    </w:p>
    <w:p w:rsidR="00117242" w:rsidRDefault="006A442A" w:rsidP="006A442A">
      <w:pPr>
        <w:rPr>
          <w:b w:val="0"/>
          <w:bCs/>
        </w:rPr>
      </w:pPr>
      <w:r w:rsidRPr="00E13EEF">
        <w:rPr>
          <w:b w:val="0"/>
          <w:szCs w:val="22"/>
        </w:rPr>
        <w:t xml:space="preserve">V průběhu aplikace přípravku nekuřte, nejezte a nepijte. Po použití přípravku si důkladně umyjte ruce vodou a mýdlem. Zabraňte kontaktu přípravku s očima. V případě zasažení očí vypláchněte zasažené </w:t>
      </w:r>
      <w:r w:rsidRPr="00E13EEF">
        <w:rPr>
          <w:b w:val="0"/>
          <w:szCs w:val="22"/>
        </w:rPr>
        <w:lastRenderedPageBreak/>
        <w:t>oko proudem pitné vody. Pokud podráždění oka přetrvává, vyhledejte ihned lékařskou pomoc a ukažte příbalovou informaci nebo etiketu praktickému lékaři.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13.</w:t>
      </w:r>
      <w:r>
        <w:rPr>
          <w:bCs/>
        </w:rPr>
        <w:tab/>
        <w:t>ZVLÁŠTNÍ OPATŘENÍ PRO ZNEŠKODŇOVÁNÍ NEPOUŽITÝCH PŘÍPRAVKŮ NEBO ODPADU, POKUD JE JICH TŘEBA</w:t>
      </w:r>
    </w:p>
    <w:p w:rsidR="00117242" w:rsidRDefault="00117242" w:rsidP="00117242">
      <w:pPr>
        <w:rPr>
          <w:bCs/>
        </w:rPr>
      </w:pPr>
    </w:p>
    <w:p w:rsidR="00117242" w:rsidRDefault="006A442A" w:rsidP="00117242">
      <w:pPr>
        <w:pStyle w:val="Zkladntext2"/>
        <w:rPr>
          <w:i/>
        </w:rPr>
      </w:pPr>
      <w:r>
        <w:t xml:space="preserve">Přípravek nesmí kontaminovat vodní toky, protože je extrémně nebezpečný pro ryby a další vodní organismy. </w:t>
      </w:r>
      <w:r w:rsidR="00117242">
        <w:t xml:space="preserve">Všechen nepoužitý veterinární léčivý přípravek nebo odpad, který pochází z tohoto přípravku, musí být likvidován podle místních právních předpisů. 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14.</w:t>
      </w:r>
      <w:r>
        <w:rPr>
          <w:bCs/>
        </w:rPr>
        <w:tab/>
        <w:t>DATUM POSLEDNÍ REVIZE PŘÍBALOVÉ INFORMACE</w:t>
      </w:r>
    </w:p>
    <w:p w:rsidR="00117242" w:rsidRDefault="00117242" w:rsidP="00117242">
      <w:pPr>
        <w:rPr>
          <w:bCs/>
        </w:rPr>
      </w:pPr>
    </w:p>
    <w:p w:rsidR="00EA6F2F" w:rsidRDefault="00EA6F2F" w:rsidP="00EA6F2F">
      <w:pPr>
        <w:pStyle w:val="Zkladntext"/>
        <w:rPr>
          <w:szCs w:val="22"/>
        </w:rPr>
      </w:pPr>
      <w:r>
        <w:rPr>
          <w:szCs w:val="22"/>
        </w:rPr>
        <w:t>Únor 2022</w:t>
      </w:r>
    </w:p>
    <w:p w:rsidR="00500D87" w:rsidRDefault="00500D87" w:rsidP="00117242">
      <w:pPr>
        <w:rPr>
          <w:bCs/>
        </w:rPr>
      </w:pPr>
    </w:p>
    <w:p w:rsidR="00117242" w:rsidRDefault="00117242" w:rsidP="00117242">
      <w:pPr>
        <w:rPr>
          <w:bCs/>
        </w:rPr>
      </w:pPr>
      <w:r>
        <w:rPr>
          <w:bCs/>
        </w:rPr>
        <w:t>15.</w:t>
      </w:r>
      <w:r>
        <w:rPr>
          <w:bCs/>
        </w:rPr>
        <w:tab/>
        <w:t>DALŠÍ INFORMACE</w:t>
      </w:r>
    </w:p>
    <w:p w:rsidR="00117242" w:rsidRDefault="00117242" w:rsidP="00117242">
      <w:pPr>
        <w:rPr>
          <w:bCs/>
        </w:rPr>
      </w:pPr>
    </w:p>
    <w:p w:rsidR="00117242" w:rsidRDefault="00117242" w:rsidP="00117242">
      <w:pPr>
        <w:rPr>
          <w:b w:val="0"/>
          <w:bCs/>
        </w:rPr>
      </w:pPr>
      <w:r>
        <w:rPr>
          <w:b w:val="0"/>
          <w:bCs/>
        </w:rPr>
        <w:t>Pouze pro zvířata.</w:t>
      </w:r>
    </w:p>
    <w:p w:rsidR="00117242" w:rsidRDefault="00117242" w:rsidP="00117242">
      <w:pPr>
        <w:rPr>
          <w:b w:val="0"/>
          <w:bCs/>
        </w:rPr>
      </w:pPr>
    </w:p>
    <w:p w:rsidR="00117242" w:rsidRDefault="00117242" w:rsidP="00117242">
      <w:pPr>
        <w:ind w:right="566"/>
        <w:rPr>
          <w:b w:val="0"/>
          <w:bCs/>
        </w:rPr>
      </w:pPr>
      <w:r>
        <w:rPr>
          <w:b w:val="0"/>
          <w:bCs/>
        </w:rPr>
        <w:t>Veterinární léčivý přípravek je vydáván pouze na předpis.</w:t>
      </w:r>
    </w:p>
    <w:p w:rsidR="00117242" w:rsidRDefault="00117242" w:rsidP="00117242">
      <w:pPr>
        <w:ind w:right="566"/>
        <w:rPr>
          <w:b w:val="0"/>
          <w:bCs/>
        </w:rPr>
      </w:pPr>
    </w:p>
    <w:p w:rsidR="00117242" w:rsidRDefault="00117242" w:rsidP="00117242">
      <w:pPr>
        <w:ind w:right="566"/>
        <w:rPr>
          <w:b w:val="0"/>
          <w:bCs/>
        </w:rPr>
      </w:pPr>
    </w:p>
    <w:p w:rsidR="00117242" w:rsidRDefault="00117242" w:rsidP="00117242">
      <w:pPr>
        <w:ind w:right="566"/>
        <w:rPr>
          <w:b w:val="0"/>
          <w:bCs/>
        </w:rPr>
      </w:pPr>
    </w:p>
    <w:p w:rsidR="00117242" w:rsidRDefault="00117242" w:rsidP="00117242">
      <w:pPr>
        <w:ind w:right="566"/>
        <w:rPr>
          <w:bCs/>
        </w:rPr>
      </w:pPr>
    </w:p>
    <w:p w:rsidR="00932D99" w:rsidRDefault="00932D99"/>
    <w:sectPr w:rsidR="00932D99">
      <w:footerReference w:type="default" r:id="rId6"/>
      <w:footerReference w:type="first" r:id="rId7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74" w:rsidRDefault="00C97974">
      <w:r>
        <w:separator/>
      </w:r>
    </w:p>
  </w:endnote>
  <w:endnote w:type="continuationSeparator" w:id="0">
    <w:p w:rsidR="00C97974" w:rsidRDefault="00C9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8" w:rsidRDefault="001E68B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1E68B8" w:rsidRDefault="001E68B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8491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8" w:rsidRDefault="001E68B8">
    <w:pPr>
      <w:pStyle w:val="Zpat"/>
      <w:tabs>
        <w:tab w:val="clear" w:pos="8930"/>
        <w:tab w:val="right" w:pos="8931"/>
      </w:tabs>
    </w:pPr>
  </w:p>
  <w:p w:rsidR="001E68B8" w:rsidRDefault="001E68B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849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74" w:rsidRDefault="00C97974">
      <w:r>
        <w:separator/>
      </w:r>
    </w:p>
  </w:footnote>
  <w:footnote w:type="continuationSeparator" w:id="0">
    <w:p w:rsidR="00C97974" w:rsidRDefault="00C9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42"/>
    <w:rsid w:val="00015514"/>
    <w:rsid w:val="00075869"/>
    <w:rsid w:val="000A707D"/>
    <w:rsid w:val="000F42A6"/>
    <w:rsid w:val="00117242"/>
    <w:rsid w:val="00162E08"/>
    <w:rsid w:val="001C6C5C"/>
    <w:rsid w:val="001E68B8"/>
    <w:rsid w:val="00205522"/>
    <w:rsid w:val="00220A10"/>
    <w:rsid w:val="003F2E89"/>
    <w:rsid w:val="00435CC6"/>
    <w:rsid w:val="004B7E8D"/>
    <w:rsid w:val="004D0ECA"/>
    <w:rsid w:val="00500D87"/>
    <w:rsid w:val="00555CB3"/>
    <w:rsid w:val="0057007A"/>
    <w:rsid w:val="005855EA"/>
    <w:rsid w:val="00601127"/>
    <w:rsid w:val="00652E28"/>
    <w:rsid w:val="006A442A"/>
    <w:rsid w:val="0078491B"/>
    <w:rsid w:val="007C4614"/>
    <w:rsid w:val="007E5DA4"/>
    <w:rsid w:val="00932D99"/>
    <w:rsid w:val="00964863"/>
    <w:rsid w:val="009E5D76"/>
    <w:rsid w:val="00A06125"/>
    <w:rsid w:val="00B05A4A"/>
    <w:rsid w:val="00BA128B"/>
    <w:rsid w:val="00C70139"/>
    <w:rsid w:val="00C97974"/>
    <w:rsid w:val="00CE1E72"/>
    <w:rsid w:val="00CF0B32"/>
    <w:rsid w:val="00DF68C4"/>
    <w:rsid w:val="00E1495B"/>
    <w:rsid w:val="00E154DB"/>
    <w:rsid w:val="00E63667"/>
    <w:rsid w:val="00E915FE"/>
    <w:rsid w:val="00EA6F2F"/>
    <w:rsid w:val="00F13F02"/>
    <w:rsid w:val="00F9529C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162E3C-B165-49A9-BF38-AE33FA69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242"/>
    <w:rPr>
      <w:rFonts w:ascii="Times New Roman" w:eastAsia="Times New Roman" w:hAnsi="Times New Roman"/>
      <w:b/>
      <w:sz w:val="22"/>
      <w:szCs w:val="24"/>
    </w:rPr>
  </w:style>
  <w:style w:type="paragraph" w:styleId="Nadpis2">
    <w:name w:val="heading 2"/>
    <w:basedOn w:val="Normln"/>
    <w:next w:val="Normln"/>
    <w:qFormat/>
    <w:rsid w:val="00CE1E72"/>
    <w:pPr>
      <w:keepNext/>
      <w:outlineLvl w:val="1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17242"/>
    <w:rPr>
      <w:b w:val="0"/>
      <w:bCs/>
    </w:rPr>
  </w:style>
  <w:style w:type="character" w:customStyle="1" w:styleId="ZkladntextChar">
    <w:name w:val="Základní text Char"/>
    <w:link w:val="Zkladntext"/>
    <w:semiHidden/>
    <w:rsid w:val="00117242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17242"/>
    <w:pPr>
      <w:ind w:right="-318"/>
    </w:pPr>
    <w:rPr>
      <w:b w:val="0"/>
    </w:rPr>
  </w:style>
  <w:style w:type="character" w:customStyle="1" w:styleId="Zkladntext2Char">
    <w:name w:val="Základní text 2 Char"/>
    <w:link w:val="Zkladntext2"/>
    <w:semiHidden/>
    <w:rsid w:val="001172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semiHidden/>
    <w:rsid w:val="00117242"/>
    <w:pPr>
      <w:tabs>
        <w:tab w:val="center" w:pos="4536"/>
        <w:tab w:val="center" w:pos="8930"/>
      </w:tabs>
      <w:ind w:left="567" w:hanging="567"/>
    </w:pPr>
    <w:rPr>
      <w:rFonts w:ascii="Helvetica" w:hAnsi="Helvetica"/>
      <w:b w:val="0"/>
      <w:sz w:val="16"/>
      <w:szCs w:val="20"/>
      <w:lang w:eastAsia="en-US"/>
    </w:rPr>
  </w:style>
  <w:style w:type="character" w:customStyle="1" w:styleId="ZpatChar">
    <w:name w:val="Zápatí Char"/>
    <w:link w:val="Zpat"/>
    <w:semiHidden/>
    <w:rsid w:val="00117242"/>
    <w:rPr>
      <w:rFonts w:ascii="Helvetica" w:eastAsia="Times New Roman" w:hAnsi="Helvetica" w:cs="Times New Roman"/>
      <w:sz w:val="16"/>
      <w:szCs w:val="20"/>
    </w:rPr>
  </w:style>
  <w:style w:type="paragraph" w:styleId="Zkladntext3">
    <w:name w:val="Body Text 3"/>
    <w:basedOn w:val="Normln"/>
    <w:link w:val="Zkladntext3Char"/>
    <w:semiHidden/>
    <w:rsid w:val="00117242"/>
    <w:rPr>
      <w:bCs/>
      <w:sz w:val="24"/>
    </w:rPr>
  </w:style>
  <w:style w:type="character" w:customStyle="1" w:styleId="Zkladntext3Char">
    <w:name w:val="Základní text 3 Char"/>
    <w:link w:val="Zkladntext3"/>
    <w:semiHidden/>
    <w:rsid w:val="001172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semiHidden/>
    <w:rsid w:val="00075869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ln"/>
    <w:rsid w:val="00CE1E72"/>
    <w:pPr>
      <w:tabs>
        <w:tab w:val="num" w:pos="567"/>
      </w:tabs>
      <w:ind w:left="567" w:hanging="454"/>
    </w:pPr>
    <w:rPr>
      <w:b w:val="0"/>
      <w:szCs w:val="20"/>
      <w:lang w:eastAsia="en-US"/>
    </w:rPr>
  </w:style>
  <w:style w:type="paragraph" w:styleId="Normlnweb">
    <w:name w:val="Normal (Web)"/>
    <w:basedOn w:val="Normln"/>
    <w:rsid w:val="00CE1E72"/>
    <w:pPr>
      <w:spacing w:before="96" w:after="96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</vt:lpstr>
    </vt:vector>
  </TitlesOfParts>
  <Company>Your Company Name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Your User Name</dc:creator>
  <cp:lastModifiedBy>Nejezchlebová Ladislava</cp:lastModifiedBy>
  <cp:revision>5</cp:revision>
  <cp:lastPrinted>2022-02-09T08:02:00Z</cp:lastPrinted>
  <dcterms:created xsi:type="dcterms:W3CDTF">2022-02-08T11:19:00Z</dcterms:created>
  <dcterms:modified xsi:type="dcterms:W3CDTF">2022-02-09T08:03:00Z</dcterms:modified>
</cp:coreProperties>
</file>