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F34A1" w14:textId="77777777" w:rsidR="003751CB" w:rsidRPr="00B94FD7" w:rsidRDefault="003751CB" w:rsidP="003751CB">
      <w:pPr>
        <w:ind w:right="113"/>
        <w:jc w:val="center"/>
      </w:pPr>
    </w:p>
    <w:p w14:paraId="7C32D6AE" w14:textId="77777777" w:rsidR="003751CB" w:rsidRPr="00B94FD7" w:rsidRDefault="003751CB" w:rsidP="003751CB">
      <w:pPr>
        <w:ind w:right="113"/>
        <w:jc w:val="center"/>
      </w:pPr>
    </w:p>
    <w:p w14:paraId="4562DB61" w14:textId="77777777" w:rsidR="003751CB" w:rsidRPr="00B94FD7" w:rsidRDefault="003751CB" w:rsidP="003751CB">
      <w:pPr>
        <w:ind w:right="113"/>
        <w:jc w:val="center"/>
      </w:pPr>
    </w:p>
    <w:p w14:paraId="7C86EFFA" w14:textId="77777777" w:rsidR="003751CB" w:rsidRPr="00B94FD7" w:rsidRDefault="003751CB" w:rsidP="003751CB">
      <w:pPr>
        <w:ind w:right="113"/>
        <w:jc w:val="center"/>
      </w:pPr>
    </w:p>
    <w:p w14:paraId="5FB13E8F" w14:textId="77777777" w:rsidR="003751CB" w:rsidRPr="00B94FD7" w:rsidRDefault="003751CB" w:rsidP="003751CB">
      <w:pPr>
        <w:ind w:right="113"/>
        <w:jc w:val="center"/>
      </w:pPr>
    </w:p>
    <w:p w14:paraId="2DB9CDCA" w14:textId="77777777" w:rsidR="003751CB" w:rsidRPr="00B94FD7" w:rsidRDefault="003751CB" w:rsidP="003751CB">
      <w:pPr>
        <w:ind w:right="113"/>
        <w:jc w:val="center"/>
      </w:pPr>
    </w:p>
    <w:p w14:paraId="4C18900E" w14:textId="77777777" w:rsidR="003751CB" w:rsidRPr="00B94FD7" w:rsidRDefault="003751CB" w:rsidP="003751CB">
      <w:pPr>
        <w:ind w:right="113"/>
        <w:jc w:val="center"/>
      </w:pPr>
    </w:p>
    <w:p w14:paraId="655B4279" w14:textId="77777777" w:rsidR="003751CB" w:rsidRPr="00B94FD7" w:rsidRDefault="003751CB" w:rsidP="003751CB">
      <w:pPr>
        <w:ind w:right="113"/>
        <w:jc w:val="center"/>
      </w:pPr>
    </w:p>
    <w:p w14:paraId="7912108B" w14:textId="77777777" w:rsidR="003751CB" w:rsidRPr="00B94FD7" w:rsidRDefault="003751CB" w:rsidP="003751CB">
      <w:pPr>
        <w:ind w:right="113"/>
        <w:jc w:val="center"/>
      </w:pPr>
    </w:p>
    <w:p w14:paraId="4511969D" w14:textId="77777777" w:rsidR="003751CB" w:rsidRPr="00B94FD7" w:rsidRDefault="003751CB" w:rsidP="003751CB">
      <w:pPr>
        <w:ind w:right="113"/>
        <w:jc w:val="center"/>
      </w:pPr>
    </w:p>
    <w:p w14:paraId="4ECBD116" w14:textId="77777777" w:rsidR="003751CB" w:rsidRPr="00B94FD7" w:rsidRDefault="003751CB" w:rsidP="003751CB">
      <w:pPr>
        <w:ind w:right="113"/>
        <w:jc w:val="center"/>
      </w:pPr>
    </w:p>
    <w:p w14:paraId="7C2120D7" w14:textId="77777777" w:rsidR="003751CB" w:rsidRPr="00B94FD7" w:rsidRDefault="003751CB" w:rsidP="003751CB">
      <w:pPr>
        <w:ind w:right="113"/>
        <w:jc w:val="center"/>
      </w:pPr>
    </w:p>
    <w:p w14:paraId="1DF5CEDF" w14:textId="654BFADA" w:rsidR="003751CB" w:rsidRPr="00B94FD7" w:rsidRDefault="00250A7F" w:rsidP="003751CB">
      <w:pPr>
        <w:ind w:right="113"/>
        <w:jc w:val="center"/>
      </w:pPr>
      <w:r>
        <w:t xml:space="preserve">  </w:t>
      </w:r>
    </w:p>
    <w:p w14:paraId="7A0DF0BD" w14:textId="03DC3D37" w:rsidR="003751CB" w:rsidRPr="00B94FD7" w:rsidRDefault="003751CB" w:rsidP="003751CB">
      <w:pPr>
        <w:ind w:right="113"/>
        <w:jc w:val="center"/>
      </w:pPr>
    </w:p>
    <w:p w14:paraId="332508ED" w14:textId="2ED42A70" w:rsidR="000E1CC2" w:rsidRPr="00B94FD7" w:rsidRDefault="000E1CC2" w:rsidP="003751CB">
      <w:pPr>
        <w:ind w:right="113"/>
        <w:jc w:val="center"/>
      </w:pPr>
    </w:p>
    <w:p w14:paraId="1C6CE953" w14:textId="193FD871" w:rsidR="000E1CC2" w:rsidRPr="00B94FD7" w:rsidRDefault="000E1CC2" w:rsidP="003751CB">
      <w:pPr>
        <w:ind w:right="113"/>
        <w:jc w:val="center"/>
      </w:pPr>
    </w:p>
    <w:p w14:paraId="415F1EDF" w14:textId="77777777" w:rsidR="000E1CC2" w:rsidRPr="00B94FD7" w:rsidRDefault="000E1CC2" w:rsidP="003751CB">
      <w:pPr>
        <w:ind w:right="113"/>
        <w:jc w:val="center"/>
      </w:pPr>
    </w:p>
    <w:p w14:paraId="03D9778D" w14:textId="77777777" w:rsidR="003751CB" w:rsidRPr="00B94FD7" w:rsidRDefault="003751CB" w:rsidP="003751CB">
      <w:pPr>
        <w:ind w:right="113"/>
        <w:jc w:val="center"/>
      </w:pPr>
    </w:p>
    <w:p w14:paraId="48CC1D7C" w14:textId="77777777" w:rsidR="003751CB" w:rsidRPr="00B94FD7" w:rsidRDefault="003751CB" w:rsidP="003751CB">
      <w:pPr>
        <w:ind w:right="113"/>
        <w:jc w:val="center"/>
      </w:pPr>
    </w:p>
    <w:p w14:paraId="5993FFE7" w14:textId="77777777" w:rsidR="003751CB" w:rsidRPr="00B94FD7" w:rsidRDefault="003751CB" w:rsidP="003751CB">
      <w:pPr>
        <w:ind w:right="113"/>
        <w:jc w:val="center"/>
      </w:pPr>
    </w:p>
    <w:p w14:paraId="1DCD234D" w14:textId="77777777" w:rsidR="003751CB" w:rsidRPr="00B94FD7" w:rsidRDefault="003751CB" w:rsidP="003751CB">
      <w:pPr>
        <w:ind w:right="113"/>
        <w:jc w:val="center"/>
      </w:pPr>
    </w:p>
    <w:p w14:paraId="61D00767" w14:textId="77777777" w:rsidR="003751CB" w:rsidRPr="00B94FD7" w:rsidRDefault="003751CB" w:rsidP="003751CB">
      <w:pPr>
        <w:jc w:val="center"/>
      </w:pPr>
    </w:p>
    <w:p w14:paraId="04B8F0BC" w14:textId="77777777" w:rsidR="003751CB" w:rsidRPr="00B94FD7" w:rsidRDefault="003751CB" w:rsidP="003751CB">
      <w:pPr>
        <w:jc w:val="center"/>
      </w:pPr>
    </w:p>
    <w:p w14:paraId="45F80881" w14:textId="77777777" w:rsidR="003751CB" w:rsidRPr="00B94FD7" w:rsidRDefault="003751CB" w:rsidP="003751CB">
      <w:pPr>
        <w:jc w:val="center"/>
      </w:pPr>
    </w:p>
    <w:p w14:paraId="576B1D25" w14:textId="77777777" w:rsidR="003751CB" w:rsidRPr="00B94FD7" w:rsidRDefault="003751CB" w:rsidP="003751CB">
      <w:pPr>
        <w:jc w:val="center"/>
      </w:pPr>
    </w:p>
    <w:p w14:paraId="4349FDF1" w14:textId="77777777" w:rsidR="003751CB" w:rsidRPr="00B94FD7" w:rsidRDefault="003751CB" w:rsidP="003751CB">
      <w:pPr>
        <w:ind w:right="113"/>
        <w:jc w:val="center"/>
      </w:pPr>
      <w:r w:rsidRPr="00B94FD7">
        <w:rPr>
          <w:b/>
        </w:rPr>
        <w:t>B. PŘÍBALOVÁ INFORMACE</w:t>
      </w:r>
    </w:p>
    <w:p w14:paraId="089FD6CD" w14:textId="77777777" w:rsidR="003751CB" w:rsidRPr="00B94FD7" w:rsidRDefault="003751CB" w:rsidP="003751CB">
      <w:pPr>
        <w:jc w:val="center"/>
      </w:pPr>
      <w:r w:rsidRPr="00B94FD7">
        <w:br w:type="page"/>
      </w:r>
      <w:r w:rsidRPr="00B94FD7">
        <w:rPr>
          <w:b/>
        </w:rPr>
        <w:lastRenderedPageBreak/>
        <w:t>PŘÍBALOVÁ INFORMACE:</w:t>
      </w:r>
    </w:p>
    <w:p w14:paraId="77003E8D" w14:textId="77777777" w:rsidR="003751CB" w:rsidRPr="00B94FD7" w:rsidRDefault="003751CB" w:rsidP="003751CB">
      <w:pPr>
        <w:ind w:left="0" w:firstLine="0"/>
        <w:jc w:val="center"/>
        <w:rPr>
          <w:b/>
        </w:rPr>
      </w:pPr>
      <w:proofErr w:type="spellStart"/>
      <w:r w:rsidRPr="00B94FD7">
        <w:rPr>
          <w:b/>
        </w:rPr>
        <w:t>Cefaseptin</w:t>
      </w:r>
      <w:proofErr w:type="spellEnd"/>
      <w:r w:rsidRPr="00B94FD7">
        <w:rPr>
          <w:b/>
        </w:rPr>
        <w:t xml:space="preserve"> 75 mg tablety pro psy a kočky</w:t>
      </w:r>
    </w:p>
    <w:p w14:paraId="5F6C9D62" w14:textId="77777777" w:rsidR="003751CB" w:rsidRPr="00B94FD7" w:rsidRDefault="003751CB" w:rsidP="003751CB"/>
    <w:p w14:paraId="64DEA3AC" w14:textId="77777777" w:rsidR="003751CB" w:rsidRPr="00B94FD7" w:rsidRDefault="003751CB" w:rsidP="003751CB">
      <w:pPr>
        <w:rPr>
          <w:b/>
        </w:rPr>
      </w:pPr>
      <w:r w:rsidRPr="00B94FD7">
        <w:rPr>
          <w:b/>
          <w:highlight w:val="lightGray"/>
        </w:rPr>
        <w:t>1.</w:t>
      </w:r>
      <w:r w:rsidRPr="00B94FD7">
        <w:rPr>
          <w:b/>
        </w:rPr>
        <w:tab/>
        <w:t>JMÉNO A ADRESA DRŽITELE ROZHODNUTÍ O REGISTRACI A DRŽITELE POVOLENÍ K VÝROBĚ ODPOVĚDNÉHO ZA UVOLNĚNÍ ŠARŽE, POKUD SE NESHODUJE</w:t>
      </w:r>
    </w:p>
    <w:p w14:paraId="4C39ECFA" w14:textId="77777777" w:rsidR="003751CB" w:rsidRPr="00B94FD7" w:rsidRDefault="003751CB" w:rsidP="003751CB"/>
    <w:p w14:paraId="65451772" w14:textId="77777777" w:rsidR="003751CB" w:rsidRPr="00B94FD7" w:rsidRDefault="003751CB" w:rsidP="003751CB">
      <w:pPr>
        <w:rPr>
          <w:iCs/>
        </w:rPr>
      </w:pPr>
      <w:r w:rsidRPr="00B94FD7">
        <w:rPr>
          <w:iCs/>
          <w:u w:val="single"/>
        </w:rPr>
        <w:t>Držitel rozhodnutí o registraci</w:t>
      </w:r>
      <w:r w:rsidRPr="00B94FD7">
        <w:rPr>
          <w:iCs/>
        </w:rPr>
        <w:t>:</w:t>
      </w:r>
    </w:p>
    <w:p w14:paraId="26A16E72" w14:textId="77777777" w:rsidR="003751CB" w:rsidRPr="00B94FD7" w:rsidRDefault="003751CB" w:rsidP="003751CB">
      <w:r w:rsidRPr="00B94FD7">
        <w:t xml:space="preserve">Vetoquinol s.r.o., </w:t>
      </w:r>
      <w:r w:rsidRPr="00B94FD7">
        <w:rPr>
          <w:color w:val="000000"/>
          <w:szCs w:val="22"/>
          <w:shd w:val="clear" w:color="auto" w:fill="FFFFFF"/>
        </w:rPr>
        <w:t>Walterovo náměstí 329/3, 158 00 Praha</w:t>
      </w:r>
      <w:r w:rsidRPr="00B94FD7">
        <w:rPr>
          <w:szCs w:val="22"/>
        </w:rPr>
        <w:t>, Česká republika</w:t>
      </w:r>
    </w:p>
    <w:p w14:paraId="1A16D2D3" w14:textId="77777777" w:rsidR="003751CB" w:rsidRPr="00B94FD7" w:rsidRDefault="003751CB" w:rsidP="003751CB"/>
    <w:p w14:paraId="78A2A019" w14:textId="77777777" w:rsidR="003751CB" w:rsidRPr="00B94FD7" w:rsidRDefault="003751CB" w:rsidP="003751CB">
      <w:pPr>
        <w:rPr>
          <w:bCs/>
          <w:u w:val="single"/>
        </w:rPr>
      </w:pPr>
      <w:r w:rsidRPr="00B94FD7">
        <w:rPr>
          <w:bCs/>
          <w:u w:val="single"/>
        </w:rPr>
        <w:t>Výrobce odpovědný za uvolnění šarže</w:t>
      </w:r>
      <w:r w:rsidRPr="00B94FD7">
        <w:t>:</w:t>
      </w:r>
    </w:p>
    <w:p w14:paraId="11E4C8CF" w14:textId="2A23A11D" w:rsidR="003751CB" w:rsidRPr="00B94FD7" w:rsidRDefault="003751CB" w:rsidP="003751CB">
      <w:pPr>
        <w:jc w:val="both"/>
      </w:pPr>
      <w:r w:rsidRPr="00B94FD7">
        <w:t>V</w:t>
      </w:r>
      <w:r w:rsidR="000960CD" w:rsidRPr="00B94FD7">
        <w:t>e</w:t>
      </w:r>
      <w:r w:rsidRPr="00B94FD7">
        <w:t>toquinol</w:t>
      </w:r>
      <w:r w:rsidR="00914EF7" w:rsidRPr="00B94FD7">
        <w:t xml:space="preserve"> </w:t>
      </w:r>
      <w:r w:rsidR="00B94FD7">
        <w:t>SA</w:t>
      </w:r>
    </w:p>
    <w:p w14:paraId="10F86C11" w14:textId="77777777" w:rsidR="003751CB" w:rsidRPr="00B94FD7" w:rsidRDefault="003751CB" w:rsidP="003751CB">
      <w:pPr>
        <w:jc w:val="both"/>
      </w:pPr>
      <w:r w:rsidRPr="00B94FD7">
        <w:t>Magny-</w:t>
      </w:r>
      <w:proofErr w:type="spellStart"/>
      <w:r w:rsidRPr="00B94FD7">
        <w:t>Vernois</w:t>
      </w:r>
      <w:proofErr w:type="spellEnd"/>
    </w:p>
    <w:p w14:paraId="25568ADD" w14:textId="77777777" w:rsidR="003751CB" w:rsidRPr="00B94FD7" w:rsidRDefault="003751CB" w:rsidP="003751CB">
      <w:pPr>
        <w:jc w:val="both"/>
      </w:pPr>
      <w:r w:rsidRPr="00B94FD7">
        <w:t>F-70200 LURE</w:t>
      </w:r>
    </w:p>
    <w:p w14:paraId="041A0D17" w14:textId="77777777" w:rsidR="003751CB" w:rsidRPr="00B94FD7" w:rsidRDefault="003751CB" w:rsidP="003751CB">
      <w:r w:rsidRPr="00B94FD7">
        <w:t>FRANCIE</w:t>
      </w:r>
    </w:p>
    <w:p w14:paraId="7674E5CC" w14:textId="77777777" w:rsidR="003751CB" w:rsidRPr="00B94FD7" w:rsidRDefault="003751CB" w:rsidP="003751CB"/>
    <w:p w14:paraId="7DA0B705" w14:textId="77777777" w:rsidR="003751CB" w:rsidRPr="00B94FD7" w:rsidRDefault="003751CB" w:rsidP="003751CB"/>
    <w:p w14:paraId="199A3B05" w14:textId="77777777" w:rsidR="003751CB" w:rsidRPr="00B94FD7" w:rsidRDefault="003751CB" w:rsidP="003751CB">
      <w:pPr>
        <w:rPr>
          <w:b/>
        </w:rPr>
      </w:pPr>
      <w:r w:rsidRPr="00B94FD7">
        <w:rPr>
          <w:b/>
          <w:highlight w:val="lightGray"/>
        </w:rPr>
        <w:t>2.</w:t>
      </w:r>
      <w:r w:rsidRPr="00B94FD7">
        <w:rPr>
          <w:b/>
        </w:rPr>
        <w:tab/>
        <w:t>NÁZEV VETERINÁRNÍHO LÉČIVÉHO PŘÍPRAVKU</w:t>
      </w:r>
    </w:p>
    <w:p w14:paraId="4CD70090" w14:textId="77777777" w:rsidR="003751CB" w:rsidRPr="00B94FD7" w:rsidRDefault="003751CB" w:rsidP="003751CB">
      <w:pPr>
        <w:ind w:left="0" w:firstLine="0"/>
      </w:pPr>
    </w:p>
    <w:p w14:paraId="6F3D74AB" w14:textId="77777777" w:rsidR="003751CB" w:rsidRPr="00B94FD7" w:rsidRDefault="003751CB" w:rsidP="003751CB">
      <w:pPr>
        <w:jc w:val="both"/>
      </w:pPr>
      <w:proofErr w:type="spellStart"/>
      <w:r w:rsidRPr="00B94FD7">
        <w:t>Cefaseptin</w:t>
      </w:r>
      <w:proofErr w:type="spellEnd"/>
      <w:r w:rsidRPr="00B94FD7">
        <w:t xml:space="preserve"> 75 mg tablety pro psy a kočky</w:t>
      </w:r>
    </w:p>
    <w:p w14:paraId="23B1B497" w14:textId="77777777" w:rsidR="003751CB" w:rsidRPr="00B94FD7" w:rsidRDefault="003751CB" w:rsidP="003751CB">
      <w:pPr>
        <w:rPr>
          <w:b/>
        </w:rPr>
      </w:pPr>
      <w:proofErr w:type="spellStart"/>
      <w:r w:rsidRPr="00B94FD7">
        <w:t>Cefalexinum</w:t>
      </w:r>
      <w:proofErr w:type="spellEnd"/>
    </w:p>
    <w:p w14:paraId="7369D10E" w14:textId="77777777" w:rsidR="003751CB" w:rsidRPr="00B94FD7" w:rsidRDefault="003751CB" w:rsidP="003751CB"/>
    <w:p w14:paraId="3D85FBE0" w14:textId="77777777" w:rsidR="003751CB" w:rsidRPr="00B94FD7" w:rsidRDefault="003751CB" w:rsidP="003751CB"/>
    <w:p w14:paraId="581C8888" w14:textId="77777777" w:rsidR="003751CB" w:rsidRPr="00B94FD7" w:rsidRDefault="003751CB" w:rsidP="003751CB">
      <w:pPr>
        <w:rPr>
          <w:b/>
        </w:rPr>
      </w:pPr>
      <w:r w:rsidRPr="00B94FD7">
        <w:rPr>
          <w:b/>
          <w:highlight w:val="lightGray"/>
        </w:rPr>
        <w:t>3.</w:t>
      </w:r>
      <w:r w:rsidRPr="00B94FD7">
        <w:rPr>
          <w:b/>
        </w:rPr>
        <w:tab/>
        <w:t>OBSAH LÉČIVÝCH A OSTATNÍCH LÁTEK</w:t>
      </w:r>
    </w:p>
    <w:p w14:paraId="59AEA02C" w14:textId="77777777" w:rsidR="003751CB" w:rsidRPr="00B94FD7" w:rsidRDefault="003751CB" w:rsidP="003751CB"/>
    <w:p w14:paraId="1B439EDD" w14:textId="77777777" w:rsidR="003751CB" w:rsidRPr="00B94FD7" w:rsidRDefault="003751CB" w:rsidP="003751CB">
      <w:pPr>
        <w:jc w:val="both"/>
      </w:pPr>
      <w:r w:rsidRPr="00B94FD7">
        <w:t>Jedna tableta obsahuje:</w:t>
      </w:r>
    </w:p>
    <w:p w14:paraId="0C3246D3" w14:textId="77777777" w:rsidR="003751CB" w:rsidRPr="00B94FD7" w:rsidRDefault="003751CB" w:rsidP="003751CB">
      <w:pPr>
        <w:jc w:val="both"/>
      </w:pPr>
    </w:p>
    <w:p w14:paraId="7FD3CB83" w14:textId="77777777" w:rsidR="003751CB" w:rsidRPr="00B94FD7" w:rsidRDefault="003751CB" w:rsidP="003751CB">
      <w:pPr>
        <w:jc w:val="both"/>
      </w:pPr>
      <w:proofErr w:type="spellStart"/>
      <w:r w:rsidRPr="00B94FD7">
        <w:t>Cefalexinum</w:t>
      </w:r>
      <w:proofErr w:type="spellEnd"/>
      <w:r w:rsidRPr="00B94FD7">
        <w:t xml:space="preserve"> (jako</w:t>
      </w:r>
      <w:r w:rsidRPr="00B94FD7" w:rsidDel="00BC7A28">
        <w:t xml:space="preserve"> </w:t>
      </w:r>
      <w:proofErr w:type="spellStart"/>
      <w:r w:rsidRPr="00B94FD7">
        <w:t>cefalexinum</w:t>
      </w:r>
      <w:proofErr w:type="spellEnd"/>
      <w:r w:rsidRPr="00B94FD7">
        <w:t xml:space="preserve"> </w:t>
      </w:r>
      <w:proofErr w:type="spellStart"/>
      <w:r w:rsidRPr="00B94FD7">
        <w:t>monohydricum</w:t>
      </w:r>
      <w:proofErr w:type="spellEnd"/>
      <w:r w:rsidRPr="00B94FD7">
        <w:t>) ....................................... 75 mg</w:t>
      </w:r>
    </w:p>
    <w:p w14:paraId="7B337000" w14:textId="77777777" w:rsidR="003751CB" w:rsidRPr="00B94FD7" w:rsidRDefault="003751CB" w:rsidP="003751CB">
      <w:pPr>
        <w:jc w:val="both"/>
      </w:pPr>
    </w:p>
    <w:p w14:paraId="7F5CA350" w14:textId="77777777" w:rsidR="003751CB" w:rsidRPr="00B94FD7" w:rsidRDefault="003751CB" w:rsidP="003751CB">
      <w:pPr>
        <w:jc w:val="both"/>
      </w:pPr>
      <w:r w:rsidRPr="00B94FD7">
        <w:t>Béžová podlouhlá tableta.</w:t>
      </w:r>
    </w:p>
    <w:p w14:paraId="1FF222E2" w14:textId="77777777" w:rsidR="003751CB" w:rsidRPr="00B94FD7" w:rsidRDefault="003751CB" w:rsidP="003751CB">
      <w:pPr>
        <w:jc w:val="both"/>
      </w:pPr>
      <w:r w:rsidRPr="00B94FD7">
        <w:t>Tabletu lze dělit na dvě stejně velké části.</w:t>
      </w:r>
    </w:p>
    <w:p w14:paraId="27310475" w14:textId="77777777" w:rsidR="003751CB" w:rsidRPr="00B94FD7" w:rsidRDefault="003751CB" w:rsidP="003751CB"/>
    <w:p w14:paraId="1E84B381" w14:textId="77777777" w:rsidR="003751CB" w:rsidRPr="00B94FD7" w:rsidRDefault="003751CB" w:rsidP="003751CB"/>
    <w:p w14:paraId="63E71BC6" w14:textId="77777777" w:rsidR="003751CB" w:rsidRPr="00B94FD7" w:rsidRDefault="003751CB" w:rsidP="003751CB">
      <w:pPr>
        <w:rPr>
          <w:b/>
        </w:rPr>
      </w:pPr>
      <w:r w:rsidRPr="00B94FD7">
        <w:rPr>
          <w:b/>
          <w:highlight w:val="lightGray"/>
        </w:rPr>
        <w:t>4.</w:t>
      </w:r>
      <w:r w:rsidRPr="00B94FD7">
        <w:rPr>
          <w:b/>
        </w:rPr>
        <w:tab/>
        <w:t>INDIKACE</w:t>
      </w:r>
    </w:p>
    <w:p w14:paraId="342178CF" w14:textId="77777777" w:rsidR="003751CB" w:rsidRPr="00B94FD7" w:rsidRDefault="003751CB" w:rsidP="003751CB"/>
    <w:p w14:paraId="03247D09" w14:textId="77777777" w:rsidR="003751CB" w:rsidRPr="00B94FD7" w:rsidRDefault="003751CB" w:rsidP="003751CB">
      <w:pPr>
        <w:jc w:val="both"/>
      </w:pPr>
      <w:r w:rsidRPr="00B94FD7">
        <w:t>Kočky:</w:t>
      </w:r>
    </w:p>
    <w:p w14:paraId="29DD81F6" w14:textId="77777777" w:rsidR="003751CB" w:rsidRPr="00B94FD7" w:rsidRDefault="003751CB" w:rsidP="003751CB">
      <w:pPr>
        <w:numPr>
          <w:ilvl w:val="0"/>
          <w:numId w:val="39"/>
        </w:numPr>
        <w:ind w:left="567" w:hanging="283"/>
        <w:jc w:val="both"/>
      </w:pPr>
      <w:r w:rsidRPr="00B94FD7">
        <w:t xml:space="preserve">Léčba kožních a podkožních infekcí (ran a abscesů) vyvolaných </w:t>
      </w:r>
      <w:proofErr w:type="spellStart"/>
      <w:r w:rsidRPr="00B94FD7">
        <w:rPr>
          <w:i/>
        </w:rPr>
        <w:t>Staphylococcus</w:t>
      </w:r>
      <w:proofErr w:type="spellEnd"/>
      <w:r w:rsidRPr="00B94FD7">
        <w:t xml:space="preserve"> </w:t>
      </w:r>
      <w:proofErr w:type="spellStart"/>
      <w:r w:rsidRPr="00B94FD7">
        <w:t>spp</w:t>
      </w:r>
      <w:proofErr w:type="spellEnd"/>
      <w:r w:rsidRPr="00B94FD7">
        <w:t xml:space="preserve">., </w:t>
      </w:r>
      <w:proofErr w:type="spellStart"/>
      <w:r w:rsidRPr="00B94FD7">
        <w:rPr>
          <w:i/>
          <w:szCs w:val="22"/>
        </w:rPr>
        <w:t>Streptococcus</w:t>
      </w:r>
      <w:proofErr w:type="spellEnd"/>
      <w:r w:rsidRPr="00B94FD7">
        <w:rPr>
          <w:szCs w:val="22"/>
        </w:rPr>
        <w:t xml:space="preserve"> </w:t>
      </w:r>
      <w:proofErr w:type="spellStart"/>
      <w:r w:rsidRPr="00B94FD7">
        <w:rPr>
          <w:szCs w:val="22"/>
        </w:rPr>
        <w:t>spp</w:t>
      </w:r>
      <w:proofErr w:type="spellEnd"/>
      <w:r w:rsidRPr="00B94FD7">
        <w:rPr>
          <w:szCs w:val="22"/>
        </w:rPr>
        <w:t xml:space="preserve">., </w:t>
      </w:r>
      <w:proofErr w:type="spellStart"/>
      <w:r w:rsidRPr="00B94FD7">
        <w:rPr>
          <w:i/>
          <w:iCs/>
        </w:rPr>
        <w:t>Escherichia</w:t>
      </w:r>
      <w:proofErr w:type="spellEnd"/>
      <w:r w:rsidRPr="00B94FD7">
        <w:rPr>
          <w:i/>
          <w:iCs/>
        </w:rPr>
        <w:t xml:space="preserve"> coli</w:t>
      </w:r>
      <w:r w:rsidRPr="00B94FD7">
        <w:rPr>
          <w:szCs w:val="22"/>
        </w:rPr>
        <w:t xml:space="preserve">, </w:t>
      </w:r>
      <w:proofErr w:type="spellStart"/>
      <w:r w:rsidRPr="00B94FD7">
        <w:rPr>
          <w:i/>
          <w:szCs w:val="22"/>
        </w:rPr>
        <w:t>Pasteurella</w:t>
      </w:r>
      <w:proofErr w:type="spellEnd"/>
      <w:r w:rsidRPr="00B94FD7">
        <w:rPr>
          <w:szCs w:val="22"/>
        </w:rPr>
        <w:t xml:space="preserve"> </w:t>
      </w:r>
      <w:proofErr w:type="spellStart"/>
      <w:r w:rsidRPr="00B94FD7">
        <w:rPr>
          <w:szCs w:val="22"/>
        </w:rPr>
        <w:t>spp</w:t>
      </w:r>
      <w:proofErr w:type="spellEnd"/>
      <w:r w:rsidRPr="00B94FD7">
        <w:rPr>
          <w:szCs w:val="22"/>
        </w:rPr>
        <w:t xml:space="preserve">., </w:t>
      </w:r>
      <w:r w:rsidRPr="00B94FD7">
        <w:t>citlivými k cefalexinu.</w:t>
      </w:r>
    </w:p>
    <w:p w14:paraId="31CF7CFB" w14:textId="77777777" w:rsidR="003751CB" w:rsidRPr="00B94FD7" w:rsidRDefault="003751CB" w:rsidP="003751CB">
      <w:pPr>
        <w:jc w:val="both"/>
      </w:pPr>
    </w:p>
    <w:p w14:paraId="7FFA8604" w14:textId="77777777" w:rsidR="003751CB" w:rsidRPr="00B94FD7" w:rsidRDefault="003751CB" w:rsidP="003751CB">
      <w:pPr>
        <w:jc w:val="both"/>
      </w:pPr>
      <w:r w:rsidRPr="00B94FD7">
        <w:t>Psi:</w:t>
      </w:r>
    </w:p>
    <w:p w14:paraId="48F449AE" w14:textId="77777777" w:rsidR="003751CB" w:rsidRPr="00B94FD7" w:rsidRDefault="003751CB" w:rsidP="003751CB">
      <w:pPr>
        <w:pStyle w:val="Odstavecseseznamem"/>
        <w:numPr>
          <w:ilvl w:val="0"/>
          <w:numId w:val="41"/>
        </w:numPr>
        <w:jc w:val="both"/>
      </w:pPr>
      <w:bookmarkStart w:id="0" w:name="_Hlk95290232"/>
      <w:r w:rsidRPr="00B94FD7">
        <w:t xml:space="preserve">Léčba bakteriálních kožních infekcí (včetně hluboké a povrchové pyodermie) vyvolaných mikroorganismy, včetně </w:t>
      </w:r>
      <w:proofErr w:type="spellStart"/>
      <w:r w:rsidRPr="00B94FD7">
        <w:rPr>
          <w:i/>
        </w:rPr>
        <w:t>Staphylococcus</w:t>
      </w:r>
      <w:proofErr w:type="spellEnd"/>
      <w:r w:rsidRPr="00B94FD7">
        <w:rPr>
          <w:i/>
        </w:rPr>
        <w:t xml:space="preserve"> </w:t>
      </w:r>
      <w:proofErr w:type="spellStart"/>
      <w:r w:rsidRPr="00B94FD7">
        <w:t>spp</w:t>
      </w:r>
      <w:proofErr w:type="spellEnd"/>
      <w:r w:rsidRPr="00B94FD7">
        <w:t>., citlivými k cefalexinu.</w:t>
      </w:r>
    </w:p>
    <w:bookmarkEnd w:id="0"/>
    <w:p w14:paraId="5EBB665C" w14:textId="77777777" w:rsidR="003751CB" w:rsidRPr="00B94FD7" w:rsidRDefault="003751CB" w:rsidP="003751CB">
      <w:pPr>
        <w:jc w:val="both"/>
      </w:pPr>
    </w:p>
    <w:p w14:paraId="5652C291" w14:textId="77777777" w:rsidR="003751CB" w:rsidRPr="00B94FD7" w:rsidRDefault="003751CB" w:rsidP="003751CB">
      <w:pPr>
        <w:pStyle w:val="Odstavecseseznamem"/>
        <w:numPr>
          <w:ilvl w:val="0"/>
          <w:numId w:val="41"/>
        </w:numPr>
      </w:pPr>
      <w:bookmarkStart w:id="1" w:name="_Hlk95290262"/>
      <w:r w:rsidRPr="00B94FD7">
        <w:t xml:space="preserve">Léčba infekcí močových cest (včetně nefritidy a cystitidy), vyvolaných mikroorganismy, včetně </w:t>
      </w:r>
      <w:proofErr w:type="spellStart"/>
      <w:r w:rsidRPr="00B94FD7">
        <w:rPr>
          <w:i/>
        </w:rPr>
        <w:t>Escherichia</w:t>
      </w:r>
      <w:proofErr w:type="spellEnd"/>
      <w:r w:rsidRPr="00B94FD7">
        <w:rPr>
          <w:i/>
        </w:rPr>
        <w:t xml:space="preserve"> coli</w:t>
      </w:r>
      <w:r w:rsidRPr="00B94FD7">
        <w:t>, citlivými k cefalexinu.</w:t>
      </w:r>
    </w:p>
    <w:bookmarkEnd w:id="1"/>
    <w:p w14:paraId="3FFF2B23" w14:textId="77777777" w:rsidR="003751CB" w:rsidRPr="00B94FD7" w:rsidRDefault="003751CB" w:rsidP="003751CB"/>
    <w:p w14:paraId="3B26BE39" w14:textId="77777777" w:rsidR="003751CB" w:rsidRPr="00B94FD7" w:rsidRDefault="003751CB" w:rsidP="003751CB"/>
    <w:p w14:paraId="585C68BF" w14:textId="77777777" w:rsidR="003751CB" w:rsidRPr="00B94FD7" w:rsidRDefault="003751CB" w:rsidP="003751CB">
      <w:pPr>
        <w:rPr>
          <w:b/>
        </w:rPr>
      </w:pPr>
      <w:r w:rsidRPr="00B94FD7">
        <w:rPr>
          <w:b/>
          <w:highlight w:val="lightGray"/>
        </w:rPr>
        <w:t>5.</w:t>
      </w:r>
      <w:r w:rsidRPr="00B94FD7">
        <w:rPr>
          <w:b/>
        </w:rPr>
        <w:t xml:space="preserve"> </w:t>
      </w:r>
      <w:r w:rsidRPr="00B94FD7">
        <w:rPr>
          <w:b/>
        </w:rPr>
        <w:tab/>
        <w:t>KONTRAINDIKACE</w:t>
      </w:r>
    </w:p>
    <w:p w14:paraId="6C2B51A2" w14:textId="77777777" w:rsidR="003751CB" w:rsidRPr="00B94FD7" w:rsidRDefault="003751CB" w:rsidP="003751CB">
      <w:pPr>
        <w:jc w:val="both"/>
      </w:pPr>
    </w:p>
    <w:p w14:paraId="54E7A36B" w14:textId="77777777" w:rsidR="003751CB" w:rsidRPr="00B94FD7" w:rsidRDefault="003751CB" w:rsidP="003751CB">
      <w:pPr>
        <w:ind w:left="0" w:firstLine="0"/>
        <w:jc w:val="both"/>
      </w:pPr>
      <w:r w:rsidRPr="00B94FD7">
        <w:t xml:space="preserve">Nepoužívejte v případech přecitlivělosti na účinnou látku, jiné cefalosporiny, na jiné látky </w:t>
      </w:r>
      <w:r w:rsidRPr="00B94FD7">
        <w:br/>
        <w:t>ze skupiny beta-laktamů nebo na kteroukoli z pomocných látek.</w:t>
      </w:r>
    </w:p>
    <w:p w14:paraId="55752B8B" w14:textId="3DF72E40" w:rsidR="003751CB" w:rsidRPr="00B94FD7" w:rsidRDefault="003751CB" w:rsidP="003751CB">
      <w:pPr>
        <w:ind w:left="0" w:firstLine="0"/>
      </w:pPr>
      <w:r w:rsidRPr="00B94FD7">
        <w:t xml:space="preserve">Nepoužívat v případech </w:t>
      </w:r>
      <w:r w:rsidR="00FD32E3" w:rsidRPr="00B94FD7">
        <w:t>znám</w:t>
      </w:r>
      <w:r w:rsidR="00FD32E3">
        <w:t>é</w:t>
      </w:r>
      <w:r w:rsidR="00FD32E3" w:rsidRPr="00B94FD7">
        <w:t xml:space="preserve"> </w:t>
      </w:r>
      <w:r w:rsidRPr="00B94FD7">
        <w:t>rezistenc</w:t>
      </w:r>
      <w:r w:rsidR="00FD32E3">
        <w:t>e</w:t>
      </w:r>
      <w:r w:rsidRPr="00B94FD7">
        <w:t xml:space="preserve"> na cefalosporiny nebo peniciliny. </w:t>
      </w:r>
    </w:p>
    <w:p w14:paraId="0B144E03" w14:textId="77777777" w:rsidR="003751CB" w:rsidRPr="00B94FD7" w:rsidRDefault="003751CB" w:rsidP="003751CB">
      <w:pPr>
        <w:ind w:left="0" w:firstLine="0"/>
      </w:pPr>
    </w:p>
    <w:p w14:paraId="25018CC1" w14:textId="77777777" w:rsidR="003751CB" w:rsidRPr="00B94FD7" w:rsidRDefault="003751CB" w:rsidP="003751CB">
      <w:pPr>
        <w:ind w:left="0" w:firstLine="0"/>
      </w:pPr>
      <w:r w:rsidRPr="00B94FD7">
        <w:t xml:space="preserve">Nepoužívejte u králíků, morčat, křečků a </w:t>
      </w:r>
      <w:proofErr w:type="spellStart"/>
      <w:r w:rsidRPr="00B94FD7">
        <w:t>pískomilů</w:t>
      </w:r>
      <w:proofErr w:type="spellEnd"/>
      <w:r w:rsidRPr="00B94FD7">
        <w:t>.</w:t>
      </w:r>
    </w:p>
    <w:p w14:paraId="47817C6A" w14:textId="77777777" w:rsidR="003751CB" w:rsidRPr="00B94FD7" w:rsidRDefault="003751CB" w:rsidP="003751CB"/>
    <w:p w14:paraId="4D8EC01B" w14:textId="77777777" w:rsidR="003751CB" w:rsidRPr="00B94FD7" w:rsidRDefault="003751CB" w:rsidP="003751CB"/>
    <w:p w14:paraId="786C9E3A" w14:textId="77777777" w:rsidR="003751CB" w:rsidRPr="00B94FD7" w:rsidRDefault="003751CB" w:rsidP="003751CB">
      <w:pPr>
        <w:keepNext/>
        <w:rPr>
          <w:b/>
        </w:rPr>
      </w:pPr>
      <w:r w:rsidRPr="00B94FD7">
        <w:rPr>
          <w:b/>
          <w:highlight w:val="lightGray"/>
        </w:rPr>
        <w:lastRenderedPageBreak/>
        <w:t>6.</w:t>
      </w:r>
      <w:r w:rsidRPr="00B94FD7">
        <w:rPr>
          <w:b/>
        </w:rPr>
        <w:tab/>
        <w:t>NEŽÁDOUCÍ ÚČINKY</w:t>
      </w:r>
    </w:p>
    <w:p w14:paraId="79FF0FC7" w14:textId="77777777" w:rsidR="003751CB" w:rsidRPr="00B94FD7" w:rsidRDefault="003751CB" w:rsidP="003751CB">
      <w:pPr>
        <w:keepNext/>
      </w:pPr>
    </w:p>
    <w:p w14:paraId="490D371C" w14:textId="3B4BC2F2" w:rsidR="003751CB" w:rsidRPr="00B94FD7" w:rsidRDefault="003751CB" w:rsidP="003751CB">
      <w:pPr>
        <w:ind w:left="0" w:firstLine="0"/>
        <w:jc w:val="both"/>
      </w:pPr>
      <w:r w:rsidRPr="00B94FD7">
        <w:t xml:space="preserve">Mírné a přechodné zvracení a/nebo průjem byly pozorovány v klinických studiích u koček. Většina těchto nežádoucích účinků byla pozorována u jednotlivých případů. Účinky byly reverzibilní </w:t>
      </w:r>
      <w:r w:rsidRPr="00B94FD7">
        <w:br/>
        <w:t>bez symptomatické léčby a bez přerušení léčby cefalexinem.</w:t>
      </w:r>
    </w:p>
    <w:p w14:paraId="1B0803B7" w14:textId="77777777" w:rsidR="003751CB" w:rsidRPr="00B94FD7" w:rsidRDefault="003751CB" w:rsidP="003751CB">
      <w:r w:rsidRPr="00B94FD7">
        <w:t>Ve vzácných případech může dojít k přecitlivělosti.</w:t>
      </w:r>
    </w:p>
    <w:p w14:paraId="1D835574" w14:textId="77777777" w:rsidR="003751CB" w:rsidRPr="00B94FD7" w:rsidRDefault="003751CB" w:rsidP="003751CB">
      <w:r w:rsidRPr="00B94FD7">
        <w:t>V případě hypersenzitivních reakcí musí být léčba ukončena.</w:t>
      </w:r>
    </w:p>
    <w:p w14:paraId="5272120A" w14:textId="77777777" w:rsidR="003751CB" w:rsidRPr="00B94FD7" w:rsidRDefault="003751CB" w:rsidP="003751CB">
      <w:pPr>
        <w:ind w:left="0" w:firstLine="0"/>
        <w:jc w:val="both"/>
      </w:pPr>
      <w:r w:rsidRPr="00B94FD7">
        <w:t xml:space="preserve">Ve velmi vzácných případech byly po podání některých psů pozorovány nevolnost, zvracení </w:t>
      </w:r>
      <w:r w:rsidRPr="00B94FD7">
        <w:br/>
        <w:t>a / nebo průjem.</w:t>
      </w:r>
    </w:p>
    <w:p w14:paraId="7D2AEDBC" w14:textId="77777777" w:rsidR="003751CB" w:rsidRPr="00B94FD7" w:rsidRDefault="003751CB" w:rsidP="003751CB">
      <w:pPr>
        <w:jc w:val="both"/>
      </w:pPr>
    </w:p>
    <w:p w14:paraId="72EF38E9" w14:textId="77777777" w:rsidR="003751CB" w:rsidRPr="00B94FD7" w:rsidRDefault="003751CB" w:rsidP="003751CB">
      <w:pPr>
        <w:jc w:val="both"/>
      </w:pPr>
    </w:p>
    <w:p w14:paraId="3D26A2E5" w14:textId="77777777" w:rsidR="00824027" w:rsidRDefault="00824027" w:rsidP="00824027">
      <w:pPr>
        <w:jc w:val="both"/>
      </w:pPr>
      <w:r>
        <w:t>Četnost nežádoucích účinků je charakterizována podle následujících pravidel:</w:t>
      </w:r>
    </w:p>
    <w:p w14:paraId="0E4405B5" w14:textId="77777777" w:rsidR="00824027" w:rsidRDefault="00824027" w:rsidP="00824027">
      <w:pPr>
        <w:jc w:val="both"/>
      </w:pPr>
      <w:r>
        <w:t>- velmi časté (nežádoucí účinek (</w:t>
      </w:r>
      <w:proofErr w:type="spellStart"/>
      <w:r>
        <w:t>nky</w:t>
      </w:r>
      <w:proofErr w:type="spellEnd"/>
      <w:r>
        <w:t>) se projevil(y) u více než 1 z 10 ošetřených zvířat)</w:t>
      </w:r>
    </w:p>
    <w:p w14:paraId="629BB46A" w14:textId="77777777" w:rsidR="00824027" w:rsidRDefault="00824027" w:rsidP="00824027">
      <w:pPr>
        <w:jc w:val="both"/>
      </w:pPr>
      <w:r>
        <w:t>- časté (u více než 1, ale méně než 10 ze 100 ošetřených zvířat)</w:t>
      </w:r>
    </w:p>
    <w:p w14:paraId="0A65212D" w14:textId="77777777" w:rsidR="00824027" w:rsidRDefault="00824027" w:rsidP="00824027">
      <w:pPr>
        <w:jc w:val="both"/>
      </w:pPr>
      <w:r>
        <w:t>- neobvyklé (u více než 1, ale méně než 10 z 1000 ošetřených zvířat)</w:t>
      </w:r>
    </w:p>
    <w:p w14:paraId="64B66694" w14:textId="77777777" w:rsidR="00824027" w:rsidRDefault="00824027" w:rsidP="00824027">
      <w:pPr>
        <w:jc w:val="both"/>
      </w:pPr>
      <w:r>
        <w:t>- vzácné (u více než 1, ale méně než 10 z 10000 ošetřených zvířat)</w:t>
      </w:r>
    </w:p>
    <w:p w14:paraId="7291D212" w14:textId="495EF1E1" w:rsidR="003751CB" w:rsidRPr="00B94FD7" w:rsidDel="00902064" w:rsidRDefault="00824027" w:rsidP="003751CB">
      <w:pPr>
        <w:rPr>
          <w:szCs w:val="22"/>
        </w:rPr>
      </w:pPr>
      <w:r>
        <w:t>- velmi vzácné (u méně než 1 z 10000 ošetřených zvířat, včetně ojedinělých hlášení).</w:t>
      </w:r>
    </w:p>
    <w:p w14:paraId="5F34E8E2" w14:textId="77777777" w:rsidR="003751CB" w:rsidRPr="00B94FD7" w:rsidRDefault="003751CB" w:rsidP="003751CB"/>
    <w:p w14:paraId="0BD7191F" w14:textId="604A9AF0" w:rsidR="003751CB" w:rsidRPr="00B94FD7" w:rsidRDefault="003751CB" w:rsidP="003751CB">
      <w:pPr>
        <w:ind w:left="0" w:firstLine="0"/>
      </w:pPr>
      <w:bookmarkStart w:id="2" w:name="_Hlk95290433"/>
      <w:r w:rsidRPr="00B94FD7">
        <w:t xml:space="preserve">Jestliže zaznamenáte kterýkoliv z nežádoucích </w:t>
      </w:r>
      <w:r w:rsidR="00B94FD7" w:rsidRPr="00B94FD7">
        <w:t>účinků,</w:t>
      </w:r>
      <w:r w:rsidRPr="00B94FD7">
        <w:t xml:space="preserve"> a to i takové, které nejsou uvedeny v této příbalové informaci, nebo si myslíte, že léčivo nefunguje, oznamte to, prosím, vašemu veterinárnímu lékaři.</w:t>
      </w:r>
    </w:p>
    <w:bookmarkEnd w:id="2"/>
    <w:p w14:paraId="55EB66C5" w14:textId="77777777" w:rsidR="003751CB" w:rsidRPr="00B94FD7" w:rsidRDefault="003751CB" w:rsidP="003751CB">
      <w:pPr>
        <w:ind w:left="0" w:firstLine="0"/>
      </w:pPr>
    </w:p>
    <w:p w14:paraId="42D2695C" w14:textId="77777777" w:rsidR="003751CB" w:rsidRPr="00B94FD7" w:rsidRDefault="003751CB" w:rsidP="003751CB">
      <w:pPr>
        <w:ind w:left="0" w:firstLine="0"/>
      </w:pPr>
      <w:r w:rsidRPr="00B94FD7">
        <w:t xml:space="preserve">Nežádoucí účinky můžete hlásit prostřednictvím formuláře na webových stránkách ÚSKVBL elektronicky, nebo také přímo na adresu: </w:t>
      </w:r>
    </w:p>
    <w:p w14:paraId="1D20C770" w14:textId="77777777" w:rsidR="003751CB" w:rsidRPr="00B94FD7" w:rsidRDefault="003751CB" w:rsidP="003751CB">
      <w:pPr>
        <w:ind w:left="0" w:firstLine="0"/>
      </w:pPr>
      <w:r w:rsidRPr="00B94FD7">
        <w:t xml:space="preserve">Ústav pro státní kontrolu veterinárních biopreparátů a léčiv </w:t>
      </w:r>
    </w:p>
    <w:p w14:paraId="0D8FE570" w14:textId="77777777" w:rsidR="003751CB" w:rsidRPr="00B94FD7" w:rsidRDefault="003751CB" w:rsidP="003751CB">
      <w:pPr>
        <w:ind w:left="0" w:firstLine="0"/>
      </w:pPr>
      <w:r w:rsidRPr="00B94FD7">
        <w:t xml:space="preserve">Hudcova </w:t>
      </w:r>
      <w:proofErr w:type="gramStart"/>
      <w:r w:rsidRPr="00B94FD7">
        <w:t>56a</w:t>
      </w:r>
      <w:proofErr w:type="gramEnd"/>
      <w:r w:rsidRPr="00B94FD7">
        <w:t xml:space="preserve">, 621 00 Brno </w:t>
      </w:r>
    </w:p>
    <w:p w14:paraId="6461B3AE" w14:textId="77777777" w:rsidR="003751CB" w:rsidRPr="00B94FD7" w:rsidRDefault="003751CB" w:rsidP="003751CB">
      <w:pPr>
        <w:ind w:left="0" w:firstLine="0"/>
      </w:pPr>
      <w:r w:rsidRPr="00B94FD7">
        <w:t>Mail: adr@uskvbl.cz</w:t>
      </w:r>
    </w:p>
    <w:p w14:paraId="13370AAE" w14:textId="77777777" w:rsidR="003751CB" w:rsidRPr="00B94FD7" w:rsidRDefault="003751CB" w:rsidP="003751CB">
      <w:pPr>
        <w:ind w:left="0" w:firstLine="0"/>
      </w:pPr>
      <w:r w:rsidRPr="00B94FD7">
        <w:t>Webové stránky: http://www.uskvbl.cz/cs/farmakovigilance</w:t>
      </w:r>
    </w:p>
    <w:p w14:paraId="41A18157" w14:textId="77777777" w:rsidR="003751CB" w:rsidRPr="00B94FD7" w:rsidRDefault="003751CB" w:rsidP="003751CB"/>
    <w:p w14:paraId="6BEBAF0F" w14:textId="77777777" w:rsidR="003751CB" w:rsidRPr="00B94FD7" w:rsidRDefault="003751CB" w:rsidP="003751CB"/>
    <w:p w14:paraId="4BA7C517" w14:textId="77777777" w:rsidR="003751CB" w:rsidRPr="00B94FD7" w:rsidRDefault="003751CB" w:rsidP="003751CB">
      <w:r w:rsidRPr="00B94FD7">
        <w:rPr>
          <w:b/>
          <w:highlight w:val="lightGray"/>
        </w:rPr>
        <w:t>7.</w:t>
      </w:r>
      <w:r w:rsidRPr="00B94FD7">
        <w:rPr>
          <w:b/>
        </w:rPr>
        <w:tab/>
        <w:t>CÍLOVÝ DRUH ZVÍŘAT</w:t>
      </w:r>
    </w:p>
    <w:p w14:paraId="7E40D9E5" w14:textId="77777777" w:rsidR="003751CB" w:rsidRPr="00B94FD7" w:rsidRDefault="003751CB" w:rsidP="003751CB"/>
    <w:p w14:paraId="18F41E87" w14:textId="77777777" w:rsidR="003751CB" w:rsidRPr="00B94FD7" w:rsidRDefault="003751CB" w:rsidP="003751CB">
      <w:r w:rsidRPr="00B94FD7">
        <w:t>Psi a kočky</w:t>
      </w:r>
    </w:p>
    <w:p w14:paraId="6843F017" w14:textId="77777777" w:rsidR="003751CB" w:rsidRPr="00B94FD7" w:rsidRDefault="003751CB" w:rsidP="003751CB"/>
    <w:p w14:paraId="115E9466" w14:textId="77777777" w:rsidR="003751CB" w:rsidRPr="00B94FD7" w:rsidRDefault="003751CB" w:rsidP="003751CB"/>
    <w:p w14:paraId="746FD210" w14:textId="77777777" w:rsidR="003751CB" w:rsidRPr="00B94FD7" w:rsidRDefault="003751CB" w:rsidP="003751CB">
      <w:r w:rsidRPr="00B94FD7">
        <w:rPr>
          <w:b/>
          <w:highlight w:val="lightGray"/>
        </w:rPr>
        <w:t>8.</w:t>
      </w:r>
      <w:r w:rsidRPr="00B94FD7">
        <w:rPr>
          <w:b/>
        </w:rPr>
        <w:tab/>
        <w:t>DÁVKOVÁNÍ PRO KAŽDÝ DRUH, CESTA(Y) A ZPŮSOB PODÁNÍ</w:t>
      </w:r>
    </w:p>
    <w:p w14:paraId="00DA94D2" w14:textId="77777777" w:rsidR="003751CB" w:rsidRPr="00B94FD7" w:rsidRDefault="003751CB" w:rsidP="003751CB"/>
    <w:p w14:paraId="5C8BEA12" w14:textId="77777777" w:rsidR="003751CB" w:rsidRPr="00B94FD7" w:rsidRDefault="003751CB" w:rsidP="003751CB">
      <w:pPr>
        <w:jc w:val="both"/>
      </w:pPr>
      <w:r w:rsidRPr="00B94FD7">
        <w:t>Perorální podání.</w:t>
      </w:r>
    </w:p>
    <w:p w14:paraId="7E9F8DB4" w14:textId="3FB53768" w:rsidR="003751CB" w:rsidRDefault="003751CB" w:rsidP="003751CB">
      <w:pPr>
        <w:ind w:left="0" w:firstLine="0"/>
        <w:jc w:val="both"/>
      </w:pPr>
      <w:r w:rsidRPr="00B94FD7">
        <w:t>15 mg cefalexinu na kg živé hmotnosti dvakrát denně (odpovídá 30 mg / kg živé hmotnosti / den) odpovídající jedné tabletě na 5 kg živé hmotnosti dvakrát denně po dobu:</w:t>
      </w:r>
    </w:p>
    <w:p w14:paraId="261B5711" w14:textId="77777777" w:rsidR="00B94FD7" w:rsidRPr="00B94FD7" w:rsidRDefault="00B94FD7" w:rsidP="003751CB">
      <w:pPr>
        <w:ind w:left="0" w:firstLine="0"/>
        <w:jc w:val="both"/>
      </w:pPr>
    </w:p>
    <w:p w14:paraId="4A0C1D8A" w14:textId="77777777" w:rsidR="003751CB" w:rsidRPr="00B94FD7" w:rsidRDefault="003751CB" w:rsidP="003751CB">
      <w:pPr>
        <w:jc w:val="both"/>
      </w:pPr>
      <w:r w:rsidRPr="00B94FD7">
        <w:t>Psi:</w:t>
      </w:r>
    </w:p>
    <w:p w14:paraId="4DD60761" w14:textId="77777777" w:rsidR="003751CB" w:rsidRPr="00B94FD7" w:rsidRDefault="003751CB" w:rsidP="003751CB">
      <w:pPr>
        <w:jc w:val="both"/>
      </w:pPr>
      <w:r w:rsidRPr="00B94FD7">
        <w:t xml:space="preserve">Infekce močových cest: 14 dnů </w:t>
      </w:r>
    </w:p>
    <w:p w14:paraId="26E602AF" w14:textId="77777777" w:rsidR="003751CB" w:rsidRPr="00B94FD7" w:rsidRDefault="003751CB" w:rsidP="003751CB">
      <w:pPr>
        <w:jc w:val="both"/>
      </w:pPr>
      <w:r w:rsidRPr="00B94FD7">
        <w:t>Povrchové bakteriální infekce kůže: nejméně 15 dnů.</w:t>
      </w:r>
    </w:p>
    <w:p w14:paraId="6101C35F" w14:textId="77777777" w:rsidR="003751CB" w:rsidRPr="00B94FD7" w:rsidRDefault="003751CB" w:rsidP="003751CB">
      <w:pPr>
        <w:jc w:val="both"/>
      </w:pPr>
      <w:r w:rsidRPr="00B94FD7">
        <w:t>Hluboké bakteriální infekce kůže: nejméně 28 dnů.</w:t>
      </w:r>
    </w:p>
    <w:p w14:paraId="1BB0FE83" w14:textId="77777777" w:rsidR="003751CB" w:rsidRPr="00B94FD7" w:rsidRDefault="003751CB" w:rsidP="003751CB">
      <w:pPr>
        <w:jc w:val="both"/>
      </w:pPr>
    </w:p>
    <w:p w14:paraId="7020A9C0" w14:textId="77777777" w:rsidR="003751CB" w:rsidRPr="00B94FD7" w:rsidRDefault="003751CB" w:rsidP="003751CB">
      <w:pPr>
        <w:jc w:val="both"/>
      </w:pPr>
      <w:r w:rsidRPr="00B94FD7">
        <w:t>Kočky:</w:t>
      </w:r>
    </w:p>
    <w:p w14:paraId="301D1380" w14:textId="77777777" w:rsidR="003751CB" w:rsidRPr="00B94FD7" w:rsidRDefault="003751CB" w:rsidP="003751CB">
      <w:pPr>
        <w:jc w:val="both"/>
      </w:pPr>
      <w:r w:rsidRPr="00B94FD7">
        <w:t>Kožní a subkutánní infekce (rány a abscesy): 5 dnů</w:t>
      </w:r>
    </w:p>
    <w:p w14:paraId="6681ECF0" w14:textId="77777777" w:rsidR="003751CB" w:rsidRPr="00B94FD7" w:rsidRDefault="003751CB" w:rsidP="003751CB">
      <w:pPr>
        <w:jc w:val="both"/>
      </w:pPr>
    </w:p>
    <w:p w14:paraId="216BB26B" w14:textId="39DA5ED3" w:rsidR="003751CB" w:rsidRPr="00B94FD7" w:rsidRDefault="003751CB" w:rsidP="003751CB">
      <w:pPr>
        <w:jc w:val="both"/>
      </w:pPr>
      <w:r w:rsidRPr="00B94FD7">
        <w:t xml:space="preserve">Tento přípravek by neměl být používán k léčbě štěňat a koťat s hmotností nižší než 1 </w:t>
      </w:r>
    </w:p>
    <w:p w14:paraId="3BA876AF" w14:textId="77777777" w:rsidR="003751CB" w:rsidRPr="00B94FD7" w:rsidRDefault="003751CB" w:rsidP="003751CB">
      <w:pPr>
        <w:jc w:val="both"/>
      </w:pPr>
      <w:r w:rsidRPr="00B94FD7">
        <w:t>kg a koťat mladších deseti týdnů.</w:t>
      </w:r>
    </w:p>
    <w:p w14:paraId="48DDD9D0" w14:textId="77777777" w:rsidR="003751CB" w:rsidRPr="00B94FD7" w:rsidRDefault="003751CB" w:rsidP="003751CB">
      <w:pPr>
        <w:jc w:val="both"/>
      </w:pPr>
    </w:p>
    <w:p w14:paraId="01F9C9EC" w14:textId="6603C646" w:rsidR="003751CB" w:rsidRPr="00B94FD7" w:rsidRDefault="0026242A" w:rsidP="003751CB">
      <w:pPr>
        <w:jc w:val="both"/>
      </w:pPr>
      <w:r w:rsidRPr="00B94FD7">
        <w:t>P</w:t>
      </w:r>
      <w:r w:rsidR="003751CB" w:rsidRPr="00B94FD7">
        <w:t>řípravek může být v případě potřeby rozdrcen nebo přidán do potravy.</w:t>
      </w:r>
    </w:p>
    <w:p w14:paraId="66C40F8A" w14:textId="77777777" w:rsidR="003751CB" w:rsidRPr="00B94FD7" w:rsidRDefault="003751CB" w:rsidP="003751CB">
      <w:pPr>
        <w:jc w:val="both"/>
      </w:pPr>
    </w:p>
    <w:p w14:paraId="0A9512CE" w14:textId="77777777" w:rsidR="003751CB" w:rsidRPr="00B94FD7" w:rsidRDefault="003751CB" w:rsidP="003751CB">
      <w:pPr>
        <w:ind w:left="0" w:firstLine="0"/>
      </w:pPr>
      <w:r w:rsidRPr="00B94FD7">
        <w:t>U těžkých či akutních stavů, s výjimkou případů známé renální insuficience (</w:t>
      </w:r>
      <w:bookmarkStart w:id="3" w:name="_Hlk95290511"/>
      <w:r w:rsidRPr="00B94FD7">
        <w:t>viz bod Zvláštní opatření pro použití u zvířat</w:t>
      </w:r>
      <w:bookmarkEnd w:id="3"/>
      <w:r w:rsidRPr="00B94FD7">
        <w:t>), může být na základě rozhodnutí veterinárního lékaře dávka zdvojnásobena. Vždy dodržujte předepsané dávkování.</w:t>
      </w:r>
    </w:p>
    <w:p w14:paraId="13FF2202" w14:textId="77777777" w:rsidR="003751CB" w:rsidRPr="00B94FD7" w:rsidRDefault="003751CB" w:rsidP="003751CB"/>
    <w:p w14:paraId="3DC870E8" w14:textId="77777777" w:rsidR="003751CB" w:rsidRPr="00B94FD7" w:rsidRDefault="003751CB" w:rsidP="003751CB"/>
    <w:p w14:paraId="4DA04760" w14:textId="77777777" w:rsidR="003751CB" w:rsidRPr="00B94FD7" w:rsidRDefault="003751CB" w:rsidP="003751CB">
      <w:r w:rsidRPr="00B94FD7">
        <w:rPr>
          <w:b/>
          <w:highlight w:val="lightGray"/>
        </w:rPr>
        <w:t>9.</w:t>
      </w:r>
      <w:r w:rsidRPr="00B94FD7">
        <w:rPr>
          <w:b/>
        </w:rPr>
        <w:tab/>
        <w:t>POKYNY PRO SPRÁVNÉ PODÁNÍ</w:t>
      </w:r>
    </w:p>
    <w:p w14:paraId="18DF1893" w14:textId="77777777" w:rsidR="003751CB" w:rsidRPr="00B94FD7" w:rsidRDefault="003751CB" w:rsidP="003751CB"/>
    <w:p w14:paraId="41BE8C0E" w14:textId="77777777" w:rsidR="003751CB" w:rsidRPr="00B94FD7" w:rsidRDefault="003751CB" w:rsidP="003751CB">
      <w:pPr>
        <w:ind w:left="0" w:firstLine="0"/>
        <w:jc w:val="both"/>
      </w:pPr>
      <w:r w:rsidRPr="00B94FD7">
        <w:t xml:space="preserve">K zajištění správného dávkování by měla být určena živá hmotnost co možná nejpřesněji, </w:t>
      </w:r>
      <w:r w:rsidRPr="00B94FD7">
        <w:br/>
        <w:t>aby se předešlo poddávkování.</w:t>
      </w:r>
    </w:p>
    <w:p w14:paraId="460FC7F5" w14:textId="77777777" w:rsidR="003751CB" w:rsidRPr="00B94FD7" w:rsidRDefault="003751CB" w:rsidP="003751CB"/>
    <w:p w14:paraId="6676D7CB" w14:textId="77777777" w:rsidR="003751CB" w:rsidRPr="00B94FD7" w:rsidRDefault="003751CB" w:rsidP="003751CB"/>
    <w:p w14:paraId="7841861F" w14:textId="77777777" w:rsidR="003751CB" w:rsidRPr="00B94FD7" w:rsidRDefault="003751CB" w:rsidP="003751CB">
      <w:r w:rsidRPr="00B94FD7">
        <w:rPr>
          <w:b/>
          <w:highlight w:val="lightGray"/>
        </w:rPr>
        <w:t>10.</w:t>
      </w:r>
      <w:r w:rsidRPr="00B94FD7">
        <w:rPr>
          <w:b/>
        </w:rPr>
        <w:tab/>
        <w:t xml:space="preserve">OCHRANNÁ(É) LHŮTA(Y) </w:t>
      </w:r>
    </w:p>
    <w:p w14:paraId="04C34B60" w14:textId="77777777" w:rsidR="003751CB" w:rsidRPr="00B94FD7" w:rsidRDefault="003751CB" w:rsidP="003751CB">
      <w:pPr>
        <w:rPr>
          <w:iCs/>
        </w:rPr>
      </w:pPr>
    </w:p>
    <w:p w14:paraId="532F5BF2" w14:textId="77777777" w:rsidR="003751CB" w:rsidRPr="00B94FD7" w:rsidRDefault="003751CB" w:rsidP="003751CB">
      <w:pPr>
        <w:rPr>
          <w:iCs/>
        </w:rPr>
      </w:pPr>
      <w:r w:rsidRPr="00B94FD7">
        <w:t>Není určeno pro potravinová zvířata.</w:t>
      </w:r>
    </w:p>
    <w:p w14:paraId="5AE723FC" w14:textId="77777777" w:rsidR="003751CB" w:rsidRPr="00B94FD7" w:rsidRDefault="003751CB" w:rsidP="003751CB">
      <w:pPr>
        <w:rPr>
          <w:iCs/>
        </w:rPr>
      </w:pPr>
    </w:p>
    <w:p w14:paraId="705C68EA" w14:textId="77777777" w:rsidR="003751CB" w:rsidRPr="00B94FD7" w:rsidRDefault="003751CB" w:rsidP="003751CB">
      <w:pPr>
        <w:rPr>
          <w:iCs/>
        </w:rPr>
      </w:pPr>
    </w:p>
    <w:p w14:paraId="2431C834" w14:textId="77777777" w:rsidR="003751CB" w:rsidRPr="00B94FD7" w:rsidRDefault="003751CB" w:rsidP="003751CB">
      <w:pPr>
        <w:keepNext/>
      </w:pPr>
      <w:r w:rsidRPr="00B94FD7">
        <w:rPr>
          <w:b/>
          <w:highlight w:val="lightGray"/>
        </w:rPr>
        <w:t>11.</w:t>
      </w:r>
      <w:r w:rsidRPr="00B94FD7">
        <w:rPr>
          <w:b/>
        </w:rPr>
        <w:tab/>
        <w:t>ZVLÁŠTNÍ OPATŘENÍ PRO UCHOVÁVÁNÍ</w:t>
      </w:r>
    </w:p>
    <w:p w14:paraId="24DA3BA6" w14:textId="77777777" w:rsidR="003751CB" w:rsidRPr="00B94FD7" w:rsidRDefault="003751CB" w:rsidP="003751CB">
      <w:pPr>
        <w:keepNext/>
      </w:pPr>
    </w:p>
    <w:p w14:paraId="632F1117" w14:textId="5A72294A" w:rsidR="003751CB" w:rsidRPr="00B94FD7" w:rsidRDefault="003751CB" w:rsidP="003751CB">
      <w:r w:rsidRPr="00B94FD7">
        <w:t>Uchováv</w:t>
      </w:r>
      <w:r w:rsidR="000253F7">
        <w:t>ejte</w:t>
      </w:r>
      <w:r w:rsidRPr="00B94FD7">
        <w:t xml:space="preserve"> mimo dohled a dosah dětí.</w:t>
      </w:r>
    </w:p>
    <w:p w14:paraId="1FAF8BA1" w14:textId="77777777" w:rsidR="003751CB" w:rsidRPr="00B94FD7" w:rsidRDefault="003751CB" w:rsidP="003751CB"/>
    <w:p w14:paraId="2C8C6506" w14:textId="77777777" w:rsidR="003751CB" w:rsidRPr="00B94FD7" w:rsidRDefault="003751CB" w:rsidP="003751CB">
      <w:pPr>
        <w:jc w:val="both"/>
      </w:pPr>
      <w:r w:rsidRPr="00B94FD7">
        <w:t>Uchovávejte v původním obalu.</w:t>
      </w:r>
    </w:p>
    <w:p w14:paraId="210C603D" w14:textId="77777777" w:rsidR="003751CB" w:rsidRPr="00B94FD7" w:rsidRDefault="003751CB" w:rsidP="003751CB">
      <w:pPr>
        <w:jc w:val="both"/>
      </w:pPr>
      <w:r w:rsidRPr="00B94FD7">
        <w:t>Doba použitelnosti po prvním otevření vnitřního obalu: 16 hodin.</w:t>
      </w:r>
    </w:p>
    <w:p w14:paraId="72D4BB74" w14:textId="77777777" w:rsidR="003751CB" w:rsidRPr="00B94FD7" w:rsidRDefault="003751CB" w:rsidP="003751CB">
      <w:pPr>
        <w:jc w:val="both"/>
      </w:pPr>
      <w:r w:rsidRPr="00B94FD7">
        <w:t>Jakékoliv zbylé části použitých tablet vraťte zpět do otevřeného blistru.</w:t>
      </w:r>
    </w:p>
    <w:p w14:paraId="6628534A" w14:textId="77777777" w:rsidR="003751CB" w:rsidRPr="00B94FD7" w:rsidRDefault="003751CB" w:rsidP="003751CB">
      <w:pPr>
        <w:jc w:val="both"/>
      </w:pPr>
    </w:p>
    <w:p w14:paraId="34102B5B" w14:textId="77777777" w:rsidR="003751CB" w:rsidRPr="00B94FD7" w:rsidRDefault="003751CB" w:rsidP="003751CB">
      <w:pPr>
        <w:ind w:left="0" w:firstLine="0"/>
      </w:pPr>
      <w:r w:rsidRPr="00B94FD7">
        <w:t>Nepoužívejte tento veterinární léčivý přípravek po uplynutí doby použitelnosti uvedené na krabičce po EXP. Doba použitelnosti končí posledním dnem v uvedeném měsíci.</w:t>
      </w:r>
    </w:p>
    <w:p w14:paraId="6B5C03FE" w14:textId="77777777" w:rsidR="003751CB" w:rsidRPr="00B94FD7" w:rsidRDefault="003751CB" w:rsidP="003751CB"/>
    <w:p w14:paraId="4412217B" w14:textId="77777777" w:rsidR="003751CB" w:rsidRPr="00B94FD7" w:rsidRDefault="003751CB" w:rsidP="003751CB">
      <w:pPr>
        <w:ind w:left="0" w:right="-318" w:firstLine="0"/>
      </w:pPr>
    </w:p>
    <w:p w14:paraId="069B4F6B" w14:textId="77777777" w:rsidR="003751CB" w:rsidRPr="00B94FD7" w:rsidRDefault="003751CB" w:rsidP="003751CB">
      <w:pPr>
        <w:rPr>
          <w:b/>
        </w:rPr>
      </w:pPr>
      <w:r w:rsidRPr="00B94FD7">
        <w:rPr>
          <w:b/>
          <w:highlight w:val="lightGray"/>
        </w:rPr>
        <w:t>12.</w:t>
      </w:r>
      <w:r w:rsidRPr="00B94FD7">
        <w:rPr>
          <w:b/>
        </w:rPr>
        <w:tab/>
        <w:t>ZVLÁŠTNÍ UPOZORNĚNÍ</w:t>
      </w:r>
    </w:p>
    <w:p w14:paraId="0F426649" w14:textId="77777777" w:rsidR="003751CB" w:rsidRPr="00B94FD7" w:rsidRDefault="003751CB" w:rsidP="003751CB"/>
    <w:p w14:paraId="015AAAA8" w14:textId="77777777" w:rsidR="003751CB" w:rsidRPr="00B94FD7" w:rsidRDefault="003751CB" w:rsidP="003751CB">
      <w:pPr>
        <w:jc w:val="both"/>
        <w:rPr>
          <w:u w:val="single"/>
        </w:rPr>
      </w:pPr>
      <w:r w:rsidRPr="00B94FD7">
        <w:rPr>
          <w:u w:val="single"/>
        </w:rPr>
        <w:t>Zvláštní opatření pro použití u zvířat:</w:t>
      </w:r>
    </w:p>
    <w:p w14:paraId="0E51A1FC" w14:textId="68A6F2F1" w:rsidR="003751CB" w:rsidRPr="00B94FD7" w:rsidRDefault="003751CB" w:rsidP="003751CB">
      <w:pPr>
        <w:ind w:left="0" w:firstLine="0"/>
        <w:jc w:val="both"/>
      </w:pPr>
      <w:r w:rsidRPr="00B94FD7">
        <w:t xml:space="preserve">Při léčbě povrchových pyodermií je třeba pečlivě zvážit příslušným veterinárním lékařem potřebu použití systémových antibiotik ve srovnání s jinou alternativou léčby bez použití antibiotik. </w:t>
      </w:r>
    </w:p>
    <w:p w14:paraId="6CC007CD" w14:textId="77777777" w:rsidR="003751CB" w:rsidRPr="00B94FD7" w:rsidRDefault="003751CB" w:rsidP="003751CB">
      <w:pPr>
        <w:ind w:left="0" w:firstLine="0"/>
        <w:jc w:val="both"/>
      </w:pPr>
      <w:r w:rsidRPr="00B94FD7">
        <w:t xml:space="preserve">Stejně jako u jiných antibiotik, která jsou vylučována převážně ledvinami, může v organismu dojít </w:t>
      </w:r>
      <w:r w:rsidRPr="00B94FD7">
        <w:br/>
        <w:t>při poruše funkce ledvin k systémové akumulaci. V případě známé renální insuficience by měla být dávka snížena a antimikrobiální látky s </w:t>
      </w:r>
      <w:proofErr w:type="spellStart"/>
      <w:r w:rsidRPr="00B94FD7">
        <w:t>nefrotoxickými</w:t>
      </w:r>
      <w:proofErr w:type="spellEnd"/>
      <w:r w:rsidRPr="00B94FD7">
        <w:t xml:space="preserve"> účinky by neměly být podávány současně.</w:t>
      </w:r>
    </w:p>
    <w:p w14:paraId="1DF84537" w14:textId="77777777" w:rsidR="003751CB" w:rsidRPr="00B94FD7" w:rsidRDefault="003751CB" w:rsidP="003751CB">
      <w:pPr>
        <w:ind w:left="0" w:firstLine="0"/>
        <w:jc w:val="both"/>
      </w:pPr>
    </w:p>
    <w:p w14:paraId="588402E8" w14:textId="74854F86" w:rsidR="003751CB" w:rsidRPr="00B94FD7" w:rsidRDefault="003751CB" w:rsidP="003751CB">
      <w:pPr>
        <w:ind w:left="0" w:firstLine="0"/>
        <w:jc w:val="both"/>
      </w:pPr>
      <w:r w:rsidRPr="00B94FD7">
        <w:t>Tento přípravek by neměl být používán k léčbě štěňat a koťat s hmotností nižší než 1 kg a koťat mladších deseti týdnů.</w:t>
      </w:r>
    </w:p>
    <w:p w14:paraId="5B705366" w14:textId="77777777" w:rsidR="003751CB" w:rsidRPr="00B94FD7" w:rsidRDefault="003751CB" w:rsidP="003751CB">
      <w:pPr>
        <w:jc w:val="both"/>
      </w:pPr>
    </w:p>
    <w:p w14:paraId="7F3C5714" w14:textId="10AA9D0F" w:rsidR="003751CB" w:rsidRPr="00B94FD7" w:rsidRDefault="003751CB" w:rsidP="003751CB">
      <w:pPr>
        <w:ind w:left="0" w:firstLine="0"/>
        <w:jc w:val="both"/>
      </w:pPr>
      <w:r w:rsidRPr="00B94FD7">
        <w:t xml:space="preserve">Použití přípravku by mělo být založeno na výsledku testu citlivosti bakterií izolovaných ze zvířete. Není-li to možné, měla by být léčba založena na místních </w:t>
      </w:r>
      <w:r w:rsidR="00335A33">
        <w:t>(na úrovni regionu, farmy)</w:t>
      </w:r>
      <w:bookmarkStart w:id="4" w:name="_GoBack"/>
      <w:bookmarkEnd w:id="4"/>
      <w:r w:rsidRPr="00B94FD7">
        <w:t xml:space="preserve"> </w:t>
      </w:r>
      <w:proofErr w:type="spellStart"/>
      <w:r w:rsidR="00551B46" w:rsidRPr="00B94FD7">
        <w:t>epi</w:t>
      </w:r>
      <w:r w:rsidR="00551B46">
        <w:t>zootologických</w:t>
      </w:r>
      <w:proofErr w:type="spellEnd"/>
      <w:r w:rsidR="00551B46" w:rsidRPr="00B94FD7">
        <w:t xml:space="preserve"> </w:t>
      </w:r>
      <w:r w:rsidRPr="00B94FD7">
        <w:t>informacích o citlivosti cílového druhu bakterií.</w:t>
      </w:r>
    </w:p>
    <w:p w14:paraId="48E5911A" w14:textId="62F7B8AC" w:rsidR="003751CB" w:rsidRPr="00B94FD7" w:rsidRDefault="003751CB" w:rsidP="003751CB">
      <w:pPr>
        <w:ind w:left="0" w:firstLine="0"/>
        <w:jc w:val="both"/>
      </w:pPr>
      <w:r w:rsidRPr="00B94FD7">
        <w:t xml:space="preserve">V případě použití přípravku by měla být brána v úvahu oficiální, </w:t>
      </w:r>
      <w:r w:rsidR="00335A33">
        <w:t xml:space="preserve">celostátní </w:t>
      </w:r>
      <w:r w:rsidRPr="00B94FD7">
        <w:t>a místní pravidla antibiotické politiky.</w:t>
      </w:r>
    </w:p>
    <w:p w14:paraId="29FC6F95" w14:textId="77777777" w:rsidR="003751CB" w:rsidRPr="00B94FD7" w:rsidRDefault="003751CB" w:rsidP="003751CB">
      <w:pPr>
        <w:jc w:val="both"/>
      </w:pPr>
      <w:proofErr w:type="spellStart"/>
      <w:r w:rsidRPr="00B94FD7">
        <w:rPr>
          <w:i/>
          <w:iCs/>
        </w:rPr>
        <w:t>Pseudomonas</w:t>
      </w:r>
      <w:proofErr w:type="spellEnd"/>
      <w:r w:rsidRPr="00B94FD7">
        <w:rPr>
          <w:i/>
          <w:iCs/>
        </w:rPr>
        <w:t xml:space="preserve"> </w:t>
      </w:r>
      <w:proofErr w:type="spellStart"/>
      <w:r w:rsidRPr="00B94FD7">
        <w:rPr>
          <w:i/>
          <w:iCs/>
        </w:rPr>
        <w:t>aeruginosa</w:t>
      </w:r>
      <w:proofErr w:type="spellEnd"/>
      <w:r w:rsidRPr="00B94FD7">
        <w:t xml:space="preserve"> je obecně známá pro svou vnitřní (přirozenou) rezistenci k cefalexinu.</w:t>
      </w:r>
    </w:p>
    <w:p w14:paraId="54517880" w14:textId="77777777" w:rsidR="003751CB" w:rsidRPr="00B94FD7" w:rsidRDefault="003751CB" w:rsidP="003751CB">
      <w:pPr>
        <w:jc w:val="both"/>
      </w:pPr>
    </w:p>
    <w:p w14:paraId="5488AA61" w14:textId="77777777" w:rsidR="003751CB" w:rsidRPr="00B94FD7" w:rsidRDefault="003751CB" w:rsidP="003751CB">
      <w:pPr>
        <w:ind w:left="0" w:firstLine="0"/>
        <w:jc w:val="both"/>
      </w:pPr>
      <w:r w:rsidRPr="00B94FD7">
        <w:t>Tablety jsou ochuceny (obsahují prášek z vepřových jater). Aby se zabránilo náhodnému požití, uchovávejte tablety mimo dosah zvířat.</w:t>
      </w:r>
    </w:p>
    <w:p w14:paraId="19FD29F3" w14:textId="77777777" w:rsidR="003751CB" w:rsidRPr="00B94FD7" w:rsidRDefault="003751CB" w:rsidP="003751CB">
      <w:pPr>
        <w:jc w:val="both"/>
      </w:pPr>
    </w:p>
    <w:p w14:paraId="203F1989" w14:textId="3948AE1B" w:rsidR="003751CB" w:rsidRPr="00B94FD7" w:rsidRDefault="003751CB" w:rsidP="003751CB">
      <w:pPr>
        <w:ind w:left="0" w:firstLine="0"/>
        <w:jc w:val="both"/>
      </w:pPr>
      <w:bookmarkStart w:id="5" w:name="_Hlk95290602"/>
      <w:r w:rsidRPr="00B94FD7">
        <w:t>Použití přípravku v rozporu s pokyny uvedenými v této příbalové informaci může zvýšit prevalenci bakterií rezistentních na cefalexin a může snížit účinnost léčby jinými cefalosporiny a peniciliny, z důvodu možné zkřížené rezistence.</w:t>
      </w:r>
    </w:p>
    <w:bookmarkEnd w:id="5"/>
    <w:p w14:paraId="72F2F22B" w14:textId="77777777" w:rsidR="003751CB" w:rsidRPr="00B94FD7" w:rsidRDefault="003751CB" w:rsidP="00B94FD7">
      <w:pPr>
        <w:ind w:left="0" w:firstLine="0"/>
        <w:jc w:val="both"/>
      </w:pPr>
    </w:p>
    <w:p w14:paraId="6D414F02" w14:textId="77777777" w:rsidR="003751CB" w:rsidRPr="00B94FD7" w:rsidRDefault="003751CB" w:rsidP="003A6602">
      <w:pPr>
        <w:keepNext/>
        <w:jc w:val="both"/>
        <w:rPr>
          <w:u w:val="single"/>
        </w:rPr>
      </w:pPr>
      <w:r w:rsidRPr="00B94FD7">
        <w:rPr>
          <w:u w:val="single"/>
        </w:rPr>
        <w:t>Zvláštní opatření určené osobám, které podávají veterinární léčivý přípravek zvířatům:</w:t>
      </w:r>
    </w:p>
    <w:p w14:paraId="7D80F56F" w14:textId="77777777" w:rsidR="003751CB" w:rsidRPr="00B94FD7" w:rsidRDefault="003751CB" w:rsidP="003751CB">
      <w:pPr>
        <w:ind w:left="0" w:firstLine="0"/>
        <w:jc w:val="both"/>
      </w:pPr>
      <w:r w:rsidRPr="00B94FD7">
        <w:t>Peniciliny a cefalosporiny mohou po injekci, inhalaci, požití nebo kontaktu s kůží vyvolat přecitlivělost (alergii). Přecitlivělost na peniciliny může vést ke zkříženým reakcím s cefalosporiny a naopak. Alergické reakce na tyto látky mohou být v některých případech vážné.</w:t>
      </w:r>
    </w:p>
    <w:p w14:paraId="5754B150" w14:textId="77777777" w:rsidR="003751CB" w:rsidRPr="00B94FD7" w:rsidRDefault="003751CB" w:rsidP="003751CB">
      <w:pPr>
        <w:pStyle w:val="Odstavecseseznamem"/>
        <w:numPr>
          <w:ilvl w:val="0"/>
          <w:numId w:val="42"/>
        </w:numPr>
        <w:jc w:val="both"/>
      </w:pPr>
      <w:r w:rsidRPr="00B94FD7">
        <w:t>Nemanipulujte s přípravkem, pokud víte, že jste přecitlivělí, nebo pokud vám bylo doporučeno s přípravky tohoto typu nepracovat.</w:t>
      </w:r>
    </w:p>
    <w:p w14:paraId="67232BFE" w14:textId="77777777" w:rsidR="003751CB" w:rsidRPr="00B94FD7" w:rsidRDefault="003751CB" w:rsidP="003751CB">
      <w:pPr>
        <w:pStyle w:val="Odstavecseseznamem"/>
        <w:numPr>
          <w:ilvl w:val="0"/>
          <w:numId w:val="42"/>
        </w:numPr>
        <w:jc w:val="both"/>
      </w:pPr>
      <w:r w:rsidRPr="00B94FD7">
        <w:lastRenderedPageBreak/>
        <w:t>Při manipulaci s přípravkem dodržujte všechna doporučená bezpečnostní opatření a buďte maximálně obezřetní, aby nedošlo k přímému kontaktu. Po použití si umyjte ruce.</w:t>
      </w:r>
    </w:p>
    <w:p w14:paraId="4B5B989F" w14:textId="4D4B9AC9" w:rsidR="003751CB" w:rsidRPr="00B94FD7" w:rsidRDefault="003751CB" w:rsidP="003751CB">
      <w:pPr>
        <w:pStyle w:val="Odstavecseseznamem"/>
        <w:numPr>
          <w:ilvl w:val="0"/>
          <w:numId w:val="42"/>
        </w:numPr>
        <w:jc w:val="both"/>
      </w:pPr>
      <w:r w:rsidRPr="00B94FD7">
        <w:t xml:space="preserve">Pokud se </w:t>
      </w:r>
      <w:r w:rsidR="000253F7">
        <w:t xml:space="preserve">u vás </w:t>
      </w:r>
      <w:r w:rsidRPr="00B94FD7">
        <w:t xml:space="preserve">objeví </w:t>
      </w:r>
      <w:r w:rsidR="000253F7">
        <w:t xml:space="preserve">postexpoziční </w:t>
      </w:r>
      <w:r w:rsidRPr="00B94FD7">
        <w:t>příznaky</w:t>
      </w:r>
      <w:r w:rsidR="000253F7">
        <w:t>,</w:t>
      </w:r>
      <w:r w:rsidRPr="00B94FD7">
        <w:t xml:space="preserve"> jako např. kožní vyrážka, vyhledejte lékařskou pomoc a </w:t>
      </w:r>
      <w:r w:rsidR="000253F7">
        <w:t xml:space="preserve">ukažte </w:t>
      </w:r>
      <w:r w:rsidRPr="00B94FD7">
        <w:t>příbalov</w:t>
      </w:r>
      <w:r w:rsidR="000253F7">
        <w:t>ou</w:t>
      </w:r>
      <w:r w:rsidRPr="00B94FD7">
        <w:t xml:space="preserve"> </w:t>
      </w:r>
      <w:r w:rsidR="000253F7">
        <w:t xml:space="preserve">informaci </w:t>
      </w:r>
      <w:r w:rsidRPr="00B94FD7">
        <w:t xml:space="preserve">nebo </w:t>
      </w:r>
      <w:r w:rsidR="000253F7">
        <w:t xml:space="preserve">etiketu </w:t>
      </w:r>
      <w:r w:rsidRPr="00B94FD7">
        <w:t>lékaři. Otok obličeje, rtů, očí nebo potíže s dýcháním jsou vážné příznaky a vyžadují okamžité lékařské ošetření.</w:t>
      </w:r>
    </w:p>
    <w:p w14:paraId="13FAF471" w14:textId="77777777" w:rsidR="003751CB" w:rsidRPr="00B94FD7" w:rsidRDefault="003751CB" w:rsidP="003751CB">
      <w:pPr>
        <w:jc w:val="both"/>
      </w:pPr>
    </w:p>
    <w:p w14:paraId="1D803D03" w14:textId="77777777" w:rsidR="003751CB" w:rsidRPr="00B94FD7" w:rsidRDefault="003751CB" w:rsidP="003751CB">
      <w:pPr>
        <w:jc w:val="both"/>
        <w:rPr>
          <w:u w:val="single"/>
        </w:rPr>
      </w:pPr>
      <w:r w:rsidRPr="00B94FD7">
        <w:rPr>
          <w:u w:val="single"/>
        </w:rPr>
        <w:t>Použití v průběhu březosti, laktace nebo snášky:</w:t>
      </w:r>
    </w:p>
    <w:p w14:paraId="5BB16B23" w14:textId="77777777" w:rsidR="003751CB" w:rsidRPr="00B94FD7" w:rsidRDefault="003751CB" w:rsidP="003751CB">
      <w:pPr>
        <w:jc w:val="both"/>
      </w:pPr>
      <w:r w:rsidRPr="00B94FD7">
        <w:t>Bezpečnost veterinárního léčivého přípravku nebyla stanovena u fen a koček během březosti a laktace.</w:t>
      </w:r>
    </w:p>
    <w:p w14:paraId="40680FC2" w14:textId="64636878" w:rsidR="003751CB" w:rsidRPr="00B94FD7" w:rsidRDefault="003751CB" w:rsidP="003751CB">
      <w:pPr>
        <w:ind w:left="0" w:firstLine="0"/>
        <w:jc w:val="both"/>
      </w:pPr>
      <w:r w:rsidRPr="00B94FD7">
        <w:t xml:space="preserve">Laboratorní studie neprokázaly teratogenní účinky u myší (až do 400 mg cefalexinu / kg živé hmotnosti / den) a potkanů (až do 1200 mg cefalexinu / kg živé hmotnosti / den). U myší byly zaznamenány účinky na matku a </w:t>
      </w:r>
      <w:proofErr w:type="spellStart"/>
      <w:r w:rsidRPr="00B94FD7">
        <w:t>fetotoxicita</w:t>
      </w:r>
      <w:proofErr w:type="spellEnd"/>
      <w:r w:rsidRPr="00B94FD7">
        <w:t xml:space="preserve"> od nejnižší testované dávky (100 mg cefalexinu / kg živé hmotnosti / den). U potkanů byla prokázána </w:t>
      </w:r>
      <w:proofErr w:type="spellStart"/>
      <w:r w:rsidRPr="00B94FD7">
        <w:t>fetotoxicita</w:t>
      </w:r>
      <w:proofErr w:type="spellEnd"/>
      <w:r w:rsidRPr="00B94FD7">
        <w:t xml:space="preserve"> při 500 mg cefalexinu / kg živé hmotnosti / den a účinky na matku při nejnižší testované dávce (300 mg cefalexinu / kg živé hmotnosti / den).</w:t>
      </w:r>
    </w:p>
    <w:p w14:paraId="73314A7C" w14:textId="77777777" w:rsidR="003751CB" w:rsidRPr="00B94FD7" w:rsidRDefault="003751CB" w:rsidP="003751CB">
      <w:pPr>
        <w:ind w:left="0" w:firstLine="0"/>
        <w:jc w:val="both"/>
      </w:pPr>
    </w:p>
    <w:p w14:paraId="45035C0D" w14:textId="1E19937E" w:rsidR="003751CB" w:rsidRPr="00B94FD7" w:rsidRDefault="003751CB" w:rsidP="003751CB">
      <w:pPr>
        <w:jc w:val="both"/>
      </w:pPr>
      <w:r w:rsidRPr="00B94FD7">
        <w:t xml:space="preserve">Použít pouze po zvážení </w:t>
      </w:r>
      <w:r w:rsidR="000A78AB">
        <w:t xml:space="preserve">poměru </w:t>
      </w:r>
      <w:r w:rsidRPr="00B94FD7">
        <w:t>terapeutického prospěchu / rizika příslušným veterinárním lékařem.</w:t>
      </w:r>
    </w:p>
    <w:p w14:paraId="2CEF32DE" w14:textId="77777777" w:rsidR="003751CB" w:rsidRPr="00B94FD7" w:rsidRDefault="003751CB" w:rsidP="003751CB">
      <w:pPr>
        <w:jc w:val="both"/>
      </w:pPr>
    </w:p>
    <w:p w14:paraId="6F7F47CF" w14:textId="77777777" w:rsidR="003751CB" w:rsidRPr="00B94FD7" w:rsidRDefault="003751CB" w:rsidP="003751CB">
      <w:pPr>
        <w:jc w:val="both"/>
        <w:rPr>
          <w:u w:val="single"/>
        </w:rPr>
      </w:pPr>
      <w:r w:rsidRPr="00B94FD7">
        <w:rPr>
          <w:u w:val="single"/>
        </w:rPr>
        <w:t>Interakce s jinými léčivými přípravky a jiné formy interakce:</w:t>
      </w:r>
    </w:p>
    <w:p w14:paraId="00F2D640" w14:textId="77777777" w:rsidR="003751CB" w:rsidRPr="00B94FD7" w:rsidRDefault="003751CB" w:rsidP="003751CB">
      <w:pPr>
        <w:ind w:left="0" w:firstLine="0"/>
        <w:jc w:val="both"/>
      </w:pPr>
      <w:r w:rsidRPr="00B94FD7">
        <w:t>V zájmu zajištění účinnosti by veterinární léčivý přípravek neměl být používán v kombinaci s bakteriostatickými antibiotiky (makrolidy, sulfonamidy a tetracykliny). Současné užívání cefalosporinů první generace s </w:t>
      </w:r>
      <w:proofErr w:type="spellStart"/>
      <w:r w:rsidRPr="00B94FD7">
        <w:t>aminoglykosidovými</w:t>
      </w:r>
      <w:proofErr w:type="spellEnd"/>
      <w:r w:rsidRPr="00B94FD7">
        <w:t xml:space="preserve"> antibiotiky nebo některými diuretiky, například </w:t>
      </w:r>
      <w:proofErr w:type="spellStart"/>
      <w:r w:rsidRPr="00B94FD7">
        <w:t>furosemidem</w:t>
      </w:r>
      <w:proofErr w:type="spellEnd"/>
      <w:r w:rsidRPr="00B94FD7">
        <w:t xml:space="preserve">, mohou zvýšit riziko </w:t>
      </w:r>
      <w:proofErr w:type="spellStart"/>
      <w:r w:rsidRPr="00B94FD7">
        <w:t>nefrotoxicity</w:t>
      </w:r>
      <w:proofErr w:type="spellEnd"/>
      <w:r w:rsidRPr="00B94FD7">
        <w:t xml:space="preserve">. </w:t>
      </w:r>
    </w:p>
    <w:p w14:paraId="7F120713" w14:textId="77777777" w:rsidR="003751CB" w:rsidRPr="00B94FD7" w:rsidRDefault="003751CB" w:rsidP="003751CB">
      <w:pPr>
        <w:jc w:val="both"/>
        <w:rPr>
          <w:b/>
        </w:rPr>
      </w:pPr>
      <w:r w:rsidRPr="00B94FD7">
        <w:t>Je třeba se vyvarovat současného podávání těchto léčivých látek.</w:t>
      </w:r>
    </w:p>
    <w:p w14:paraId="71A65C16" w14:textId="77777777" w:rsidR="003751CB" w:rsidRPr="00B94FD7" w:rsidRDefault="003751CB" w:rsidP="003751CB">
      <w:pPr>
        <w:jc w:val="both"/>
        <w:rPr>
          <w:b/>
        </w:rPr>
      </w:pPr>
    </w:p>
    <w:p w14:paraId="1627AADC" w14:textId="77777777" w:rsidR="003751CB" w:rsidRPr="00B94FD7" w:rsidRDefault="003751CB" w:rsidP="003751CB">
      <w:pPr>
        <w:jc w:val="both"/>
        <w:rPr>
          <w:u w:val="single"/>
        </w:rPr>
      </w:pPr>
      <w:r w:rsidRPr="00B94FD7">
        <w:rPr>
          <w:u w:val="single"/>
        </w:rPr>
        <w:t>Předávkování (symptomy, první pomoc, antidota), pokud je to nutné:</w:t>
      </w:r>
    </w:p>
    <w:p w14:paraId="0AD27EEF" w14:textId="77777777" w:rsidR="003751CB" w:rsidRPr="00B94FD7" w:rsidRDefault="003751CB" w:rsidP="003751CB">
      <w:pPr>
        <w:ind w:left="0" w:firstLine="0"/>
        <w:jc w:val="both"/>
      </w:pPr>
      <w:r w:rsidRPr="00B94FD7">
        <w:t xml:space="preserve">Testy prováděné na zvířatech s podáním až </w:t>
      </w:r>
      <w:proofErr w:type="gramStart"/>
      <w:r w:rsidRPr="00B94FD7">
        <w:t>5-ti násobné</w:t>
      </w:r>
      <w:proofErr w:type="gramEnd"/>
      <w:r w:rsidRPr="00B94FD7">
        <w:t xml:space="preserve"> doporučené dávky (15 mg/kg dvakrát denně) prokázaly, že přípravek byl dobře snášen.</w:t>
      </w:r>
    </w:p>
    <w:p w14:paraId="485C5577" w14:textId="77777777" w:rsidR="003751CB" w:rsidRPr="00B94FD7" w:rsidRDefault="003751CB" w:rsidP="003751CB">
      <w:pPr>
        <w:jc w:val="both"/>
      </w:pPr>
    </w:p>
    <w:p w14:paraId="19478A61" w14:textId="77777777" w:rsidR="003751CB" w:rsidRPr="00B94FD7" w:rsidRDefault="003751CB" w:rsidP="003751CB">
      <w:pPr>
        <w:ind w:left="0" w:firstLine="0"/>
        <w:jc w:val="both"/>
      </w:pPr>
      <w:r w:rsidRPr="00B94FD7">
        <w:t>Nežádoucí účinky mohou nastat</w:t>
      </w:r>
      <w:r w:rsidRPr="00B94FD7" w:rsidDel="00BC60FB">
        <w:t xml:space="preserve"> </w:t>
      </w:r>
      <w:r w:rsidRPr="00B94FD7">
        <w:t>při doporučeném dávkování (nevolnost, zvracení a / nebo průjem) lze je předpokládat</w:t>
      </w:r>
      <w:r w:rsidRPr="00B94FD7" w:rsidDel="00B92CC5">
        <w:t xml:space="preserve"> </w:t>
      </w:r>
      <w:r w:rsidRPr="00B94FD7">
        <w:t>v případě předávkování. V případě předávkování by měla být léčba symptomatická.</w:t>
      </w:r>
    </w:p>
    <w:p w14:paraId="68945E0A" w14:textId="77777777" w:rsidR="003751CB" w:rsidRPr="00B94FD7" w:rsidRDefault="003751CB" w:rsidP="003751CB"/>
    <w:p w14:paraId="1EE88552" w14:textId="77777777" w:rsidR="003751CB" w:rsidRPr="00B94FD7" w:rsidRDefault="003751CB" w:rsidP="003751CB"/>
    <w:p w14:paraId="594F4C8A" w14:textId="77777777" w:rsidR="003751CB" w:rsidRPr="00B94FD7" w:rsidRDefault="003751CB" w:rsidP="003751CB">
      <w:pPr>
        <w:rPr>
          <w:b/>
        </w:rPr>
      </w:pPr>
      <w:r w:rsidRPr="00B94FD7">
        <w:rPr>
          <w:b/>
          <w:highlight w:val="lightGray"/>
        </w:rPr>
        <w:t>13.</w:t>
      </w:r>
      <w:r w:rsidRPr="00B94FD7">
        <w:rPr>
          <w:b/>
        </w:rPr>
        <w:tab/>
        <w:t>ZVLÁŠTNÍ OPATŘENÍ PRO ZNEŠKODŇOVÁNÍ NEPOUŽITÝCH PŘÍPRAVKŮ NEBO ODPADU, POKUD JE JICH TŘEBA</w:t>
      </w:r>
    </w:p>
    <w:p w14:paraId="52383B59" w14:textId="77777777" w:rsidR="003751CB" w:rsidRPr="00B94FD7" w:rsidRDefault="003751CB" w:rsidP="003751CB">
      <w:pPr>
        <w:ind w:right="-318"/>
      </w:pPr>
    </w:p>
    <w:p w14:paraId="5249B0C7" w14:textId="77777777" w:rsidR="003751CB" w:rsidRPr="00B94FD7" w:rsidRDefault="003751CB" w:rsidP="003751CB">
      <w:pPr>
        <w:ind w:left="0" w:right="-318" w:firstLine="0"/>
      </w:pPr>
      <w:r w:rsidRPr="00B94FD7">
        <w:t>Všechen nepoužitý veterinární léčivý přípravek nebo odpad, který pochází z tohoto přípravku, musí být likvidován podle místních právních předpisů.</w:t>
      </w:r>
    </w:p>
    <w:p w14:paraId="700FAE43" w14:textId="77777777" w:rsidR="003751CB" w:rsidRPr="00B94FD7" w:rsidRDefault="003751CB" w:rsidP="003751CB"/>
    <w:p w14:paraId="249D36BB" w14:textId="77777777" w:rsidR="003751CB" w:rsidRPr="00B94FD7" w:rsidRDefault="003751CB" w:rsidP="003751CB"/>
    <w:p w14:paraId="3E49571C" w14:textId="77777777" w:rsidR="003751CB" w:rsidRPr="00B94FD7" w:rsidRDefault="003751CB" w:rsidP="003751CB">
      <w:r w:rsidRPr="00B94FD7">
        <w:rPr>
          <w:b/>
          <w:highlight w:val="lightGray"/>
        </w:rPr>
        <w:t>14.</w:t>
      </w:r>
      <w:r w:rsidRPr="00B94FD7">
        <w:rPr>
          <w:b/>
        </w:rPr>
        <w:tab/>
        <w:t>DATUM POSLEDNÍ REVIZE PŘÍBALOVÉ INFORMACE</w:t>
      </w:r>
    </w:p>
    <w:p w14:paraId="1E9FA956" w14:textId="6BB8EF9E" w:rsidR="003751CB" w:rsidRDefault="003751CB" w:rsidP="003751CB">
      <w:pPr>
        <w:ind w:right="-318"/>
      </w:pPr>
    </w:p>
    <w:p w14:paraId="30CD60D5" w14:textId="5DBE4F26" w:rsidR="00C47BAA" w:rsidRPr="00B94FD7" w:rsidRDefault="00C47BAA" w:rsidP="003751CB">
      <w:pPr>
        <w:ind w:right="-318"/>
      </w:pPr>
      <w:r>
        <w:t>Březen 202</w:t>
      </w:r>
      <w:r w:rsidR="00D71113">
        <w:t>2</w:t>
      </w:r>
    </w:p>
    <w:p w14:paraId="443FB7D7" w14:textId="1019B586" w:rsidR="003751CB" w:rsidRPr="00B94FD7" w:rsidRDefault="003751CB" w:rsidP="003A6602">
      <w:pPr>
        <w:ind w:left="0" w:right="-318" w:firstLine="0"/>
      </w:pPr>
    </w:p>
    <w:p w14:paraId="45558D34" w14:textId="77777777" w:rsidR="00300095" w:rsidRPr="00B94FD7" w:rsidRDefault="00300095" w:rsidP="003A6602">
      <w:pPr>
        <w:ind w:left="0" w:right="-318" w:firstLine="0"/>
      </w:pPr>
    </w:p>
    <w:p w14:paraId="5B7C8CF1" w14:textId="77777777" w:rsidR="003751CB" w:rsidRPr="00B94FD7" w:rsidRDefault="003751CB" w:rsidP="003751CB">
      <w:pPr>
        <w:rPr>
          <w:b/>
        </w:rPr>
      </w:pPr>
      <w:r w:rsidRPr="00B94FD7">
        <w:rPr>
          <w:b/>
          <w:highlight w:val="lightGray"/>
        </w:rPr>
        <w:t>15.</w:t>
      </w:r>
      <w:r w:rsidRPr="00B94FD7">
        <w:rPr>
          <w:b/>
        </w:rPr>
        <w:tab/>
        <w:t>DALŠÍ INFORMACE</w:t>
      </w:r>
    </w:p>
    <w:p w14:paraId="5437F196" w14:textId="77777777" w:rsidR="003751CB" w:rsidRPr="00B94FD7" w:rsidRDefault="003751CB" w:rsidP="003751CB">
      <w:pPr>
        <w:rPr>
          <w:b/>
        </w:rPr>
      </w:pPr>
    </w:p>
    <w:p w14:paraId="4FE81B29" w14:textId="121B0413" w:rsidR="00AF3D36" w:rsidRDefault="00AF3D36" w:rsidP="003751CB">
      <w:r>
        <w:t>Pouze pro zvířata.</w:t>
      </w:r>
    </w:p>
    <w:p w14:paraId="317811FD" w14:textId="587C1629" w:rsidR="00AF3D36" w:rsidRDefault="00AF3D36" w:rsidP="003751CB">
      <w:r>
        <w:t>Veterinární léčivý přípravek je vydáván pouze na předpis.</w:t>
      </w:r>
    </w:p>
    <w:p w14:paraId="1E529D1A" w14:textId="77777777" w:rsidR="00AF3D36" w:rsidRDefault="00AF3D36" w:rsidP="003751CB"/>
    <w:p w14:paraId="45A834A8" w14:textId="758379E4" w:rsidR="003751CB" w:rsidRPr="00B94FD7" w:rsidRDefault="003751CB" w:rsidP="003751CB">
      <w:r w:rsidRPr="00B94FD7">
        <w:t>Blistr skládající se z PVC/hliník/OPA-PVC</w:t>
      </w:r>
    </w:p>
    <w:p w14:paraId="60F8F7D5" w14:textId="77777777" w:rsidR="003751CB" w:rsidRPr="00B94FD7" w:rsidRDefault="003751CB" w:rsidP="003751CB">
      <w:r w:rsidRPr="00B94FD7">
        <w:t>Papírová krabička s 1 blistrem po 10 tabletách</w:t>
      </w:r>
    </w:p>
    <w:p w14:paraId="4A48884F" w14:textId="77777777" w:rsidR="003751CB" w:rsidRPr="00B94FD7" w:rsidRDefault="003751CB" w:rsidP="003751CB">
      <w:r w:rsidRPr="00B94FD7">
        <w:t>Papírová krabička s 10 blistry po 10 tabletách</w:t>
      </w:r>
    </w:p>
    <w:p w14:paraId="5BA2280C" w14:textId="77777777" w:rsidR="003751CB" w:rsidRPr="00B94FD7" w:rsidRDefault="003751CB" w:rsidP="003751CB">
      <w:r w:rsidRPr="00B94FD7">
        <w:t>Papírová krabička s 25 blistry po 10 tabletách</w:t>
      </w:r>
    </w:p>
    <w:p w14:paraId="76E73D08" w14:textId="77777777" w:rsidR="003751CB" w:rsidRPr="00B94FD7" w:rsidRDefault="003751CB" w:rsidP="003751CB"/>
    <w:p w14:paraId="201D5298" w14:textId="77777777" w:rsidR="003751CB" w:rsidRPr="00B94FD7" w:rsidRDefault="003751CB" w:rsidP="003751CB">
      <w:r w:rsidRPr="00B94FD7">
        <w:t>Na trhu nemusí být všechny velikosti balení.</w:t>
      </w:r>
    </w:p>
    <w:p w14:paraId="1FF66045" w14:textId="77777777" w:rsidR="003751CB" w:rsidRPr="00B94FD7" w:rsidRDefault="003751CB" w:rsidP="003751CB">
      <w:pPr>
        <w:ind w:left="0" w:firstLine="0"/>
        <w:rPr>
          <w:noProof/>
        </w:rPr>
      </w:pPr>
    </w:p>
    <w:p w14:paraId="49D802BE" w14:textId="77777777" w:rsidR="003751CB" w:rsidRPr="00B94FD7" w:rsidRDefault="003751CB" w:rsidP="003751CB">
      <w:r w:rsidRPr="00B94FD7">
        <w:t>Další informace o tomto veterinárním léčivém přípravku získáte u místního zástupce držitele</w:t>
      </w:r>
    </w:p>
    <w:p w14:paraId="7EEE1E64" w14:textId="77777777" w:rsidR="003751CB" w:rsidRPr="00B94FD7" w:rsidRDefault="003751CB" w:rsidP="003751CB">
      <w:r w:rsidRPr="00B94FD7">
        <w:t>rozhodnutí o registraci.</w:t>
      </w:r>
    </w:p>
    <w:p w14:paraId="66A0DBDA" w14:textId="77777777" w:rsidR="00990659" w:rsidRPr="00B94FD7" w:rsidRDefault="00990659"/>
    <w:sectPr w:rsidR="00990659" w:rsidRPr="00B94FD7" w:rsidSect="00AB5FA8">
      <w:footerReference w:type="default" r:id="rId7"/>
      <w:headerReference w:type="first" r:id="rId8"/>
      <w:footerReference w:type="first" r:id="rId9"/>
      <w:endnotePr>
        <w:numFmt w:val="decimal"/>
      </w:endnotePr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715BD" w14:textId="77777777" w:rsidR="00EA7857" w:rsidRDefault="00EA7857">
      <w:r>
        <w:separator/>
      </w:r>
    </w:p>
  </w:endnote>
  <w:endnote w:type="continuationSeparator" w:id="0">
    <w:p w14:paraId="615F7B3D" w14:textId="77777777" w:rsidR="00EA7857" w:rsidRDefault="00EA7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FDC20" w14:textId="77777777" w:rsidR="00B94FD7" w:rsidRDefault="00B94FD7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7EBCA9AA" w14:textId="77777777" w:rsidR="00B94FD7" w:rsidRDefault="00B94FD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83912" w14:textId="77777777" w:rsidR="00B94FD7" w:rsidRDefault="00B94FD7">
    <w:pPr>
      <w:pStyle w:val="Zpat"/>
      <w:tabs>
        <w:tab w:val="clear" w:pos="8930"/>
        <w:tab w:val="right" w:pos="8931"/>
      </w:tabs>
    </w:pPr>
  </w:p>
  <w:p w14:paraId="43E21C4A" w14:textId="77777777" w:rsidR="00B94FD7" w:rsidRDefault="00B94FD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5DB36" w14:textId="77777777" w:rsidR="00EA7857" w:rsidRDefault="00EA7857">
      <w:r>
        <w:separator/>
      </w:r>
    </w:p>
  </w:footnote>
  <w:footnote w:type="continuationSeparator" w:id="0">
    <w:p w14:paraId="626E3BA7" w14:textId="77777777" w:rsidR="00EA7857" w:rsidRDefault="00EA7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7A99E" w14:textId="0301271D" w:rsidR="00B1291B" w:rsidRDefault="00B1291B">
    <w:pPr>
      <w:pStyle w:val="Zhlav"/>
    </w:pP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7B47E7"/>
    <w:multiLevelType w:val="hybridMultilevel"/>
    <w:tmpl w:val="7A544D6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8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0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3AC3624"/>
    <w:multiLevelType w:val="hybridMultilevel"/>
    <w:tmpl w:val="79B490D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53897021"/>
    <w:multiLevelType w:val="hybridMultilevel"/>
    <w:tmpl w:val="0366C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9E7CB1"/>
    <w:multiLevelType w:val="hybridMultilevel"/>
    <w:tmpl w:val="BDEC8F2C"/>
    <w:lvl w:ilvl="0" w:tplc="040C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7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3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5" w15:restartNumberingAfterBreak="0">
    <w:nsid w:val="65DB540E"/>
    <w:multiLevelType w:val="hybridMultilevel"/>
    <w:tmpl w:val="2156689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7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9" w15:restartNumberingAfterBreak="0">
    <w:nsid w:val="6CFB2E8E"/>
    <w:multiLevelType w:val="hybridMultilevel"/>
    <w:tmpl w:val="C956819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1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9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40"/>
  </w:num>
  <w:num w:numId="5">
    <w:abstractNumId w:val="38"/>
  </w:num>
  <w:num w:numId="6">
    <w:abstractNumId w:val="13"/>
  </w:num>
  <w:num w:numId="7">
    <w:abstractNumId w:val="24"/>
  </w:num>
  <w:num w:numId="8">
    <w:abstractNumId w:val="22"/>
  </w:num>
  <w:num w:numId="9">
    <w:abstractNumId w:val="7"/>
  </w:num>
  <w:num w:numId="10">
    <w:abstractNumId w:val="36"/>
  </w:num>
  <w:num w:numId="11">
    <w:abstractNumId w:val="37"/>
  </w:num>
  <w:num w:numId="12">
    <w:abstractNumId w:val="18"/>
  </w:num>
  <w:num w:numId="13">
    <w:abstractNumId w:val="15"/>
  </w:num>
  <w:num w:numId="14">
    <w:abstractNumId w:val="3"/>
  </w:num>
  <w:num w:numId="15">
    <w:abstractNumId w:val="34"/>
  </w:num>
  <w:num w:numId="16">
    <w:abstractNumId w:val="20"/>
  </w:num>
  <w:num w:numId="17">
    <w:abstractNumId w:val="41"/>
  </w:num>
  <w:num w:numId="18">
    <w:abstractNumId w:val="8"/>
  </w:num>
  <w:num w:numId="19">
    <w:abstractNumId w:val="1"/>
  </w:num>
  <w:num w:numId="20">
    <w:abstractNumId w:val="19"/>
  </w:num>
  <w:num w:numId="21">
    <w:abstractNumId w:val="4"/>
  </w:num>
  <w:num w:numId="22">
    <w:abstractNumId w:val="6"/>
  </w:num>
  <w:num w:numId="23">
    <w:abstractNumId w:val="28"/>
  </w:num>
  <w:num w:numId="24">
    <w:abstractNumId w:val="12"/>
  </w:num>
  <w:num w:numId="25">
    <w:abstractNumId w:val="33"/>
  </w:num>
  <w:num w:numId="26">
    <w:abstractNumId w:val="27"/>
  </w:num>
  <w:num w:numId="27">
    <w:abstractNumId w:val="14"/>
  </w:num>
  <w:num w:numId="28">
    <w:abstractNumId w:val="10"/>
  </w:num>
  <w:num w:numId="29">
    <w:abstractNumId w:val="21"/>
  </w:num>
  <w:num w:numId="30">
    <w:abstractNumId w:val="25"/>
  </w:num>
  <w:num w:numId="31">
    <w:abstractNumId w:val="16"/>
  </w:num>
  <w:num w:numId="32">
    <w:abstractNumId w:val="9"/>
  </w:num>
  <w:num w:numId="33">
    <w:abstractNumId w:val="31"/>
  </w:num>
  <w:num w:numId="34">
    <w:abstractNumId w:val="32"/>
  </w:num>
  <w:num w:numId="35">
    <w:abstractNumId w:val="30"/>
  </w:num>
  <w:num w:numId="36">
    <w:abstractNumId w:val="17"/>
  </w:num>
  <w:num w:numId="37">
    <w:abstractNumId w:val="5"/>
  </w:num>
  <w:num w:numId="38">
    <w:abstractNumId w:val="42"/>
  </w:num>
  <w:num w:numId="39">
    <w:abstractNumId w:val="26"/>
  </w:num>
  <w:num w:numId="40">
    <w:abstractNumId w:val="2"/>
  </w:num>
  <w:num w:numId="41">
    <w:abstractNumId w:val="23"/>
  </w:num>
  <w:num w:numId="42">
    <w:abstractNumId w:val="35"/>
  </w:num>
  <w:num w:numId="43">
    <w:abstractNumId w:val="39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A82534"/>
    <w:rsid w:val="000007FE"/>
    <w:rsid w:val="000206C4"/>
    <w:rsid w:val="00024E83"/>
    <w:rsid w:val="000253F7"/>
    <w:rsid w:val="0005513C"/>
    <w:rsid w:val="00071903"/>
    <w:rsid w:val="000960CD"/>
    <w:rsid w:val="000A78AB"/>
    <w:rsid w:val="000E1CC2"/>
    <w:rsid w:val="00117FA2"/>
    <w:rsid w:val="001515CC"/>
    <w:rsid w:val="001D1E66"/>
    <w:rsid w:val="002200DE"/>
    <w:rsid w:val="00225D08"/>
    <w:rsid w:val="00250A7F"/>
    <w:rsid w:val="0026242A"/>
    <w:rsid w:val="00263DAF"/>
    <w:rsid w:val="002A0BAF"/>
    <w:rsid w:val="00300095"/>
    <w:rsid w:val="00335A33"/>
    <w:rsid w:val="00364F5D"/>
    <w:rsid w:val="003751CB"/>
    <w:rsid w:val="00386B78"/>
    <w:rsid w:val="003A4E9E"/>
    <w:rsid w:val="003A6602"/>
    <w:rsid w:val="00411BF9"/>
    <w:rsid w:val="00432054"/>
    <w:rsid w:val="00495A47"/>
    <w:rsid w:val="004F58CD"/>
    <w:rsid w:val="00525E69"/>
    <w:rsid w:val="00536E8C"/>
    <w:rsid w:val="005417B7"/>
    <w:rsid w:val="00551B46"/>
    <w:rsid w:val="005937AA"/>
    <w:rsid w:val="00593B43"/>
    <w:rsid w:val="00610AAA"/>
    <w:rsid w:val="00635CDD"/>
    <w:rsid w:val="006714F3"/>
    <w:rsid w:val="007314FB"/>
    <w:rsid w:val="0076029B"/>
    <w:rsid w:val="00774E3A"/>
    <w:rsid w:val="007A68D5"/>
    <w:rsid w:val="00824027"/>
    <w:rsid w:val="00892CA5"/>
    <w:rsid w:val="008A5346"/>
    <w:rsid w:val="008E2620"/>
    <w:rsid w:val="008E2872"/>
    <w:rsid w:val="00914EF7"/>
    <w:rsid w:val="00971BBD"/>
    <w:rsid w:val="00984E16"/>
    <w:rsid w:val="00990659"/>
    <w:rsid w:val="009A5AAF"/>
    <w:rsid w:val="009D7086"/>
    <w:rsid w:val="00A0126A"/>
    <w:rsid w:val="00A82534"/>
    <w:rsid w:val="00A90943"/>
    <w:rsid w:val="00AB158B"/>
    <w:rsid w:val="00AB5FA8"/>
    <w:rsid w:val="00AF3D36"/>
    <w:rsid w:val="00B1291B"/>
    <w:rsid w:val="00B94FD7"/>
    <w:rsid w:val="00BA0862"/>
    <w:rsid w:val="00BD5151"/>
    <w:rsid w:val="00BE0FC7"/>
    <w:rsid w:val="00BF67C9"/>
    <w:rsid w:val="00BF7F1D"/>
    <w:rsid w:val="00C47BAA"/>
    <w:rsid w:val="00C500C0"/>
    <w:rsid w:val="00C6149B"/>
    <w:rsid w:val="00CC138C"/>
    <w:rsid w:val="00D03E6C"/>
    <w:rsid w:val="00D24B4F"/>
    <w:rsid w:val="00D414E1"/>
    <w:rsid w:val="00D71113"/>
    <w:rsid w:val="00D941CF"/>
    <w:rsid w:val="00DC0347"/>
    <w:rsid w:val="00DC38D2"/>
    <w:rsid w:val="00DC73FC"/>
    <w:rsid w:val="00E41B94"/>
    <w:rsid w:val="00E56852"/>
    <w:rsid w:val="00E67B30"/>
    <w:rsid w:val="00E71162"/>
    <w:rsid w:val="00E90503"/>
    <w:rsid w:val="00EA7857"/>
    <w:rsid w:val="00F2224D"/>
    <w:rsid w:val="00F37039"/>
    <w:rsid w:val="00F8727C"/>
    <w:rsid w:val="00FA3B54"/>
    <w:rsid w:val="00FD32E3"/>
    <w:rsid w:val="00FD37DA"/>
    <w:rsid w:val="00FD4E0F"/>
    <w:rsid w:val="00FE5488"/>
    <w:rsid w:val="00FF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9463D"/>
  <w15:docId w15:val="{E9B0D86B-0CA7-4592-B798-C02B1260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B5FA8"/>
    <w:pPr>
      <w:ind w:left="567" w:hanging="567"/>
    </w:pPr>
    <w:rPr>
      <w:sz w:val="22"/>
      <w:lang w:val="cs-CZ" w:eastAsia="en-US"/>
    </w:rPr>
  </w:style>
  <w:style w:type="paragraph" w:styleId="Nadpis1">
    <w:name w:val="heading 1"/>
    <w:basedOn w:val="Normln"/>
    <w:next w:val="Normln"/>
    <w:qFormat/>
    <w:rsid w:val="00AB5FA8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AB5FA8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AB5FA8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AB5FA8"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AB5FA8"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AB5FA8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AB5FA8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AB5FA8"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AB5FA8"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B5FA8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rsid w:val="00AB5FA8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rsid w:val="00AB5FA8"/>
    <w:pPr>
      <w:ind w:left="1760"/>
    </w:pPr>
  </w:style>
  <w:style w:type="character" w:styleId="Odkaznavysvtlivky">
    <w:name w:val="endnote reference"/>
    <w:rsid w:val="00AB5FA8"/>
    <w:rPr>
      <w:vertAlign w:val="superscript"/>
    </w:rPr>
  </w:style>
  <w:style w:type="character" w:styleId="Znakapoznpodarou">
    <w:name w:val="footnote reference"/>
    <w:rsid w:val="00AB5FA8"/>
    <w:rPr>
      <w:vertAlign w:val="superscript"/>
    </w:rPr>
  </w:style>
  <w:style w:type="paragraph" w:styleId="Textpoznpodarou">
    <w:name w:val="footnote text"/>
    <w:basedOn w:val="Normln"/>
    <w:rsid w:val="00AB5FA8"/>
    <w:pPr>
      <w:jc w:val="both"/>
    </w:pPr>
    <w:rPr>
      <w:sz w:val="20"/>
    </w:rPr>
  </w:style>
  <w:style w:type="paragraph" w:styleId="Zkladntext">
    <w:name w:val="Body Text"/>
    <w:basedOn w:val="Normln"/>
    <w:rsid w:val="00AB5FA8"/>
    <w:pPr>
      <w:jc w:val="both"/>
    </w:pPr>
  </w:style>
  <w:style w:type="paragraph" w:styleId="Textvbloku">
    <w:name w:val="Block Text"/>
    <w:basedOn w:val="Normln"/>
    <w:rsid w:val="00AB5FA8"/>
    <w:pPr>
      <w:ind w:left="2268" w:right="1711"/>
    </w:pPr>
    <w:rPr>
      <w:b/>
    </w:rPr>
  </w:style>
  <w:style w:type="paragraph" w:styleId="Zkladntext2">
    <w:name w:val="Body Text 2"/>
    <w:basedOn w:val="Normln"/>
    <w:rsid w:val="00AB5FA8"/>
    <w:rPr>
      <w:b/>
    </w:rPr>
  </w:style>
  <w:style w:type="paragraph" w:styleId="Zkladntext3">
    <w:name w:val="Body Text 3"/>
    <w:basedOn w:val="Normln"/>
    <w:rsid w:val="00AB5FA8"/>
    <w:pPr>
      <w:ind w:right="113"/>
      <w:jc w:val="both"/>
    </w:pPr>
    <w:rPr>
      <w:b/>
    </w:rPr>
  </w:style>
  <w:style w:type="paragraph" w:styleId="Textvysvtlivek">
    <w:name w:val="endnote text"/>
    <w:basedOn w:val="Normln"/>
    <w:rsid w:val="00AB5FA8"/>
  </w:style>
  <w:style w:type="character" w:styleId="Odkaznakoment">
    <w:name w:val="annotation reference"/>
    <w:rsid w:val="00AB5FA8"/>
    <w:rPr>
      <w:sz w:val="16"/>
    </w:rPr>
  </w:style>
  <w:style w:type="paragraph" w:styleId="Zkladntextodsazen2">
    <w:name w:val="Body Text Indent 2"/>
    <w:basedOn w:val="Normln"/>
    <w:rsid w:val="00AB5FA8"/>
    <w:pPr>
      <w:jc w:val="both"/>
    </w:pPr>
    <w:rPr>
      <w:b/>
    </w:rPr>
  </w:style>
  <w:style w:type="paragraph" w:styleId="Textkomente">
    <w:name w:val="annotation text"/>
    <w:basedOn w:val="Normln"/>
    <w:rsid w:val="00AB5FA8"/>
    <w:rPr>
      <w:sz w:val="20"/>
    </w:rPr>
  </w:style>
  <w:style w:type="paragraph" w:styleId="Zkladntextodsazen3">
    <w:name w:val="Body Text Indent 3"/>
    <w:basedOn w:val="Normln"/>
    <w:rsid w:val="00AB5FA8"/>
  </w:style>
  <w:style w:type="paragraph" w:customStyle="1" w:styleId="Bullet">
    <w:name w:val="Bullet"/>
    <w:basedOn w:val="Normln"/>
    <w:rsid w:val="00AB5FA8"/>
    <w:pPr>
      <w:numPr>
        <w:numId w:val="2"/>
      </w:numPr>
    </w:pPr>
  </w:style>
  <w:style w:type="paragraph" w:styleId="Textbubliny">
    <w:name w:val="Balloon Text"/>
    <w:basedOn w:val="Normln"/>
    <w:rsid w:val="00AB5FA8"/>
    <w:rPr>
      <w:rFonts w:ascii="Tahoma" w:hAnsi="Tahoma" w:cs="Tahoma"/>
      <w:sz w:val="16"/>
      <w:szCs w:val="16"/>
    </w:rPr>
  </w:style>
  <w:style w:type="character" w:styleId="Hypertextovodkaz">
    <w:name w:val="Hyperlink"/>
    <w:rsid w:val="00AB5FA8"/>
    <w:rPr>
      <w:color w:val="0000FF"/>
      <w:u w:val="single"/>
    </w:rPr>
  </w:style>
  <w:style w:type="paragraph" w:customStyle="1" w:styleId="AHeader1">
    <w:name w:val="AHeader 1"/>
    <w:basedOn w:val="Normln"/>
    <w:rsid w:val="00AB5FA8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rsid w:val="00AB5FA8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AB5FA8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AB5FA8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AB5FA8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AB5FA8"/>
    <w:rPr>
      <w:color w:val="800080"/>
      <w:u w:val="single"/>
    </w:rPr>
  </w:style>
  <w:style w:type="table" w:styleId="Mkatabulky">
    <w:name w:val="Table Grid"/>
    <w:basedOn w:val="Normlntabulka"/>
    <w:rsid w:val="00495A47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536E8C"/>
    <w:pPr>
      <w:ind w:left="720"/>
      <w:contextualSpacing/>
    </w:pPr>
  </w:style>
  <w:style w:type="paragraph" w:styleId="Revize">
    <w:name w:val="Revision"/>
    <w:hidden/>
    <w:semiHidden/>
    <w:rsid w:val="00225D08"/>
    <w:rPr>
      <w:sz w:val="22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0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1346</Words>
  <Characters>7947</Characters>
  <Application>Microsoft Office Word</Application>
  <DocSecurity>0</DocSecurity>
  <Lines>66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[Version 7</vt:lpstr>
      <vt:lpstr>[Version 7</vt:lpstr>
    </vt:vector>
  </TitlesOfParts>
  <Company>Translation Centre</Company>
  <LinksUpToDate>false</LinksUpToDate>
  <CharactersWithSpaces>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[Version 7</dc:title>
  <dc:subject>General-EMEA/182460/2007</dc:subject>
  <dc:creator>ZIELIŃSKI Wojciech</dc:creator>
  <cp:keywords/>
  <dc:description/>
  <cp:lastModifiedBy>Dušek Daniel</cp:lastModifiedBy>
  <cp:revision>24</cp:revision>
  <cp:lastPrinted>2005-07-27T07:58:00Z</cp:lastPrinted>
  <dcterms:created xsi:type="dcterms:W3CDTF">2022-02-10T06:09:00Z</dcterms:created>
  <dcterms:modified xsi:type="dcterms:W3CDTF">2022-03-11T07:55:00Z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General-EMEA/182460/2007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V01a CS SPC-II-lab-pl v 7.1</vt:lpwstr>
  </property>
  <property fmtid="{D5CDD505-2E9C-101B-9397-08002B2CF9AE}" pid="9" name="DM_Owner">
    <vt:lpwstr>Holemarova Zuzana</vt:lpwstr>
  </property>
  <property fmtid="{D5CDD505-2E9C-101B-9397-08002B2CF9AE}" pid="10" name="DM_Creation_Date">
    <vt:lpwstr>23/04/2007 10:24:26</vt:lpwstr>
  </property>
  <property fmtid="{D5CDD505-2E9C-101B-9397-08002B2CF9AE}" pid="11" name="DM_Creator_Name">
    <vt:lpwstr>Holemarova Zuzana</vt:lpwstr>
  </property>
  <property fmtid="{D5CDD505-2E9C-101B-9397-08002B2CF9AE}" pid="12" name="DM_Modifer_Name">
    <vt:lpwstr>Holemarova Zuzana</vt:lpwstr>
  </property>
  <property fmtid="{D5CDD505-2E9C-101B-9397-08002B2CF9AE}" pid="13" name="DM_Modified_Date">
    <vt:lpwstr>23/04/2007 10:24:26</vt:lpwstr>
  </property>
  <property fmtid="{D5CDD505-2E9C-101B-9397-08002B2CF9AE}" pid="14" name="DM_Type">
    <vt:lpwstr>emea_document</vt:lpwstr>
  </property>
  <property fmtid="{D5CDD505-2E9C-101B-9397-08002B2CF9AE}" pid="15" name="DM_Version">
    <vt:lpwstr>0.2, CURRENT, published April  07</vt:lpwstr>
  </property>
  <property fmtid="{D5CDD505-2E9C-101B-9397-08002B2CF9AE}" pid="16" name="DM_emea_doc_ref_id">
    <vt:lpwstr>EMEA/182460/2007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182460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2007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</Properties>
</file>