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3D5A8" w14:textId="77777777" w:rsidR="00C114FF" w:rsidRPr="00FA5FA8" w:rsidRDefault="00C114FF" w:rsidP="00A9226B">
      <w:pPr>
        <w:tabs>
          <w:tab w:val="clear" w:pos="567"/>
        </w:tabs>
        <w:spacing w:line="240" w:lineRule="auto"/>
        <w:rPr>
          <w:szCs w:val="22"/>
          <w:lang w:val="cs-CZ"/>
        </w:rPr>
      </w:pPr>
      <w:bookmarkStart w:id="0" w:name="_GoBack"/>
      <w:bookmarkEnd w:id="0"/>
    </w:p>
    <w:p w14:paraId="4E6852AA" w14:textId="77777777" w:rsidR="00C114FF" w:rsidRPr="00FA5FA8" w:rsidRDefault="00C114FF" w:rsidP="00A9226B">
      <w:pPr>
        <w:tabs>
          <w:tab w:val="clear" w:pos="567"/>
        </w:tabs>
        <w:spacing w:line="240" w:lineRule="auto"/>
        <w:rPr>
          <w:szCs w:val="22"/>
          <w:lang w:val="cs-CZ"/>
        </w:rPr>
      </w:pPr>
    </w:p>
    <w:p w14:paraId="13382C49" w14:textId="77777777" w:rsidR="00C114FF" w:rsidRPr="00FA5FA8" w:rsidRDefault="00C114FF" w:rsidP="00A9226B">
      <w:pPr>
        <w:tabs>
          <w:tab w:val="clear" w:pos="567"/>
        </w:tabs>
        <w:spacing w:line="240" w:lineRule="auto"/>
        <w:rPr>
          <w:szCs w:val="22"/>
          <w:lang w:val="cs-CZ"/>
        </w:rPr>
      </w:pPr>
    </w:p>
    <w:p w14:paraId="6D07AEE7" w14:textId="77777777" w:rsidR="00C114FF" w:rsidRPr="00FA5FA8" w:rsidRDefault="00C114FF" w:rsidP="00A9226B">
      <w:pPr>
        <w:tabs>
          <w:tab w:val="clear" w:pos="567"/>
        </w:tabs>
        <w:spacing w:line="240" w:lineRule="auto"/>
        <w:rPr>
          <w:szCs w:val="22"/>
          <w:lang w:val="cs-CZ"/>
        </w:rPr>
      </w:pPr>
    </w:p>
    <w:p w14:paraId="5ACDD192" w14:textId="77777777" w:rsidR="00C114FF" w:rsidRPr="00FA5FA8" w:rsidRDefault="00C114FF" w:rsidP="00A9226B">
      <w:pPr>
        <w:tabs>
          <w:tab w:val="clear" w:pos="567"/>
        </w:tabs>
        <w:spacing w:line="240" w:lineRule="auto"/>
        <w:rPr>
          <w:szCs w:val="22"/>
          <w:lang w:val="cs-CZ"/>
        </w:rPr>
      </w:pPr>
    </w:p>
    <w:p w14:paraId="24EDBF68" w14:textId="77777777" w:rsidR="00C114FF" w:rsidRPr="00FA5FA8" w:rsidRDefault="00C114FF" w:rsidP="00A9226B">
      <w:pPr>
        <w:tabs>
          <w:tab w:val="clear" w:pos="567"/>
        </w:tabs>
        <w:spacing w:line="240" w:lineRule="auto"/>
        <w:rPr>
          <w:szCs w:val="22"/>
          <w:lang w:val="cs-CZ"/>
        </w:rPr>
      </w:pPr>
    </w:p>
    <w:p w14:paraId="4FD4CBCD" w14:textId="77777777" w:rsidR="00C114FF" w:rsidRPr="00FA5FA8" w:rsidRDefault="00C114FF" w:rsidP="00A9226B">
      <w:pPr>
        <w:tabs>
          <w:tab w:val="clear" w:pos="567"/>
        </w:tabs>
        <w:spacing w:line="240" w:lineRule="auto"/>
        <w:rPr>
          <w:szCs w:val="22"/>
          <w:lang w:val="cs-CZ"/>
        </w:rPr>
      </w:pPr>
    </w:p>
    <w:p w14:paraId="319B5B34" w14:textId="77777777" w:rsidR="00C114FF" w:rsidRPr="00FA5FA8" w:rsidRDefault="00C114FF" w:rsidP="00A9226B">
      <w:pPr>
        <w:tabs>
          <w:tab w:val="clear" w:pos="567"/>
        </w:tabs>
        <w:spacing w:line="240" w:lineRule="auto"/>
        <w:rPr>
          <w:szCs w:val="22"/>
          <w:lang w:val="cs-CZ"/>
        </w:rPr>
      </w:pPr>
    </w:p>
    <w:p w14:paraId="3006AAAA" w14:textId="77777777" w:rsidR="00C114FF" w:rsidRPr="00FA5FA8" w:rsidRDefault="00C114FF" w:rsidP="00A9226B">
      <w:pPr>
        <w:tabs>
          <w:tab w:val="clear" w:pos="567"/>
        </w:tabs>
        <w:spacing w:line="240" w:lineRule="auto"/>
        <w:rPr>
          <w:szCs w:val="22"/>
          <w:lang w:val="cs-CZ"/>
        </w:rPr>
      </w:pPr>
    </w:p>
    <w:p w14:paraId="0ACE0E42" w14:textId="77777777" w:rsidR="00C114FF" w:rsidRPr="00FA5FA8" w:rsidRDefault="00C114FF" w:rsidP="00A9226B">
      <w:pPr>
        <w:tabs>
          <w:tab w:val="clear" w:pos="567"/>
        </w:tabs>
        <w:spacing w:line="240" w:lineRule="auto"/>
        <w:rPr>
          <w:szCs w:val="22"/>
          <w:lang w:val="cs-CZ"/>
        </w:rPr>
      </w:pPr>
    </w:p>
    <w:p w14:paraId="1E05ACEE" w14:textId="77777777" w:rsidR="00C114FF" w:rsidRPr="00FA5FA8" w:rsidRDefault="00C114FF" w:rsidP="00A9226B">
      <w:pPr>
        <w:tabs>
          <w:tab w:val="clear" w:pos="567"/>
        </w:tabs>
        <w:spacing w:line="240" w:lineRule="auto"/>
        <w:rPr>
          <w:szCs w:val="22"/>
          <w:lang w:val="cs-CZ"/>
        </w:rPr>
      </w:pPr>
    </w:p>
    <w:p w14:paraId="5AC7EDB7" w14:textId="77777777" w:rsidR="00C114FF" w:rsidRPr="00FA5FA8" w:rsidRDefault="00C114FF" w:rsidP="00A9226B">
      <w:pPr>
        <w:tabs>
          <w:tab w:val="clear" w:pos="567"/>
        </w:tabs>
        <w:spacing w:line="240" w:lineRule="auto"/>
        <w:rPr>
          <w:szCs w:val="22"/>
          <w:lang w:val="cs-CZ"/>
        </w:rPr>
      </w:pPr>
    </w:p>
    <w:p w14:paraId="42F77BB8" w14:textId="77777777" w:rsidR="00C114FF" w:rsidRPr="00FA5FA8" w:rsidRDefault="00C114FF" w:rsidP="00A9226B">
      <w:pPr>
        <w:tabs>
          <w:tab w:val="clear" w:pos="567"/>
        </w:tabs>
        <w:spacing w:line="240" w:lineRule="auto"/>
        <w:rPr>
          <w:szCs w:val="22"/>
          <w:lang w:val="cs-CZ"/>
        </w:rPr>
      </w:pPr>
    </w:p>
    <w:p w14:paraId="2B520D73" w14:textId="77777777" w:rsidR="00C114FF" w:rsidRPr="00FA5FA8" w:rsidRDefault="00C114FF" w:rsidP="00A9226B">
      <w:pPr>
        <w:tabs>
          <w:tab w:val="clear" w:pos="567"/>
        </w:tabs>
        <w:spacing w:line="240" w:lineRule="auto"/>
        <w:rPr>
          <w:szCs w:val="22"/>
          <w:lang w:val="cs-CZ"/>
        </w:rPr>
      </w:pPr>
    </w:p>
    <w:p w14:paraId="05DAB2D2" w14:textId="77777777" w:rsidR="00C114FF" w:rsidRPr="00FA5FA8" w:rsidRDefault="00C114FF" w:rsidP="00A9226B">
      <w:pPr>
        <w:tabs>
          <w:tab w:val="clear" w:pos="567"/>
        </w:tabs>
        <w:spacing w:line="240" w:lineRule="auto"/>
        <w:rPr>
          <w:szCs w:val="22"/>
          <w:lang w:val="cs-CZ"/>
        </w:rPr>
      </w:pPr>
    </w:p>
    <w:p w14:paraId="320AE50D" w14:textId="77777777" w:rsidR="00C114FF" w:rsidRPr="00FA5FA8" w:rsidRDefault="00C114FF" w:rsidP="00A9226B">
      <w:pPr>
        <w:tabs>
          <w:tab w:val="clear" w:pos="567"/>
        </w:tabs>
        <w:spacing w:line="240" w:lineRule="auto"/>
        <w:rPr>
          <w:szCs w:val="22"/>
          <w:lang w:val="cs-CZ"/>
        </w:rPr>
      </w:pPr>
    </w:p>
    <w:p w14:paraId="6701F77E" w14:textId="77777777" w:rsidR="00C114FF" w:rsidRPr="00FA5FA8" w:rsidRDefault="00C114FF" w:rsidP="00A9226B">
      <w:pPr>
        <w:tabs>
          <w:tab w:val="clear" w:pos="567"/>
        </w:tabs>
        <w:spacing w:line="240" w:lineRule="auto"/>
        <w:rPr>
          <w:szCs w:val="22"/>
          <w:lang w:val="cs-CZ"/>
        </w:rPr>
      </w:pPr>
    </w:p>
    <w:p w14:paraId="51807976" w14:textId="77777777" w:rsidR="00C114FF" w:rsidRPr="00FA5FA8" w:rsidRDefault="00C114FF" w:rsidP="00A9226B">
      <w:pPr>
        <w:tabs>
          <w:tab w:val="clear" w:pos="567"/>
        </w:tabs>
        <w:spacing w:line="240" w:lineRule="auto"/>
        <w:rPr>
          <w:szCs w:val="22"/>
          <w:lang w:val="cs-CZ"/>
        </w:rPr>
      </w:pPr>
    </w:p>
    <w:p w14:paraId="48C071CB" w14:textId="77777777" w:rsidR="00C114FF" w:rsidRPr="00FA5FA8" w:rsidRDefault="00C114FF" w:rsidP="00A9226B">
      <w:pPr>
        <w:tabs>
          <w:tab w:val="clear" w:pos="567"/>
        </w:tabs>
        <w:spacing w:line="240" w:lineRule="auto"/>
        <w:rPr>
          <w:szCs w:val="22"/>
          <w:lang w:val="cs-CZ"/>
        </w:rPr>
      </w:pPr>
    </w:p>
    <w:p w14:paraId="19DA4EFE" w14:textId="77777777" w:rsidR="00C114FF" w:rsidRPr="00FA5FA8" w:rsidRDefault="00C114FF" w:rsidP="00A9226B">
      <w:pPr>
        <w:tabs>
          <w:tab w:val="clear" w:pos="567"/>
        </w:tabs>
        <w:spacing w:line="240" w:lineRule="auto"/>
        <w:rPr>
          <w:szCs w:val="22"/>
          <w:lang w:val="cs-CZ"/>
        </w:rPr>
      </w:pPr>
    </w:p>
    <w:p w14:paraId="67151C5F" w14:textId="77777777" w:rsidR="00C114FF" w:rsidRPr="00FA5FA8" w:rsidRDefault="00C114FF" w:rsidP="00A9226B">
      <w:pPr>
        <w:tabs>
          <w:tab w:val="clear" w:pos="567"/>
        </w:tabs>
        <w:spacing w:line="240" w:lineRule="auto"/>
        <w:rPr>
          <w:szCs w:val="22"/>
          <w:lang w:val="cs-CZ"/>
        </w:rPr>
      </w:pPr>
    </w:p>
    <w:p w14:paraId="2FEE47E6" w14:textId="77777777" w:rsidR="00C114FF" w:rsidRPr="00FA5FA8" w:rsidRDefault="00C114FF" w:rsidP="00A9226B">
      <w:pPr>
        <w:tabs>
          <w:tab w:val="clear" w:pos="567"/>
        </w:tabs>
        <w:spacing w:line="240" w:lineRule="auto"/>
        <w:rPr>
          <w:szCs w:val="22"/>
          <w:lang w:val="cs-CZ"/>
        </w:rPr>
      </w:pPr>
    </w:p>
    <w:p w14:paraId="6348FECC" w14:textId="77777777" w:rsidR="00C114FF" w:rsidRPr="00FA5FA8" w:rsidRDefault="00C114FF" w:rsidP="00A9226B">
      <w:pPr>
        <w:tabs>
          <w:tab w:val="clear" w:pos="567"/>
        </w:tabs>
        <w:spacing w:line="240" w:lineRule="auto"/>
        <w:rPr>
          <w:szCs w:val="22"/>
          <w:lang w:val="cs-CZ"/>
        </w:rPr>
      </w:pPr>
    </w:p>
    <w:p w14:paraId="0263B373" w14:textId="77777777" w:rsidR="00C114FF" w:rsidRPr="00FA5FA8" w:rsidRDefault="00C114FF" w:rsidP="00A9226B">
      <w:pPr>
        <w:tabs>
          <w:tab w:val="clear" w:pos="567"/>
        </w:tabs>
        <w:spacing w:line="240" w:lineRule="auto"/>
        <w:rPr>
          <w:szCs w:val="22"/>
          <w:lang w:val="cs-CZ"/>
        </w:rPr>
      </w:pPr>
    </w:p>
    <w:p w14:paraId="45E8065D" w14:textId="77777777" w:rsidR="00C114FF" w:rsidRPr="00FA5FA8" w:rsidRDefault="00C114FF" w:rsidP="00A9226B">
      <w:pPr>
        <w:tabs>
          <w:tab w:val="clear" w:pos="567"/>
        </w:tabs>
        <w:spacing w:line="240" w:lineRule="auto"/>
        <w:jc w:val="center"/>
        <w:rPr>
          <w:szCs w:val="22"/>
          <w:lang w:val="cs-CZ"/>
        </w:rPr>
      </w:pPr>
      <w:r w:rsidRPr="00FA5FA8">
        <w:rPr>
          <w:b/>
          <w:bCs/>
          <w:szCs w:val="22"/>
          <w:lang w:val="cs-CZ"/>
        </w:rPr>
        <w:t>B. PŘÍBALOVÁ INFORMACE</w:t>
      </w:r>
    </w:p>
    <w:p w14:paraId="7148F17B" w14:textId="77777777" w:rsidR="00C114FF" w:rsidRPr="00FA5FA8" w:rsidRDefault="00C114FF" w:rsidP="00A9226B">
      <w:pPr>
        <w:tabs>
          <w:tab w:val="clear" w:pos="567"/>
        </w:tabs>
        <w:spacing w:line="240" w:lineRule="auto"/>
        <w:jc w:val="center"/>
        <w:rPr>
          <w:szCs w:val="22"/>
          <w:lang w:val="cs-CZ"/>
        </w:rPr>
      </w:pPr>
      <w:r w:rsidRPr="00FA5FA8">
        <w:rPr>
          <w:szCs w:val="22"/>
          <w:lang w:val="cs-CZ"/>
        </w:rPr>
        <w:br w:type="page"/>
      </w:r>
      <w:r w:rsidRPr="00FA5FA8">
        <w:rPr>
          <w:b/>
          <w:bCs/>
          <w:szCs w:val="22"/>
          <w:lang w:val="cs-CZ"/>
        </w:rPr>
        <w:lastRenderedPageBreak/>
        <w:t>PŘÍBALOVÁ INFORMACE:</w:t>
      </w:r>
    </w:p>
    <w:p w14:paraId="1664E868" w14:textId="77777777" w:rsidR="00C114FF" w:rsidRPr="00FA5FA8" w:rsidRDefault="00C114FF" w:rsidP="00A9226B">
      <w:pPr>
        <w:tabs>
          <w:tab w:val="clear" w:pos="567"/>
        </w:tabs>
        <w:spacing w:line="240" w:lineRule="auto"/>
        <w:rPr>
          <w:szCs w:val="22"/>
          <w:lang w:val="cs-CZ"/>
        </w:rPr>
      </w:pPr>
    </w:p>
    <w:p w14:paraId="3834A6D6" w14:textId="77777777" w:rsidR="00274684" w:rsidRPr="00FA5FA8" w:rsidRDefault="003A19F1" w:rsidP="00274684">
      <w:pPr>
        <w:tabs>
          <w:tab w:val="clear" w:pos="567"/>
        </w:tabs>
        <w:spacing w:line="240" w:lineRule="auto"/>
        <w:jc w:val="center"/>
        <w:rPr>
          <w:b/>
          <w:szCs w:val="22"/>
          <w:lang w:val="cs-CZ"/>
        </w:rPr>
      </w:pPr>
      <w:r w:rsidRPr="00FA5FA8">
        <w:rPr>
          <w:b/>
          <w:bCs/>
          <w:szCs w:val="22"/>
          <w:lang w:val="cs-CZ"/>
        </w:rPr>
        <w:t>Repose 500 mg/ml injekční roztok</w:t>
      </w:r>
    </w:p>
    <w:p w14:paraId="56F13D67" w14:textId="77777777" w:rsidR="00462DE7" w:rsidRPr="00FA5FA8" w:rsidRDefault="00462DE7" w:rsidP="00462DE7">
      <w:pPr>
        <w:tabs>
          <w:tab w:val="clear" w:pos="567"/>
        </w:tabs>
        <w:spacing w:line="240" w:lineRule="auto"/>
        <w:jc w:val="center"/>
        <w:rPr>
          <w:b/>
          <w:szCs w:val="22"/>
          <w:lang w:val="cs-CZ"/>
        </w:rPr>
      </w:pPr>
    </w:p>
    <w:p w14:paraId="7FCD7434" w14:textId="77777777" w:rsidR="00462DE7" w:rsidRPr="00FA5FA8" w:rsidRDefault="00462DE7" w:rsidP="00A9226B">
      <w:pPr>
        <w:tabs>
          <w:tab w:val="clear" w:pos="567"/>
        </w:tabs>
        <w:spacing w:line="240" w:lineRule="auto"/>
        <w:ind w:left="567" w:hanging="567"/>
        <w:rPr>
          <w:b/>
          <w:szCs w:val="22"/>
          <w:lang w:val="cs-CZ"/>
        </w:rPr>
      </w:pPr>
    </w:p>
    <w:p w14:paraId="07EFDC4A" w14:textId="77777777" w:rsidR="00C114FF" w:rsidRPr="00FA5FA8" w:rsidRDefault="00C114FF" w:rsidP="00A9226B">
      <w:pPr>
        <w:tabs>
          <w:tab w:val="clear" w:pos="567"/>
        </w:tabs>
        <w:spacing w:line="240" w:lineRule="auto"/>
        <w:ind w:left="567" w:hanging="567"/>
        <w:rPr>
          <w:b/>
          <w:szCs w:val="22"/>
          <w:lang w:val="cs-CZ"/>
        </w:rPr>
      </w:pPr>
      <w:r w:rsidRPr="00FA5FA8">
        <w:rPr>
          <w:b/>
          <w:bCs/>
          <w:szCs w:val="22"/>
          <w:lang w:val="cs-CZ"/>
        </w:rPr>
        <w:t>1.</w:t>
      </w:r>
      <w:r w:rsidRPr="00FA5FA8">
        <w:rPr>
          <w:b/>
          <w:bCs/>
          <w:szCs w:val="22"/>
          <w:lang w:val="cs-CZ"/>
        </w:rPr>
        <w:tab/>
        <w:t>JMÉNO A ADRESA DRŽITELE ROZHODNUTÍ O REGISTRACI A DRŽITELE POVOLENÍ K VÝROBĚ ODPOVĚDNÉHO ZA UVOLNĚNÍ ŠARŽE, POKUD SE NESHODUJE</w:t>
      </w:r>
    </w:p>
    <w:p w14:paraId="17E2BDDB" w14:textId="77777777" w:rsidR="00C114FF" w:rsidRPr="00FA5FA8" w:rsidRDefault="00C114FF" w:rsidP="00A9226B">
      <w:pPr>
        <w:tabs>
          <w:tab w:val="clear" w:pos="567"/>
        </w:tabs>
        <w:spacing w:line="240" w:lineRule="auto"/>
        <w:rPr>
          <w:szCs w:val="22"/>
          <w:lang w:val="cs-CZ"/>
        </w:rPr>
      </w:pPr>
    </w:p>
    <w:p w14:paraId="709A2C29" w14:textId="77777777" w:rsidR="00C114FF" w:rsidRPr="00FA5FA8" w:rsidRDefault="00C114FF" w:rsidP="00A9226B">
      <w:pPr>
        <w:tabs>
          <w:tab w:val="clear" w:pos="567"/>
        </w:tabs>
        <w:spacing w:line="240" w:lineRule="auto"/>
        <w:rPr>
          <w:iCs/>
          <w:szCs w:val="22"/>
          <w:lang w:val="cs-CZ"/>
        </w:rPr>
      </w:pPr>
      <w:r w:rsidRPr="00FA5FA8">
        <w:rPr>
          <w:szCs w:val="22"/>
          <w:u w:val="single"/>
          <w:lang w:val="cs-CZ"/>
        </w:rPr>
        <w:t>Držitel rozhodnutí o registraci</w:t>
      </w:r>
      <w:r w:rsidRPr="00FA5FA8">
        <w:rPr>
          <w:szCs w:val="22"/>
          <w:lang w:val="cs-CZ"/>
        </w:rPr>
        <w:t>:</w:t>
      </w:r>
    </w:p>
    <w:p w14:paraId="659D042C" w14:textId="77777777" w:rsidR="00462DE7" w:rsidRPr="00FA5FA8" w:rsidRDefault="00462DE7" w:rsidP="00A9226B">
      <w:pPr>
        <w:tabs>
          <w:tab w:val="clear" w:pos="567"/>
        </w:tabs>
        <w:spacing w:line="240" w:lineRule="auto"/>
        <w:rPr>
          <w:iCs/>
          <w:szCs w:val="22"/>
          <w:lang w:val="cs-CZ"/>
        </w:rPr>
      </w:pPr>
      <w:r w:rsidRPr="00FA5FA8">
        <w:rPr>
          <w:szCs w:val="22"/>
          <w:lang w:val="cs-CZ"/>
        </w:rPr>
        <w:t>Le Vet Beheer B.V.</w:t>
      </w:r>
    </w:p>
    <w:p w14:paraId="53B5FFBF" w14:textId="77777777" w:rsidR="00462DE7" w:rsidRPr="00FA5FA8" w:rsidRDefault="00462DE7" w:rsidP="00A9226B">
      <w:pPr>
        <w:tabs>
          <w:tab w:val="clear" w:pos="567"/>
        </w:tabs>
        <w:spacing w:line="240" w:lineRule="auto"/>
        <w:rPr>
          <w:iCs/>
          <w:szCs w:val="22"/>
          <w:lang w:val="cs-CZ"/>
        </w:rPr>
      </w:pPr>
      <w:r w:rsidRPr="00FA5FA8">
        <w:rPr>
          <w:szCs w:val="22"/>
          <w:lang w:val="cs-CZ"/>
        </w:rPr>
        <w:t>Wilgenweg 7</w:t>
      </w:r>
    </w:p>
    <w:p w14:paraId="08213495" w14:textId="77777777" w:rsidR="00462DE7" w:rsidRPr="00FA5FA8" w:rsidRDefault="00462DE7" w:rsidP="00A9226B">
      <w:pPr>
        <w:tabs>
          <w:tab w:val="clear" w:pos="567"/>
        </w:tabs>
        <w:spacing w:line="240" w:lineRule="auto"/>
        <w:rPr>
          <w:iCs/>
          <w:szCs w:val="22"/>
          <w:lang w:val="cs-CZ"/>
        </w:rPr>
      </w:pPr>
      <w:r w:rsidRPr="00FA5FA8">
        <w:rPr>
          <w:szCs w:val="22"/>
          <w:lang w:val="cs-CZ"/>
        </w:rPr>
        <w:t>3421 TV Oudewater</w:t>
      </w:r>
    </w:p>
    <w:p w14:paraId="7CEAE4B5" w14:textId="77777777" w:rsidR="00462DE7" w:rsidRPr="00FA5FA8" w:rsidRDefault="00462DE7" w:rsidP="00A9226B">
      <w:pPr>
        <w:tabs>
          <w:tab w:val="clear" w:pos="567"/>
        </w:tabs>
        <w:spacing w:line="240" w:lineRule="auto"/>
        <w:rPr>
          <w:iCs/>
          <w:szCs w:val="22"/>
          <w:lang w:val="cs-CZ"/>
        </w:rPr>
      </w:pPr>
      <w:r w:rsidRPr="00FA5FA8">
        <w:rPr>
          <w:szCs w:val="22"/>
          <w:lang w:val="cs-CZ"/>
        </w:rPr>
        <w:t>Nizozemsko</w:t>
      </w:r>
    </w:p>
    <w:p w14:paraId="5A54F6E1" w14:textId="77777777" w:rsidR="00C114FF" w:rsidRPr="00FA5FA8" w:rsidRDefault="00C114FF" w:rsidP="00A9226B">
      <w:pPr>
        <w:tabs>
          <w:tab w:val="clear" w:pos="567"/>
        </w:tabs>
        <w:spacing w:line="240" w:lineRule="auto"/>
        <w:rPr>
          <w:szCs w:val="22"/>
          <w:lang w:val="cs-CZ"/>
        </w:rPr>
      </w:pPr>
    </w:p>
    <w:p w14:paraId="088FEAC9" w14:textId="77777777" w:rsidR="00C114FF" w:rsidRPr="00FA5FA8" w:rsidRDefault="00C114FF" w:rsidP="00A9226B">
      <w:pPr>
        <w:tabs>
          <w:tab w:val="clear" w:pos="567"/>
        </w:tabs>
        <w:spacing w:line="240" w:lineRule="auto"/>
        <w:rPr>
          <w:bCs/>
          <w:szCs w:val="22"/>
          <w:lang w:val="cs-CZ"/>
        </w:rPr>
      </w:pPr>
      <w:r w:rsidRPr="00FA5FA8">
        <w:rPr>
          <w:szCs w:val="22"/>
          <w:u w:val="single"/>
          <w:lang w:val="cs-CZ"/>
        </w:rPr>
        <w:t>Výrobce odpovědný za uvolnění šarže</w:t>
      </w:r>
      <w:r w:rsidRPr="00FA5FA8">
        <w:rPr>
          <w:szCs w:val="22"/>
          <w:lang w:val="cs-CZ"/>
        </w:rPr>
        <w:t>:</w:t>
      </w:r>
    </w:p>
    <w:p w14:paraId="142EDAB8" w14:textId="77777777" w:rsidR="00462DE7" w:rsidRPr="00FA5FA8" w:rsidRDefault="00462DE7" w:rsidP="00A9226B">
      <w:pPr>
        <w:tabs>
          <w:tab w:val="clear" w:pos="567"/>
        </w:tabs>
        <w:spacing w:line="240" w:lineRule="auto"/>
        <w:rPr>
          <w:bCs/>
          <w:szCs w:val="22"/>
          <w:lang w:val="cs-CZ"/>
        </w:rPr>
      </w:pPr>
      <w:r w:rsidRPr="00FA5FA8">
        <w:rPr>
          <w:szCs w:val="22"/>
          <w:lang w:val="cs-CZ"/>
        </w:rPr>
        <w:t>Produlab Pharma B.V.</w:t>
      </w:r>
    </w:p>
    <w:p w14:paraId="64897313" w14:textId="77777777" w:rsidR="00462DE7" w:rsidRPr="00FA5FA8" w:rsidRDefault="00462DE7" w:rsidP="00A9226B">
      <w:pPr>
        <w:tabs>
          <w:tab w:val="clear" w:pos="567"/>
        </w:tabs>
        <w:spacing w:line="240" w:lineRule="auto"/>
        <w:rPr>
          <w:bCs/>
          <w:szCs w:val="22"/>
          <w:lang w:val="cs-CZ"/>
        </w:rPr>
      </w:pPr>
      <w:r w:rsidRPr="00FA5FA8">
        <w:rPr>
          <w:szCs w:val="22"/>
          <w:lang w:val="cs-CZ"/>
        </w:rPr>
        <w:t>Forellenweg 16</w:t>
      </w:r>
    </w:p>
    <w:p w14:paraId="08107C84" w14:textId="77777777" w:rsidR="00462DE7" w:rsidRPr="00FA5FA8" w:rsidRDefault="00462DE7" w:rsidP="00A9226B">
      <w:pPr>
        <w:tabs>
          <w:tab w:val="clear" w:pos="567"/>
        </w:tabs>
        <w:spacing w:line="240" w:lineRule="auto"/>
        <w:rPr>
          <w:bCs/>
          <w:szCs w:val="22"/>
          <w:lang w:val="cs-CZ"/>
        </w:rPr>
      </w:pPr>
      <w:r w:rsidRPr="00FA5FA8">
        <w:rPr>
          <w:szCs w:val="22"/>
          <w:lang w:val="cs-CZ"/>
        </w:rPr>
        <w:t>4941 SJ Raamsdonksveer</w:t>
      </w:r>
    </w:p>
    <w:p w14:paraId="7B859AE8" w14:textId="77777777" w:rsidR="00462DE7" w:rsidRPr="00FA5FA8" w:rsidRDefault="00462DE7" w:rsidP="00A9226B">
      <w:pPr>
        <w:tabs>
          <w:tab w:val="clear" w:pos="567"/>
        </w:tabs>
        <w:spacing w:line="240" w:lineRule="auto"/>
        <w:rPr>
          <w:bCs/>
          <w:szCs w:val="22"/>
          <w:u w:val="single"/>
          <w:lang w:val="cs-CZ"/>
        </w:rPr>
      </w:pPr>
      <w:r w:rsidRPr="00FA5FA8">
        <w:rPr>
          <w:szCs w:val="22"/>
          <w:lang w:val="cs-CZ"/>
        </w:rPr>
        <w:t>Nizozemsko</w:t>
      </w:r>
    </w:p>
    <w:p w14:paraId="4F94B702" w14:textId="77777777" w:rsidR="00C114FF" w:rsidRPr="00FA5FA8" w:rsidRDefault="00C114FF" w:rsidP="00A9226B">
      <w:pPr>
        <w:tabs>
          <w:tab w:val="clear" w:pos="567"/>
        </w:tabs>
        <w:spacing w:line="240" w:lineRule="auto"/>
        <w:rPr>
          <w:szCs w:val="22"/>
          <w:lang w:val="cs-CZ"/>
        </w:rPr>
      </w:pPr>
    </w:p>
    <w:p w14:paraId="173DA3F7" w14:textId="77777777" w:rsidR="00C114FF" w:rsidRPr="00FA5FA8" w:rsidRDefault="00C114FF" w:rsidP="00A9226B">
      <w:pPr>
        <w:tabs>
          <w:tab w:val="clear" w:pos="567"/>
        </w:tabs>
        <w:spacing w:line="240" w:lineRule="auto"/>
        <w:rPr>
          <w:szCs w:val="22"/>
          <w:lang w:val="cs-CZ"/>
        </w:rPr>
      </w:pPr>
      <w:r w:rsidRPr="00FA5FA8">
        <w:rPr>
          <w:b/>
          <w:bCs/>
          <w:szCs w:val="22"/>
          <w:lang w:val="cs-CZ"/>
        </w:rPr>
        <w:t>2.</w:t>
      </w:r>
      <w:r w:rsidRPr="00FA5FA8">
        <w:rPr>
          <w:b/>
          <w:bCs/>
          <w:szCs w:val="22"/>
          <w:lang w:val="cs-CZ"/>
        </w:rPr>
        <w:tab/>
        <w:t>NÁZEV VETERINÁRNÍHO LÉČIVÉHO PŘÍPRAVKU</w:t>
      </w:r>
    </w:p>
    <w:p w14:paraId="32C80536" w14:textId="77777777" w:rsidR="00C114FF" w:rsidRPr="00FA5FA8" w:rsidRDefault="00C114FF" w:rsidP="00A9226B">
      <w:pPr>
        <w:tabs>
          <w:tab w:val="clear" w:pos="567"/>
        </w:tabs>
        <w:spacing w:line="240" w:lineRule="auto"/>
        <w:rPr>
          <w:szCs w:val="22"/>
          <w:lang w:val="cs-CZ"/>
        </w:rPr>
      </w:pPr>
    </w:p>
    <w:p w14:paraId="3E7CB139" w14:textId="77777777" w:rsidR="00AF45FE" w:rsidRPr="00FA5FA8" w:rsidRDefault="003A19F1" w:rsidP="007E44F4">
      <w:pPr>
        <w:tabs>
          <w:tab w:val="clear" w:pos="567"/>
        </w:tabs>
        <w:spacing w:line="240" w:lineRule="auto"/>
        <w:rPr>
          <w:szCs w:val="22"/>
          <w:lang w:val="cs-CZ"/>
        </w:rPr>
      </w:pPr>
      <w:r w:rsidRPr="00FA5FA8">
        <w:rPr>
          <w:szCs w:val="22"/>
          <w:lang w:val="cs-CZ"/>
        </w:rPr>
        <w:t xml:space="preserve">Repose 500 mg/ml injekční roztok </w:t>
      </w:r>
    </w:p>
    <w:p w14:paraId="50A7B1EC" w14:textId="255ACA25" w:rsidR="007E44F4" w:rsidRPr="00FA5FA8" w:rsidRDefault="0084193B" w:rsidP="007E44F4">
      <w:pPr>
        <w:tabs>
          <w:tab w:val="clear" w:pos="567"/>
        </w:tabs>
        <w:spacing w:line="240" w:lineRule="auto"/>
        <w:rPr>
          <w:szCs w:val="22"/>
          <w:lang w:val="cs-CZ"/>
        </w:rPr>
      </w:pPr>
      <w:proofErr w:type="spellStart"/>
      <w:r>
        <w:rPr>
          <w:szCs w:val="22"/>
          <w:lang w:val="cs-CZ"/>
        </w:rPr>
        <w:t>P</w:t>
      </w:r>
      <w:r w:rsidR="003A19F1" w:rsidRPr="00FA5FA8">
        <w:rPr>
          <w:szCs w:val="22"/>
          <w:lang w:val="cs-CZ"/>
        </w:rPr>
        <w:t>entobarbitalu</w:t>
      </w:r>
      <w:r w:rsidR="00AF45FE" w:rsidRPr="00FA5FA8">
        <w:rPr>
          <w:szCs w:val="22"/>
          <w:lang w:val="cs-CZ"/>
        </w:rPr>
        <w:t>m</w:t>
      </w:r>
      <w:proofErr w:type="spellEnd"/>
      <w:r w:rsidR="003A19F1" w:rsidRPr="00FA5FA8">
        <w:rPr>
          <w:szCs w:val="22"/>
          <w:lang w:val="cs-CZ"/>
        </w:rPr>
        <w:t xml:space="preserve"> </w:t>
      </w:r>
      <w:proofErr w:type="spellStart"/>
      <w:r w:rsidR="00AF45FE" w:rsidRPr="00FA5FA8">
        <w:rPr>
          <w:szCs w:val="22"/>
          <w:lang w:val="cs-CZ"/>
        </w:rPr>
        <w:t>natricum</w:t>
      </w:r>
      <w:proofErr w:type="spellEnd"/>
    </w:p>
    <w:p w14:paraId="4C6178E2" w14:textId="77777777" w:rsidR="00274684" w:rsidRPr="00FA5FA8" w:rsidRDefault="00274684" w:rsidP="00274684">
      <w:pPr>
        <w:tabs>
          <w:tab w:val="clear" w:pos="567"/>
        </w:tabs>
        <w:spacing w:line="240" w:lineRule="auto"/>
        <w:rPr>
          <w:szCs w:val="22"/>
          <w:lang w:val="cs-CZ"/>
        </w:rPr>
      </w:pPr>
    </w:p>
    <w:p w14:paraId="52676140" w14:textId="77777777" w:rsidR="00C114FF" w:rsidRPr="00FA5FA8" w:rsidRDefault="00C114FF" w:rsidP="00372476">
      <w:pPr>
        <w:tabs>
          <w:tab w:val="clear" w:pos="567"/>
        </w:tabs>
        <w:spacing w:line="240" w:lineRule="auto"/>
        <w:ind w:left="567" w:hanging="567"/>
        <w:rPr>
          <w:b/>
          <w:szCs w:val="22"/>
          <w:lang w:val="cs-CZ"/>
        </w:rPr>
      </w:pPr>
      <w:r w:rsidRPr="00FA5FA8">
        <w:rPr>
          <w:b/>
          <w:bCs/>
          <w:szCs w:val="22"/>
          <w:lang w:val="cs-CZ"/>
        </w:rPr>
        <w:t>3.</w:t>
      </w:r>
      <w:r w:rsidRPr="00FA5FA8">
        <w:rPr>
          <w:b/>
          <w:bCs/>
          <w:szCs w:val="22"/>
          <w:lang w:val="cs-CZ"/>
        </w:rPr>
        <w:tab/>
        <w:t>OBSAH LÉČIVÝCH A OSTATNÍCH LÁTEK</w:t>
      </w:r>
    </w:p>
    <w:p w14:paraId="630AA459" w14:textId="77777777" w:rsidR="00C114FF" w:rsidRPr="00FA5FA8" w:rsidRDefault="00C114FF" w:rsidP="00A9226B">
      <w:pPr>
        <w:tabs>
          <w:tab w:val="clear" w:pos="567"/>
        </w:tabs>
        <w:spacing w:line="240" w:lineRule="auto"/>
        <w:rPr>
          <w:iCs/>
          <w:szCs w:val="22"/>
          <w:lang w:val="cs-CZ"/>
        </w:rPr>
      </w:pPr>
    </w:p>
    <w:p w14:paraId="2A4FCAD7" w14:textId="77777777" w:rsidR="00B5752F" w:rsidRPr="00FA5FA8" w:rsidRDefault="00B5752F" w:rsidP="00B5752F">
      <w:pPr>
        <w:tabs>
          <w:tab w:val="clear" w:pos="567"/>
        </w:tabs>
        <w:spacing w:line="240" w:lineRule="auto"/>
        <w:rPr>
          <w:szCs w:val="22"/>
          <w:lang w:val="cs-CZ"/>
        </w:rPr>
      </w:pPr>
      <w:r w:rsidRPr="00FA5FA8">
        <w:rPr>
          <w:szCs w:val="22"/>
          <w:lang w:val="cs-CZ"/>
        </w:rPr>
        <w:t xml:space="preserve">1 ml obsahuje: </w:t>
      </w:r>
    </w:p>
    <w:p w14:paraId="52257225" w14:textId="77777777" w:rsidR="007E44F4" w:rsidRPr="00FA5FA8" w:rsidRDefault="007E44F4" w:rsidP="007E44F4">
      <w:pPr>
        <w:rPr>
          <w:b/>
          <w:noProof/>
          <w:szCs w:val="22"/>
          <w:lang w:val="cs-CZ"/>
        </w:rPr>
      </w:pPr>
      <w:r w:rsidRPr="00FA5FA8">
        <w:rPr>
          <w:b/>
          <w:bCs/>
          <w:noProof/>
          <w:szCs w:val="22"/>
          <w:lang w:val="cs-CZ"/>
        </w:rPr>
        <w:t>Léčivá látka</w:t>
      </w:r>
    </w:p>
    <w:p w14:paraId="0198DFB2" w14:textId="26462C3E" w:rsidR="007D53CD" w:rsidRPr="00FA5FA8" w:rsidRDefault="007E44F4" w:rsidP="007D53CD">
      <w:pPr>
        <w:rPr>
          <w:noProof/>
          <w:szCs w:val="22"/>
          <w:lang w:val="cs-CZ"/>
        </w:rPr>
      </w:pPr>
      <w:r w:rsidRPr="00FA5FA8">
        <w:rPr>
          <w:noProof/>
          <w:szCs w:val="22"/>
          <w:lang w:val="cs-CZ"/>
        </w:rPr>
        <w:t xml:space="preserve">Pentobarbitalum natricum 500 mg </w:t>
      </w:r>
      <w:r w:rsidR="0084193B">
        <w:rPr>
          <w:noProof/>
          <w:szCs w:val="22"/>
          <w:lang w:val="cs-CZ"/>
        </w:rPr>
        <w:t>(</w:t>
      </w:r>
      <w:r w:rsidRPr="00FA5FA8">
        <w:rPr>
          <w:noProof/>
          <w:szCs w:val="22"/>
          <w:lang w:val="cs-CZ"/>
        </w:rPr>
        <w:t>odpovídá 455,7 mg pentobarbitalu</w:t>
      </w:r>
      <w:r w:rsidR="00AF45FE" w:rsidRPr="00FA5FA8">
        <w:rPr>
          <w:noProof/>
          <w:szCs w:val="22"/>
          <w:lang w:val="cs-CZ"/>
        </w:rPr>
        <w:t>m</w:t>
      </w:r>
      <w:r w:rsidR="0084193B">
        <w:rPr>
          <w:noProof/>
          <w:szCs w:val="22"/>
          <w:lang w:val="cs-CZ"/>
        </w:rPr>
        <w:t>)</w:t>
      </w:r>
    </w:p>
    <w:p w14:paraId="60CA5281" w14:textId="77777777" w:rsidR="007D53CD" w:rsidRPr="00FA5FA8" w:rsidRDefault="007D53CD" w:rsidP="007D53CD">
      <w:pPr>
        <w:rPr>
          <w:b/>
          <w:noProof/>
          <w:szCs w:val="22"/>
          <w:lang w:val="cs-CZ"/>
        </w:rPr>
      </w:pPr>
      <w:r w:rsidRPr="00FA5FA8">
        <w:rPr>
          <w:b/>
          <w:bCs/>
          <w:noProof/>
          <w:szCs w:val="22"/>
          <w:lang w:val="cs-CZ"/>
        </w:rPr>
        <w:t>Pomocné látky</w:t>
      </w:r>
    </w:p>
    <w:p w14:paraId="4CCC0A76" w14:textId="6D1C1F03" w:rsidR="007E44F4" w:rsidRPr="00FA5FA8" w:rsidRDefault="007D53CD" w:rsidP="007D53CD">
      <w:pPr>
        <w:rPr>
          <w:noProof/>
          <w:szCs w:val="22"/>
          <w:lang w:val="cs-CZ"/>
        </w:rPr>
      </w:pPr>
      <w:r w:rsidRPr="00FA5FA8">
        <w:rPr>
          <w:noProof/>
          <w:szCs w:val="22"/>
          <w:lang w:val="cs-CZ"/>
        </w:rPr>
        <w:t>Patentní modř V (E</w:t>
      </w:r>
      <w:r w:rsidR="0084193B">
        <w:rPr>
          <w:noProof/>
          <w:szCs w:val="22"/>
          <w:lang w:val="cs-CZ"/>
        </w:rPr>
        <w:t xml:space="preserve"> </w:t>
      </w:r>
      <w:r w:rsidRPr="00FA5FA8">
        <w:rPr>
          <w:noProof/>
          <w:szCs w:val="22"/>
          <w:lang w:val="cs-CZ"/>
        </w:rPr>
        <w:t>131) 0,01 mg</w:t>
      </w:r>
    </w:p>
    <w:p w14:paraId="4ABA2FE0" w14:textId="77777777" w:rsidR="00C266BA" w:rsidRPr="00FA5FA8" w:rsidRDefault="00C266BA" w:rsidP="00881E60">
      <w:pPr>
        <w:tabs>
          <w:tab w:val="clear" w:pos="567"/>
        </w:tabs>
        <w:spacing w:line="240" w:lineRule="auto"/>
        <w:rPr>
          <w:szCs w:val="22"/>
          <w:lang w:val="cs-CZ"/>
        </w:rPr>
      </w:pPr>
    </w:p>
    <w:p w14:paraId="63CB8A80" w14:textId="2709C14A" w:rsidR="00881E60" w:rsidRPr="00FA5FA8" w:rsidRDefault="00881E60" w:rsidP="00881E60">
      <w:pPr>
        <w:tabs>
          <w:tab w:val="clear" w:pos="567"/>
        </w:tabs>
        <w:spacing w:line="240" w:lineRule="auto"/>
        <w:rPr>
          <w:szCs w:val="22"/>
          <w:lang w:val="cs-CZ"/>
        </w:rPr>
      </w:pPr>
      <w:r w:rsidRPr="00FA5FA8">
        <w:rPr>
          <w:szCs w:val="22"/>
          <w:lang w:val="cs-CZ"/>
        </w:rPr>
        <w:t>Čirý modrý vodný roztok.</w:t>
      </w:r>
    </w:p>
    <w:p w14:paraId="128D4072" w14:textId="77777777" w:rsidR="006370ED" w:rsidRPr="00FA5FA8" w:rsidRDefault="006370ED" w:rsidP="00462DE7">
      <w:pPr>
        <w:pStyle w:val="Bezmezer1"/>
        <w:rPr>
          <w:rFonts w:ascii="Times New Roman" w:hAnsi="Times New Roman"/>
          <w:sz w:val="22"/>
          <w:szCs w:val="22"/>
          <w:lang w:val="cs-CZ"/>
        </w:rPr>
      </w:pPr>
    </w:p>
    <w:p w14:paraId="4FEE1720" w14:textId="77777777" w:rsidR="00C114FF" w:rsidRPr="00FA5FA8" w:rsidRDefault="00C114FF" w:rsidP="00A4313D">
      <w:pPr>
        <w:keepNext/>
        <w:tabs>
          <w:tab w:val="clear" w:pos="567"/>
        </w:tabs>
        <w:spacing w:line="240" w:lineRule="auto"/>
        <w:rPr>
          <w:b/>
          <w:szCs w:val="22"/>
          <w:lang w:val="cs-CZ"/>
        </w:rPr>
      </w:pPr>
      <w:r w:rsidRPr="00FA5FA8">
        <w:rPr>
          <w:b/>
          <w:bCs/>
          <w:szCs w:val="22"/>
          <w:lang w:val="cs-CZ"/>
        </w:rPr>
        <w:t>4.</w:t>
      </w:r>
      <w:r w:rsidRPr="00FA5FA8">
        <w:rPr>
          <w:b/>
          <w:bCs/>
          <w:szCs w:val="22"/>
          <w:lang w:val="cs-CZ"/>
        </w:rPr>
        <w:tab/>
        <w:t>INDIKACE</w:t>
      </w:r>
    </w:p>
    <w:p w14:paraId="7BFA0BED" w14:textId="77777777" w:rsidR="00C114FF" w:rsidRPr="00FA5FA8" w:rsidRDefault="00C114FF" w:rsidP="00A9226B">
      <w:pPr>
        <w:tabs>
          <w:tab w:val="clear" w:pos="567"/>
        </w:tabs>
        <w:spacing w:line="240" w:lineRule="auto"/>
        <w:rPr>
          <w:szCs w:val="22"/>
          <w:lang w:val="cs-CZ"/>
        </w:rPr>
      </w:pPr>
    </w:p>
    <w:p w14:paraId="42A8731E" w14:textId="2DB88783" w:rsidR="00B5752F" w:rsidRPr="00FA5FA8" w:rsidRDefault="007E44F4" w:rsidP="00B5752F">
      <w:pPr>
        <w:rPr>
          <w:szCs w:val="22"/>
          <w:lang w:val="cs-CZ"/>
        </w:rPr>
      </w:pPr>
      <w:r w:rsidRPr="00FA5FA8">
        <w:rPr>
          <w:szCs w:val="22"/>
          <w:lang w:val="cs-CZ"/>
        </w:rPr>
        <w:t>Eutanazie</w:t>
      </w:r>
      <w:r w:rsidR="004B5FFF" w:rsidRPr="00FA5FA8">
        <w:rPr>
          <w:szCs w:val="22"/>
          <w:lang w:val="cs-CZ"/>
        </w:rPr>
        <w:t>.</w:t>
      </w:r>
    </w:p>
    <w:p w14:paraId="53550EA7" w14:textId="77777777" w:rsidR="00B5752F" w:rsidRPr="00FA5FA8" w:rsidRDefault="00B5752F" w:rsidP="00B5752F">
      <w:pPr>
        <w:rPr>
          <w:szCs w:val="22"/>
          <w:lang w:val="cs-CZ"/>
        </w:rPr>
      </w:pPr>
    </w:p>
    <w:p w14:paraId="012004D3" w14:textId="77777777" w:rsidR="00C114FF" w:rsidRPr="00FA5FA8" w:rsidRDefault="00C114FF" w:rsidP="00A4313D">
      <w:pPr>
        <w:keepNext/>
        <w:tabs>
          <w:tab w:val="clear" w:pos="567"/>
        </w:tabs>
        <w:spacing w:line="240" w:lineRule="auto"/>
        <w:rPr>
          <w:b/>
          <w:szCs w:val="22"/>
          <w:lang w:val="cs-CZ"/>
        </w:rPr>
      </w:pPr>
      <w:r w:rsidRPr="00FA5FA8">
        <w:rPr>
          <w:b/>
          <w:bCs/>
          <w:szCs w:val="22"/>
          <w:lang w:val="cs-CZ"/>
        </w:rPr>
        <w:t>5.</w:t>
      </w:r>
      <w:r w:rsidRPr="00FA5FA8">
        <w:rPr>
          <w:b/>
          <w:bCs/>
          <w:szCs w:val="22"/>
          <w:lang w:val="cs-CZ"/>
        </w:rPr>
        <w:tab/>
        <w:t>KONTRAINDIKACE</w:t>
      </w:r>
    </w:p>
    <w:p w14:paraId="4465B232" w14:textId="77777777" w:rsidR="00C114FF" w:rsidRPr="00FA5FA8" w:rsidRDefault="00C114FF" w:rsidP="00A9226B">
      <w:pPr>
        <w:tabs>
          <w:tab w:val="clear" w:pos="567"/>
        </w:tabs>
        <w:spacing w:line="240" w:lineRule="auto"/>
        <w:rPr>
          <w:szCs w:val="22"/>
          <w:lang w:val="cs-CZ"/>
        </w:rPr>
      </w:pPr>
    </w:p>
    <w:p w14:paraId="0C721411" w14:textId="77777777" w:rsidR="007E44F4" w:rsidRPr="00FA5FA8" w:rsidRDefault="007E44F4" w:rsidP="007E44F4">
      <w:pPr>
        <w:rPr>
          <w:szCs w:val="22"/>
          <w:lang w:val="cs-CZ"/>
        </w:rPr>
      </w:pPr>
      <w:r w:rsidRPr="00FA5FA8">
        <w:rPr>
          <w:szCs w:val="22"/>
          <w:lang w:val="cs-CZ"/>
        </w:rPr>
        <w:t>Nepoužívat k anestézii.</w:t>
      </w:r>
    </w:p>
    <w:p w14:paraId="0F787E56" w14:textId="77777777" w:rsidR="007E44F4" w:rsidRPr="00FA5FA8" w:rsidRDefault="007E44F4" w:rsidP="007E44F4">
      <w:pPr>
        <w:rPr>
          <w:szCs w:val="22"/>
          <w:lang w:val="cs-CZ"/>
        </w:rPr>
      </w:pPr>
    </w:p>
    <w:p w14:paraId="1C935886" w14:textId="77777777" w:rsidR="00C114FF" w:rsidRPr="00FA5FA8" w:rsidRDefault="00C114FF" w:rsidP="00A4313D">
      <w:pPr>
        <w:keepNext/>
        <w:tabs>
          <w:tab w:val="clear" w:pos="567"/>
        </w:tabs>
        <w:spacing w:line="240" w:lineRule="auto"/>
        <w:rPr>
          <w:szCs w:val="22"/>
          <w:lang w:val="cs-CZ"/>
        </w:rPr>
      </w:pPr>
      <w:r w:rsidRPr="00FA5FA8">
        <w:rPr>
          <w:b/>
          <w:bCs/>
          <w:szCs w:val="22"/>
          <w:lang w:val="cs-CZ"/>
        </w:rPr>
        <w:t>6.</w:t>
      </w:r>
      <w:r w:rsidRPr="00FA5FA8">
        <w:rPr>
          <w:b/>
          <w:bCs/>
          <w:szCs w:val="22"/>
          <w:lang w:val="cs-CZ"/>
        </w:rPr>
        <w:tab/>
        <w:t>NEŽÁDOUCÍ ÚČINKY</w:t>
      </w:r>
    </w:p>
    <w:p w14:paraId="5BB7D7C2" w14:textId="77777777" w:rsidR="00C114FF" w:rsidRPr="00FA5FA8" w:rsidRDefault="00C114FF" w:rsidP="00A9226B">
      <w:pPr>
        <w:tabs>
          <w:tab w:val="clear" w:pos="567"/>
        </w:tabs>
        <w:spacing w:line="240" w:lineRule="auto"/>
        <w:rPr>
          <w:szCs w:val="22"/>
          <w:lang w:val="cs-CZ"/>
        </w:rPr>
      </w:pPr>
    </w:p>
    <w:p w14:paraId="36DD0777" w14:textId="77777777" w:rsidR="00C266BA" w:rsidRPr="00FA5FA8" w:rsidRDefault="00C266BA" w:rsidP="00C266BA">
      <w:pPr>
        <w:rPr>
          <w:bCs/>
          <w:szCs w:val="22"/>
          <w:lang w:val="cs-CZ"/>
        </w:rPr>
      </w:pPr>
      <w:r w:rsidRPr="00FA5FA8">
        <w:rPr>
          <w:szCs w:val="22"/>
          <w:lang w:val="cs-CZ"/>
        </w:rPr>
        <w:t>Po injekčním podání může dojít k mírným svalovým záškubům.</w:t>
      </w:r>
    </w:p>
    <w:p w14:paraId="58743FD6" w14:textId="77777777" w:rsidR="00C266BA" w:rsidRPr="00FA5FA8" w:rsidRDefault="00C266BA" w:rsidP="00C266BA">
      <w:pPr>
        <w:rPr>
          <w:bCs/>
          <w:szCs w:val="22"/>
          <w:lang w:val="cs-CZ"/>
        </w:rPr>
      </w:pPr>
    </w:p>
    <w:p w14:paraId="7EC1EC40" w14:textId="77777777" w:rsidR="00C266BA" w:rsidRPr="00FA5FA8" w:rsidRDefault="00C266BA" w:rsidP="00C266BA">
      <w:pPr>
        <w:rPr>
          <w:bCs/>
          <w:szCs w:val="22"/>
          <w:lang w:val="cs-CZ"/>
        </w:rPr>
      </w:pPr>
      <w:r w:rsidRPr="00FA5FA8">
        <w:rPr>
          <w:szCs w:val="22"/>
          <w:lang w:val="cs-CZ"/>
        </w:rPr>
        <w:t xml:space="preserve">V případě perivaskulárního podání nebo </w:t>
      </w:r>
      <w:r w:rsidR="00223907" w:rsidRPr="00FA5FA8">
        <w:rPr>
          <w:szCs w:val="22"/>
          <w:lang w:val="cs-CZ"/>
        </w:rPr>
        <w:t xml:space="preserve">podání </w:t>
      </w:r>
      <w:r w:rsidRPr="00FA5FA8">
        <w:rPr>
          <w:szCs w:val="22"/>
          <w:lang w:val="cs-CZ"/>
        </w:rPr>
        <w:t>do org</w:t>
      </w:r>
      <w:r w:rsidR="00A83B88" w:rsidRPr="00FA5FA8">
        <w:rPr>
          <w:szCs w:val="22"/>
          <w:lang w:val="cs-CZ"/>
        </w:rPr>
        <w:t>ánů/tkání, ze kterých dochází k </w:t>
      </w:r>
      <w:r w:rsidRPr="00FA5FA8">
        <w:rPr>
          <w:szCs w:val="22"/>
          <w:lang w:val="cs-CZ"/>
        </w:rPr>
        <w:t>nízké absorpci přípravku, může dojít k prodloužení doby do okamžiku smrti. Perivaskulární nebo subkutánní podání barbiturátů může mít za následek podráždění tkáně.</w:t>
      </w:r>
    </w:p>
    <w:p w14:paraId="70914896" w14:textId="77777777" w:rsidR="00C266BA" w:rsidRPr="00FA5FA8" w:rsidRDefault="00C266BA" w:rsidP="00C266BA">
      <w:pPr>
        <w:rPr>
          <w:bCs/>
          <w:szCs w:val="22"/>
          <w:lang w:val="cs-CZ"/>
        </w:rPr>
      </w:pPr>
    </w:p>
    <w:p w14:paraId="109A8DB8" w14:textId="77777777" w:rsidR="00C266BA" w:rsidRPr="00FA5FA8" w:rsidRDefault="00C266BA" w:rsidP="00C266BA">
      <w:pPr>
        <w:rPr>
          <w:bCs/>
          <w:szCs w:val="22"/>
          <w:lang w:val="cs-CZ"/>
        </w:rPr>
      </w:pPr>
      <w:r w:rsidRPr="00FA5FA8">
        <w:rPr>
          <w:szCs w:val="22"/>
          <w:lang w:val="cs-CZ"/>
        </w:rPr>
        <w:t>Pentobarbital sodný může způsobit vyvolání excitace. Premedikace/sedace značně snižuje riziko excitace.</w:t>
      </w:r>
      <w:r w:rsidR="00A83B88" w:rsidRPr="00FA5FA8">
        <w:rPr>
          <w:szCs w:val="22"/>
          <w:lang w:val="cs-CZ"/>
        </w:rPr>
        <w:t xml:space="preserve"> </w:t>
      </w:r>
    </w:p>
    <w:p w14:paraId="143B7CA0" w14:textId="77777777" w:rsidR="00C266BA" w:rsidRPr="00FA5FA8" w:rsidRDefault="00C266BA" w:rsidP="00C266BA">
      <w:pPr>
        <w:rPr>
          <w:bCs/>
          <w:i/>
          <w:szCs w:val="22"/>
          <w:lang w:val="cs-CZ"/>
        </w:rPr>
      </w:pPr>
    </w:p>
    <w:p w14:paraId="4928C31E" w14:textId="77777777" w:rsidR="0062732C" w:rsidRPr="00FA5FA8" w:rsidRDefault="00C266BA" w:rsidP="0062732C">
      <w:pPr>
        <w:rPr>
          <w:bCs/>
          <w:iCs/>
          <w:szCs w:val="22"/>
          <w:lang w:val="cs-CZ"/>
        </w:rPr>
      </w:pPr>
      <w:r w:rsidRPr="00FA5FA8">
        <w:rPr>
          <w:szCs w:val="22"/>
          <w:lang w:val="cs-CZ"/>
        </w:rPr>
        <w:t xml:space="preserve">V ojedinělých případech se může objevit krátké lapavé dýchání, které souvisí se </w:t>
      </w:r>
      <w:r w:rsidR="00E83982" w:rsidRPr="00F7530C">
        <w:rPr>
          <w:szCs w:val="22"/>
          <w:lang w:val="cs-CZ"/>
        </w:rPr>
        <w:t>zástavou srdce</w:t>
      </w:r>
      <w:r w:rsidRPr="00FA5FA8">
        <w:rPr>
          <w:szCs w:val="22"/>
          <w:lang w:val="cs-CZ"/>
        </w:rPr>
        <w:t xml:space="preserve">. V tomto stavu je zvíře již klinicky mrtvé. </w:t>
      </w:r>
    </w:p>
    <w:p w14:paraId="3BD22A31" w14:textId="77777777" w:rsidR="007C705C" w:rsidRPr="00FA5FA8" w:rsidRDefault="007C705C" w:rsidP="007C705C">
      <w:pPr>
        <w:spacing w:line="240" w:lineRule="auto"/>
        <w:rPr>
          <w:szCs w:val="22"/>
          <w:lang w:val="cs-CZ"/>
        </w:rPr>
      </w:pPr>
    </w:p>
    <w:p w14:paraId="08A980E8" w14:textId="77777777" w:rsidR="007C705C" w:rsidRPr="00FA5FA8" w:rsidRDefault="007C705C" w:rsidP="007C705C">
      <w:pPr>
        <w:spacing w:line="240" w:lineRule="auto"/>
        <w:rPr>
          <w:szCs w:val="22"/>
          <w:lang w:val="cs-CZ"/>
        </w:rPr>
      </w:pPr>
      <w:r w:rsidRPr="00FA5FA8">
        <w:rPr>
          <w:szCs w:val="22"/>
          <w:lang w:val="cs-CZ"/>
        </w:rPr>
        <w:t xml:space="preserve">Četnost nežádoucích účinků je charakterizována podle následujících pravidel: </w:t>
      </w:r>
    </w:p>
    <w:p w14:paraId="69C2F55B" w14:textId="3C48F12D" w:rsidR="007C705C" w:rsidRPr="00FA5FA8" w:rsidRDefault="007C705C" w:rsidP="007C705C">
      <w:pPr>
        <w:spacing w:line="240" w:lineRule="auto"/>
        <w:rPr>
          <w:szCs w:val="22"/>
          <w:lang w:val="cs-CZ"/>
        </w:rPr>
      </w:pPr>
      <w:r w:rsidRPr="00FA5FA8">
        <w:rPr>
          <w:szCs w:val="22"/>
          <w:lang w:val="cs-CZ"/>
        </w:rPr>
        <w:t xml:space="preserve">- velmi časté (nežádoucí účinky se projevily u více než 1 z 10 ošetřených zvířat) </w:t>
      </w:r>
    </w:p>
    <w:p w14:paraId="774BA349" w14:textId="55591527" w:rsidR="007C705C" w:rsidRPr="00FA5FA8" w:rsidRDefault="007C705C" w:rsidP="007C705C">
      <w:pPr>
        <w:spacing w:line="240" w:lineRule="auto"/>
        <w:rPr>
          <w:szCs w:val="22"/>
          <w:lang w:val="cs-CZ"/>
        </w:rPr>
      </w:pPr>
      <w:r w:rsidRPr="00FA5FA8">
        <w:rPr>
          <w:szCs w:val="22"/>
          <w:lang w:val="cs-CZ"/>
        </w:rPr>
        <w:t xml:space="preserve">- časté (u více než 1, ale méně než 10 ze 100 ošetřených zvířat) </w:t>
      </w:r>
    </w:p>
    <w:p w14:paraId="2BC411B2" w14:textId="558D4FC9" w:rsidR="007C705C" w:rsidRPr="00FA5FA8" w:rsidRDefault="007C705C" w:rsidP="007C705C">
      <w:pPr>
        <w:spacing w:line="240" w:lineRule="auto"/>
        <w:rPr>
          <w:szCs w:val="22"/>
          <w:lang w:val="cs-CZ"/>
        </w:rPr>
      </w:pPr>
      <w:r w:rsidRPr="00FA5FA8">
        <w:rPr>
          <w:szCs w:val="22"/>
          <w:lang w:val="cs-CZ"/>
        </w:rPr>
        <w:t xml:space="preserve">- neobvyklé (u více než 1, ale méně než 10 z 1000 ošetřených zvířat) </w:t>
      </w:r>
    </w:p>
    <w:p w14:paraId="1BE79BFA" w14:textId="293AAAF6" w:rsidR="007C705C" w:rsidRPr="00FA5FA8" w:rsidRDefault="007C705C" w:rsidP="007C705C">
      <w:pPr>
        <w:spacing w:line="240" w:lineRule="auto"/>
        <w:rPr>
          <w:szCs w:val="22"/>
          <w:lang w:val="cs-CZ"/>
        </w:rPr>
      </w:pPr>
      <w:r w:rsidRPr="00FA5FA8">
        <w:rPr>
          <w:szCs w:val="22"/>
          <w:lang w:val="cs-CZ"/>
        </w:rPr>
        <w:t xml:space="preserve">- vzácné (u více než 1, ale méně než 10 z 10 000 ošetřených zvířat) </w:t>
      </w:r>
    </w:p>
    <w:p w14:paraId="1F579625" w14:textId="4ABD6A25" w:rsidR="007C705C" w:rsidRPr="00FA5FA8" w:rsidRDefault="007C705C" w:rsidP="007C705C">
      <w:pPr>
        <w:spacing w:line="240" w:lineRule="auto"/>
        <w:rPr>
          <w:szCs w:val="22"/>
          <w:lang w:val="cs-CZ"/>
        </w:rPr>
      </w:pPr>
      <w:r w:rsidRPr="00FA5FA8">
        <w:rPr>
          <w:szCs w:val="22"/>
          <w:lang w:val="cs-CZ"/>
        </w:rPr>
        <w:t>- velmi vzácné (u méně než 1 z 10 000 ošetřených zvířat, včetně ojedinělých hlášení)</w:t>
      </w:r>
    </w:p>
    <w:p w14:paraId="7E27D87D" w14:textId="77777777" w:rsidR="00223907" w:rsidRPr="00FA5FA8" w:rsidRDefault="00223907" w:rsidP="007C705C">
      <w:pPr>
        <w:spacing w:line="240" w:lineRule="auto"/>
        <w:rPr>
          <w:szCs w:val="22"/>
          <w:lang w:val="cs-CZ"/>
        </w:rPr>
      </w:pPr>
    </w:p>
    <w:p w14:paraId="64FA9EC7" w14:textId="5F9DF1EB" w:rsidR="00FE29AC" w:rsidRPr="005A74A3" w:rsidRDefault="00223907" w:rsidP="00FE29AC">
      <w:pPr>
        <w:rPr>
          <w:lang w:val="cs-CZ"/>
        </w:rPr>
      </w:pPr>
      <w:r w:rsidRPr="00FA5FA8">
        <w:rPr>
          <w:szCs w:val="22"/>
          <w:lang w:val="cs-CZ"/>
        </w:rPr>
        <w:t xml:space="preserve">Jestliže zaznamenáte kterýkoliv z nežádoucích </w:t>
      </w:r>
      <w:r w:rsidR="00FE29AC" w:rsidRPr="00FE29AC">
        <w:rPr>
          <w:szCs w:val="22"/>
          <w:lang w:val="cs-CZ"/>
        </w:rPr>
        <w:t>účinků,</w:t>
      </w:r>
      <w:r w:rsidRPr="00FA5FA8">
        <w:rPr>
          <w:szCs w:val="22"/>
          <w:lang w:val="cs-CZ"/>
        </w:rPr>
        <w:t xml:space="preserve"> a to i takové, které nejsou uvedeny v této příbalové informaci, nebo si myslíte, že léčivo není účinné, oznamte to, prosím, vašemu veterinárnímu lékaři.</w:t>
      </w:r>
      <w:r w:rsidR="004B5FFF" w:rsidRPr="00FA5FA8">
        <w:rPr>
          <w:szCs w:val="22"/>
          <w:lang w:val="cs-CZ"/>
        </w:rPr>
        <w:t xml:space="preserve"> </w:t>
      </w:r>
    </w:p>
    <w:p w14:paraId="65B4D274" w14:textId="05C1F7C3" w:rsidR="00FE29AC" w:rsidRPr="00FA5FA8" w:rsidRDefault="00FE29AC" w:rsidP="00FE29AC">
      <w:pPr>
        <w:rPr>
          <w:lang w:val="cs-CZ"/>
        </w:rPr>
      </w:pPr>
      <w:r w:rsidRPr="00FA5FA8">
        <w:rPr>
          <w:lang w:val="cs-CZ"/>
        </w:rPr>
        <w:t xml:space="preserve">Nežádoucí účinky můžete hlásit prostřednictvím formuláře na webových stránkách ÚSKVBL elektronicky, nebo také přímo na adresu: Ústav pro státní kontrolu veterinárních biopreparátů a léčiv, Hudcova </w:t>
      </w:r>
      <w:proofErr w:type="gramStart"/>
      <w:r w:rsidRPr="00FA5FA8">
        <w:rPr>
          <w:lang w:val="cs-CZ"/>
        </w:rPr>
        <w:t>56a</w:t>
      </w:r>
      <w:proofErr w:type="gramEnd"/>
      <w:r w:rsidRPr="00FA5FA8">
        <w:rPr>
          <w:lang w:val="cs-CZ"/>
        </w:rPr>
        <w:t xml:space="preserve">, 621 00 Brno, Mail: </w:t>
      </w:r>
      <w:r w:rsidR="00A6613C">
        <w:fldChar w:fldCharType="begin"/>
      </w:r>
      <w:r w:rsidR="00A6613C" w:rsidRPr="005B18B8">
        <w:rPr>
          <w:lang w:val="cs-CZ"/>
        </w:rPr>
        <w:instrText xml:space="preserve"> HYPERLINK "mailto:adr@uskvbl.cz" </w:instrText>
      </w:r>
      <w:r w:rsidR="00A6613C">
        <w:fldChar w:fldCharType="separate"/>
      </w:r>
      <w:r w:rsidRPr="00FA5FA8">
        <w:rPr>
          <w:rStyle w:val="Hypertextovodkaz"/>
          <w:lang w:val="cs-CZ"/>
        </w:rPr>
        <w:t>adr@uskvbl.cz</w:t>
      </w:r>
      <w:r w:rsidR="00A6613C">
        <w:rPr>
          <w:rStyle w:val="Hypertextovodkaz"/>
          <w:lang w:val="cs-CZ"/>
        </w:rPr>
        <w:fldChar w:fldCharType="end"/>
      </w:r>
      <w:r w:rsidRPr="00FA5FA8">
        <w:rPr>
          <w:lang w:val="cs-CZ"/>
        </w:rPr>
        <w:t xml:space="preserve">, Webové stránky: </w:t>
      </w:r>
      <w:r w:rsidR="00A6613C">
        <w:fldChar w:fldCharType="begin"/>
      </w:r>
      <w:r w:rsidR="00A6613C" w:rsidRPr="005B18B8">
        <w:rPr>
          <w:lang w:val="cs-CZ"/>
        </w:rPr>
        <w:instrText xml:space="preserve"> HYPERLINK "http://www.uskvbl.cz/cs/farmakovigilance" </w:instrText>
      </w:r>
      <w:r w:rsidR="00A6613C">
        <w:fldChar w:fldCharType="separate"/>
      </w:r>
      <w:r w:rsidRPr="00FA5FA8">
        <w:rPr>
          <w:rStyle w:val="Hypertextovodkaz"/>
          <w:lang w:val="cs-CZ"/>
        </w:rPr>
        <w:t>http://www.uskvbl.cz/cs/farmakovigilance</w:t>
      </w:r>
      <w:r w:rsidR="00A6613C">
        <w:rPr>
          <w:rStyle w:val="Hypertextovodkaz"/>
          <w:lang w:val="cs-CZ"/>
        </w:rPr>
        <w:fldChar w:fldCharType="end"/>
      </w:r>
      <w:r w:rsidRPr="00FA5FA8">
        <w:rPr>
          <w:lang w:val="cs-CZ"/>
        </w:rPr>
        <w:t>&gt;</w:t>
      </w:r>
    </w:p>
    <w:p w14:paraId="1A6A8321" w14:textId="77777777" w:rsidR="00C114FF" w:rsidRPr="00FA5FA8" w:rsidRDefault="00C114FF" w:rsidP="00A4313D">
      <w:pPr>
        <w:keepNext/>
        <w:tabs>
          <w:tab w:val="clear" w:pos="567"/>
        </w:tabs>
        <w:spacing w:line="240" w:lineRule="auto"/>
        <w:rPr>
          <w:szCs w:val="22"/>
          <w:lang w:val="cs-CZ"/>
        </w:rPr>
      </w:pPr>
      <w:r w:rsidRPr="00FA5FA8">
        <w:rPr>
          <w:b/>
          <w:bCs/>
          <w:szCs w:val="22"/>
          <w:lang w:val="cs-CZ"/>
        </w:rPr>
        <w:t>7.</w:t>
      </w:r>
      <w:r w:rsidRPr="00FA5FA8">
        <w:rPr>
          <w:b/>
          <w:bCs/>
          <w:szCs w:val="22"/>
          <w:lang w:val="cs-CZ"/>
        </w:rPr>
        <w:tab/>
        <w:t>CÍLOVÝ DRUH ZVÍŘAT</w:t>
      </w:r>
    </w:p>
    <w:p w14:paraId="03353C8B" w14:textId="77777777" w:rsidR="00C114FF" w:rsidRPr="00FA5FA8" w:rsidRDefault="00C114FF" w:rsidP="00A9226B">
      <w:pPr>
        <w:tabs>
          <w:tab w:val="clear" w:pos="567"/>
        </w:tabs>
        <w:spacing w:line="240" w:lineRule="auto"/>
        <w:rPr>
          <w:szCs w:val="22"/>
          <w:lang w:val="cs-CZ"/>
        </w:rPr>
      </w:pPr>
    </w:p>
    <w:p w14:paraId="2C6052C6" w14:textId="66650509" w:rsidR="007E44F4" w:rsidRPr="00FA5FA8" w:rsidRDefault="007E44F4" w:rsidP="007E44F4">
      <w:pPr>
        <w:rPr>
          <w:szCs w:val="22"/>
          <w:lang w:val="cs-CZ"/>
        </w:rPr>
      </w:pPr>
      <w:r w:rsidRPr="00FA5FA8">
        <w:rPr>
          <w:szCs w:val="22"/>
          <w:lang w:val="cs-CZ"/>
        </w:rPr>
        <w:t xml:space="preserve">Psi, kočky, </w:t>
      </w:r>
      <w:r w:rsidR="00E83982" w:rsidRPr="00FA5FA8">
        <w:rPr>
          <w:szCs w:val="22"/>
          <w:lang w:val="cs-CZ"/>
        </w:rPr>
        <w:t xml:space="preserve">králíci, norci, </w:t>
      </w:r>
      <w:r w:rsidRPr="00FA5FA8">
        <w:rPr>
          <w:szCs w:val="22"/>
          <w:lang w:val="cs-CZ"/>
        </w:rPr>
        <w:t>hlodavci, skot, ovce, kozy, prasata</w:t>
      </w:r>
      <w:r w:rsidR="00E83982" w:rsidRPr="00FA5FA8">
        <w:rPr>
          <w:szCs w:val="22"/>
          <w:lang w:val="cs-CZ"/>
        </w:rPr>
        <w:t xml:space="preserve"> a</w:t>
      </w:r>
      <w:r w:rsidRPr="00FA5FA8">
        <w:rPr>
          <w:szCs w:val="22"/>
          <w:lang w:val="cs-CZ"/>
        </w:rPr>
        <w:t xml:space="preserve"> koně</w:t>
      </w:r>
      <w:r w:rsidR="004B5FFF" w:rsidRPr="00FA5FA8">
        <w:rPr>
          <w:szCs w:val="22"/>
          <w:lang w:val="cs-CZ"/>
        </w:rPr>
        <w:t>.</w:t>
      </w:r>
      <w:r w:rsidRPr="00FA5FA8">
        <w:rPr>
          <w:szCs w:val="22"/>
          <w:lang w:val="cs-CZ"/>
        </w:rPr>
        <w:t xml:space="preserve"> </w:t>
      </w:r>
    </w:p>
    <w:p w14:paraId="06544B34" w14:textId="77777777" w:rsidR="00030BA6" w:rsidRPr="00FA5FA8" w:rsidRDefault="00030BA6" w:rsidP="00030BA6">
      <w:pPr>
        <w:tabs>
          <w:tab w:val="clear" w:pos="567"/>
        </w:tabs>
        <w:spacing w:line="240" w:lineRule="auto"/>
        <w:rPr>
          <w:noProof/>
          <w:color w:val="555555"/>
          <w:szCs w:val="22"/>
          <w:lang w:val="cs-CZ"/>
        </w:rPr>
      </w:pPr>
    </w:p>
    <w:p w14:paraId="6AD5C921" w14:textId="79C0F7FC" w:rsidR="00030BA6" w:rsidRPr="00FA5FA8" w:rsidRDefault="00162535" w:rsidP="00030BA6">
      <w:pPr>
        <w:tabs>
          <w:tab w:val="clear" w:pos="567"/>
        </w:tabs>
        <w:spacing w:line="240" w:lineRule="auto"/>
        <w:rPr>
          <w:noProof/>
          <w:szCs w:val="22"/>
          <w:lang w:val="cs-CZ"/>
        </w:rPr>
      </w:pPr>
      <w:r w:rsidRPr="00FA5FA8">
        <w:rPr>
          <w:noProof/>
          <w:color w:val="555555"/>
          <w:szCs w:val="22"/>
          <w:lang w:val="cs-CZ"/>
        </w:rPr>
        <w:drawing>
          <wp:inline distT="0" distB="0" distL="0" distR="0" wp14:anchorId="65FC029D" wp14:editId="1F00B8DF">
            <wp:extent cx="662305"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305" cy="485775"/>
                    </a:xfrm>
                    <a:prstGeom prst="rect">
                      <a:avLst/>
                    </a:prstGeom>
                    <a:noFill/>
                    <a:ln>
                      <a:noFill/>
                    </a:ln>
                  </pic:spPr>
                </pic:pic>
              </a:graphicData>
            </a:graphic>
          </wp:inline>
        </w:drawing>
      </w:r>
      <w:r w:rsidR="00030BA6" w:rsidRPr="00FA5FA8">
        <w:rPr>
          <w:noProof/>
          <w:color w:val="555555"/>
          <w:szCs w:val="22"/>
          <w:lang w:val="cs-CZ"/>
        </w:rPr>
        <w:t xml:space="preserve"> </w:t>
      </w:r>
      <w:r w:rsidRPr="00FA5FA8">
        <w:rPr>
          <w:noProof/>
          <w:color w:val="555555"/>
          <w:szCs w:val="22"/>
          <w:lang w:val="cs-CZ"/>
        </w:rPr>
        <w:drawing>
          <wp:inline distT="0" distB="0" distL="0" distR="0" wp14:anchorId="0FFD31BB" wp14:editId="6CD3EB8F">
            <wp:extent cx="371475"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00030BA6" w:rsidRPr="00FA5FA8">
        <w:rPr>
          <w:noProof/>
          <w:szCs w:val="22"/>
          <w:lang w:val="cs-CZ"/>
        </w:rPr>
        <w:t xml:space="preserve"> </w:t>
      </w:r>
      <w:r w:rsidRPr="00FA5FA8">
        <w:rPr>
          <w:noProof/>
          <w:color w:val="555555"/>
          <w:szCs w:val="22"/>
          <w:lang w:val="cs-CZ"/>
        </w:rPr>
        <w:drawing>
          <wp:inline distT="0" distB="0" distL="0" distR="0" wp14:anchorId="7F698D99" wp14:editId="49204E0E">
            <wp:extent cx="4191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sidR="00030BA6" w:rsidRPr="00FA5FA8">
        <w:rPr>
          <w:noProof/>
          <w:szCs w:val="22"/>
          <w:lang w:val="cs-CZ"/>
        </w:rPr>
        <w:t xml:space="preserve"> </w:t>
      </w:r>
      <w:r w:rsidRPr="00FA5FA8">
        <w:rPr>
          <w:noProof/>
          <w:szCs w:val="22"/>
          <w:lang w:val="cs-CZ"/>
        </w:rPr>
        <w:drawing>
          <wp:inline distT="0" distB="0" distL="0" distR="0" wp14:anchorId="0F6A2F68" wp14:editId="7426CEC5">
            <wp:extent cx="5715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r="5220" b="3030"/>
                    <a:stretch>
                      <a:fillRect/>
                    </a:stretch>
                  </pic:blipFill>
                  <pic:spPr bwMode="auto">
                    <a:xfrm>
                      <a:off x="0" y="0"/>
                      <a:ext cx="571500" cy="304800"/>
                    </a:xfrm>
                    <a:prstGeom prst="rect">
                      <a:avLst/>
                    </a:prstGeom>
                    <a:noFill/>
                    <a:ln>
                      <a:noFill/>
                    </a:ln>
                  </pic:spPr>
                </pic:pic>
              </a:graphicData>
            </a:graphic>
          </wp:inline>
        </w:drawing>
      </w:r>
      <w:r w:rsidRPr="00FA5FA8">
        <w:rPr>
          <w:noProof/>
          <w:szCs w:val="22"/>
          <w:lang w:val="cs-CZ"/>
        </w:rPr>
        <w:drawing>
          <wp:inline distT="0" distB="0" distL="0" distR="0" wp14:anchorId="77A94FF7" wp14:editId="6913C9F3">
            <wp:extent cx="633730" cy="266700"/>
            <wp:effectExtent l="0" t="0" r="0" b="0"/>
            <wp:docPr id="5" name="irc_mi" descr="http://www.inspectallservices.com/sites/inspectallservicescom/exceptions/stylesheets/images/icon-roden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spectallservices.com/sites/inspectallservicescom/exceptions/stylesheets/images/icon-rodent@2x.png"/>
                    <pic:cNvPicPr>
                      <a:picLocks noChangeAspect="1" noChangeArrowheads="1"/>
                    </pic:cNvPicPr>
                  </pic:nvPicPr>
                  <pic:blipFill>
                    <a:blip r:embed="rId12" cstate="print">
                      <a:extLst>
                        <a:ext uri="{28A0092B-C50C-407E-A947-70E740481C1C}">
                          <a14:useLocalDpi xmlns:a14="http://schemas.microsoft.com/office/drawing/2010/main" val="0"/>
                        </a:ext>
                      </a:extLst>
                    </a:blip>
                    <a:srcRect r="-21054" b="9677"/>
                    <a:stretch>
                      <a:fillRect/>
                    </a:stretch>
                  </pic:blipFill>
                  <pic:spPr bwMode="auto">
                    <a:xfrm>
                      <a:off x="0" y="0"/>
                      <a:ext cx="633730" cy="266700"/>
                    </a:xfrm>
                    <a:prstGeom prst="rect">
                      <a:avLst/>
                    </a:prstGeom>
                    <a:noFill/>
                    <a:ln>
                      <a:noFill/>
                    </a:ln>
                  </pic:spPr>
                </pic:pic>
              </a:graphicData>
            </a:graphic>
          </wp:inline>
        </w:drawing>
      </w:r>
    </w:p>
    <w:p w14:paraId="2691DC85" w14:textId="37070A4C" w:rsidR="00030BA6" w:rsidRPr="00FA5FA8" w:rsidRDefault="00162535" w:rsidP="00030BA6">
      <w:pPr>
        <w:tabs>
          <w:tab w:val="clear" w:pos="567"/>
        </w:tabs>
        <w:spacing w:line="240" w:lineRule="auto"/>
        <w:rPr>
          <w:noProof/>
          <w:szCs w:val="22"/>
          <w:lang w:val="cs-CZ"/>
        </w:rPr>
      </w:pPr>
      <w:r w:rsidRPr="00FA5FA8">
        <w:rPr>
          <w:noProof/>
          <w:color w:val="555555"/>
          <w:szCs w:val="22"/>
          <w:lang w:val="cs-CZ"/>
        </w:rPr>
        <w:drawing>
          <wp:inline distT="0" distB="0" distL="0" distR="0" wp14:anchorId="356DB6DC" wp14:editId="723A060D">
            <wp:extent cx="914400" cy="595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595630"/>
                    </a:xfrm>
                    <a:prstGeom prst="rect">
                      <a:avLst/>
                    </a:prstGeom>
                    <a:noFill/>
                    <a:ln>
                      <a:noFill/>
                    </a:ln>
                  </pic:spPr>
                </pic:pic>
              </a:graphicData>
            </a:graphic>
          </wp:inline>
        </w:drawing>
      </w:r>
      <w:r w:rsidR="00030BA6" w:rsidRPr="00FA5FA8">
        <w:rPr>
          <w:noProof/>
          <w:szCs w:val="22"/>
          <w:lang w:val="cs-CZ"/>
        </w:rPr>
        <w:t xml:space="preserve"> </w:t>
      </w:r>
      <w:r w:rsidRPr="00FA5FA8">
        <w:rPr>
          <w:noProof/>
          <w:color w:val="555555"/>
          <w:szCs w:val="22"/>
          <w:lang w:val="cs-CZ"/>
        </w:rPr>
        <w:drawing>
          <wp:inline distT="0" distB="0" distL="0" distR="0" wp14:anchorId="4D0CE0C6" wp14:editId="623C81EF">
            <wp:extent cx="63373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730" cy="457200"/>
                    </a:xfrm>
                    <a:prstGeom prst="rect">
                      <a:avLst/>
                    </a:prstGeom>
                    <a:noFill/>
                    <a:ln>
                      <a:noFill/>
                    </a:ln>
                  </pic:spPr>
                </pic:pic>
              </a:graphicData>
            </a:graphic>
          </wp:inline>
        </w:drawing>
      </w:r>
      <w:r w:rsidR="00030BA6" w:rsidRPr="00FA5FA8">
        <w:rPr>
          <w:noProof/>
          <w:szCs w:val="22"/>
          <w:lang w:val="cs-CZ"/>
        </w:rPr>
        <w:t xml:space="preserve"> </w:t>
      </w:r>
      <w:r w:rsidRPr="00FA5FA8">
        <w:rPr>
          <w:noProof/>
          <w:color w:val="555555"/>
          <w:szCs w:val="22"/>
          <w:lang w:val="cs-CZ"/>
        </w:rPr>
        <w:drawing>
          <wp:inline distT="0" distB="0" distL="0" distR="0" wp14:anchorId="0217F762" wp14:editId="147F4998">
            <wp:extent cx="662305" cy="504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2305" cy="504825"/>
                    </a:xfrm>
                    <a:prstGeom prst="rect">
                      <a:avLst/>
                    </a:prstGeom>
                    <a:noFill/>
                    <a:ln>
                      <a:noFill/>
                    </a:ln>
                  </pic:spPr>
                </pic:pic>
              </a:graphicData>
            </a:graphic>
          </wp:inline>
        </w:drawing>
      </w:r>
      <w:r w:rsidR="00030BA6" w:rsidRPr="00FA5FA8">
        <w:rPr>
          <w:noProof/>
          <w:szCs w:val="22"/>
          <w:lang w:val="cs-CZ"/>
        </w:rPr>
        <w:t xml:space="preserve"> </w:t>
      </w:r>
      <w:r w:rsidRPr="00FA5FA8">
        <w:rPr>
          <w:noProof/>
          <w:color w:val="555555"/>
          <w:szCs w:val="22"/>
          <w:lang w:val="cs-CZ"/>
        </w:rPr>
        <w:drawing>
          <wp:inline distT="0" distB="0" distL="0" distR="0" wp14:anchorId="6C7A09D8" wp14:editId="42B61869">
            <wp:extent cx="838200" cy="471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471805"/>
                    </a:xfrm>
                    <a:prstGeom prst="rect">
                      <a:avLst/>
                    </a:prstGeom>
                    <a:noFill/>
                    <a:ln>
                      <a:noFill/>
                    </a:ln>
                  </pic:spPr>
                </pic:pic>
              </a:graphicData>
            </a:graphic>
          </wp:inline>
        </w:drawing>
      </w:r>
      <w:r w:rsidR="00030BA6" w:rsidRPr="00FA5FA8">
        <w:rPr>
          <w:noProof/>
          <w:szCs w:val="22"/>
          <w:lang w:val="cs-CZ"/>
        </w:rPr>
        <w:t xml:space="preserve"> </w:t>
      </w:r>
      <w:r w:rsidRPr="00FA5FA8">
        <w:rPr>
          <w:noProof/>
          <w:szCs w:val="22"/>
          <w:lang w:val="cs-CZ"/>
        </w:rPr>
        <w:drawing>
          <wp:inline distT="0" distB="0" distL="0" distR="0" wp14:anchorId="20D899DC" wp14:editId="1A0E6B3C">
            <wp:extent cx="942975" cy="72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723900"/>
                    </a:xfrm>
                    <a:prstGeom prst="rect">
                      <a:avLst/>
                    </a:prstGeom>
                    <a:noFill/>
                    <a:ln>
                      <a:noFill/>
                    </a:ln>
                  </pic:spPr>
                </pic:pic>
              </a:graphicData>
            </a:graphic>
          </wp:inline>
        </w:drawing>
      </w:r>
    </w:p>
    <w:p w14:paraId="44C59296" w14:textId="77777777" w:rsidR="00030BA6" w:rsidRPr="00FA5FA8" w:rsidRDefault="00030BA6" w:rsidP="007E44F4">
      <w:pPr>
        <w:rPr>
          <w:szCs w:val="22"/>
          <w:lang w:val="cs-CZ"/>
        </w:rPr>
      </w:pPr>
    </w:p>
    <w:p w14:paraId="01AF3944" w14:textId="77777777" w:rsidR="00C114FF" w:rsidRPr="00FA5FA8" w:rsidRDefault="00C114FF" w:rsidP="00A4313D">
      <w:pPr>
        <w:keepNext/>
        <w:tabs>
          <w:tab w:val="clear" w:pos="567"/>
        </w:tabs>
        <w:spacing w:line="240" w:lineRule="auto"/>
        <w:rPr>
          <w:b/>
          <w:szCs w:val="22"/>
          <w:lang w:val="cs-CZ"/>
        </w:rPr>
      </w:pPr>
      <w:r w:rsidRPr="00FA5FA8">
        <w:rPr>
          <w:b/>
          <w:bCs/>
          <w:szCs w:val="22"/>
          <w:lang w:val="cs-CZ"/>
        </w:rPr>
        <w:t>8.</w:t>
      </w:r>
      <w:r w:rsidRPr="00FA5FA8">
        <w:rPr>
          <w:b/>
          <w:bCs/>
          <w:szCs w:val="22"/>
          <w:lang w:val="cs-CZ"/>
        </w:rPr>
        <w:tab/>
        <w:t>DÁVKOVÁNÍ PRO KAŽDÝ DRUH, CESTA(Y) A ZPŮSOB PODÁNÍ</w:t>
      </w:r>
    </w:p>
    <w:p w14:paraId="3A34A58B" w14:textId="77777777" w:rsidR="00C7583C" w:rsidRPr="00FA5FA8" w:rsidRDefault="00C7583C" w:rsidP="00A4313D">
      <w:pPr>
        <w:keepNext/>
        <w:tabs>
          <w:tab w:val="clear" w:pos="567"/>
        </w:tabs>
        <w:spacing w:line="240" w:lineRule="auto"/>
        <w:rPr>
          <w:szCs w:val="22"/>
          <w:lang w:val="cs-CZ"/>
        </w:rPr>
      </w:pPr>
    </w:p>
    <w:p w14:paraId="10BF960D" w14:textId="77777777" w:rsidR="007E44F4" w:rsidRPr="00FA5FA8" w:rsidRDefault="007E44F4" w:rsidP="00FA5FA8">
      <w:pPr>
        <w:keepNext/>
        <w:tabs>
          <w:tab w:val="clear" w:pos="567"/>
        </w:tabs>
        <w:spacing w:line="240" w:lineRule="auto"/>
        <w:jc w:val="both"/>
        <w:rPr>
          <w:szCs w:val="22"/>
          <w:lang w:val="cs-CZ"/>
        </w:rPr>
      </w:pPr>
      <w:r w:rsidRPr="00FA5FA8">
        <w:rPr>
          <w:szCs w:val="22"/>
          <w:lang w:val="cs-CZ"/>
        </w:rPr>
        <w:t xml:space="preserve">Dávka pentobarbitalu sodného v množství 140 mg na kg </w:t>
      </w:r>
      <w:r w:rsidR="00E83982" w:rsidRPr="00F7530C">
        <w:rPr>
          <w:szCs w:val="22"/>
          <w:lang w:val="cs-CZ"/>
        </w:rPr>
        <w:t xml:space="preserve">živé </w:t>
      </w:r>
      <w:r w:rsidR="00A83B88" w:rsidRPr="00FA5FA8">
        <w:rPr>
          <w:szCs w:val="22"/>
          <w:lang w:val="cs-CZ"/>
        </w:rPr>
        <w:t>hmotnosti, což odpovídá 0,28 </w:t>
      </w:r>
      <w:r w:rsidRPr="00FA5FA8">
        <w:rPr>
          <w:szCs w:val="22"/>
          <w:lang w:val="cs-CZ"/>
        </w:rPr>
        <w:t>ml</w:t>
      </w:r>
      <w:r w:rsidR="00D83ED7" w:rsidRPr="00FA5FA8">
        <w:rPr>
          <w:szCs w:val="22"/>
          <w:lang w:val="cs-CZ"/>
        </w:rPr>
        <w:t xml:space="preserve"> přípravku</w:t>
      </w:r>
      <w:r w:rsidRPr="00FA5FA8">
        <w:rPr>
          <w:szCs w:val="22"/>
          <w:lang w:val="cs-CZ"/>
        </w:rPr>
        <w:t>/kg</w:t>
      </w:r>
      <w:r w:rsidR="00D83ED7" w:rsidRPr="00FA5FA8">
        <w:rPr>
          <w:szCs w:val="22"/>
          <w:lang w:val="cs-CZ"/>
        </w:rPr>
        <w:t xml:space="preserve"> ž.hm.</w:t>
      </w:r>
      <w:r w:rsidRPr="00FA5FA8">
        <w:rPr>
          <w:szCs w:val="22"/>
          <w:lang w:val="cs-CZ"/>
        </w:rPr>
        <w:t xml:space="preserve">, je obecně považována za postačující pro všechny uvedené </w:t>
      </w:r>
      <w:r w:rsidR="00E83982" w:rsidRPr="00F7530C">
        <w:rPr>
          <w:szCs w:val="22"/>
          <w:lang w:val="cs-CZ"/>
        </w:rPr>
        <w:t>cesty podání</w:t>
      </w:r>
      <w:r w:rsidRPr="00FA5FA8">
        <w:rPr>
          <w:szCs w:val="22"/>
          <w:lang w:val="cs-CZ"/>
        </w:rPr>
        <w:t xml:space="preserve">. </w:t>
      </w:r>
    </w:p>
    <w:p w14:paraId="20EC1EF5" w14:textId="0A33D71C" w:rsidR="00223907" w:rsidRPr="00FA5FA8" w:rsidRDefault="00223907" w:rsidP="00FA5FA8">
      <w:pPr>
        <w:jc w:val="both"/>
        <w:rPr>
          <w:szCs w:val="22"/>
          <w:lang w:val="cs-CZ"/>
        </w:rPr>
      </w:pPr>
      <w:r w:rsidRPr="00FA5FA8">
        <w:rPr>
          <w:szCs w:val="22"/>
          <w:lang w:val="cs-CZ"/>
        </w:rPr>
        <w:t xml:space="preserve">U malých zvířat mohou být použity vyšší dávky, a to zejména při intraperitoneálním podání. </w:t>
      </w:r>
    </w:p>
    <w:p w14:paraId="1D6C5341" w14:textId="77777777" w:rsidR="007E44F4" w:rsidRPr="00FA5FA8" w:rsidRDefault="007E44F4" w:rsidP="00FA5FA8">
      <w:pPr>
        <w:tabs>
          <w:tab w:val="clear" w:pos="567"/>
        </w:tabs>
        <w:spacing w:line="240" w:lineRule="auto"/>
        <w:rPr>
          <w:szCs w:val="22"/>
          <w:lang w:val="cs-CZ"/>
        </w:rPr>
      </w:pPr>
    </w:p>
    <w:p w14:paraId="5FC2AB92" w14:textId="18BA0D48" w:rsidR="00223907" w:rsidRPr="00FA5FA8" w:rsidRDefault="00223907" w:rsidP="00223907">
      <w:pPr>
        <w:rPr>
          <w:szCs w:val="22"/>
          <w:lang w:val="cs-CZ"/>
        </w:rPr>
      </w:pPr>
      <w:r w:rsidRPr="00FA5FA8">
        <w:rPr>
          <w:szCs w:val="22"/>
          <w:lang w:val="cs-CZ"/>
        </w:rPr>
        <w:t xml:space="preserve">Intravenózní podání by mělo být cestou volby, a pokud to veterinární lékař považuje za nutné, měla by být provedena přiměřená </w:t>
      </w:r>
      <w:proofErr w:type="spellStart"/>
      <w:r w:rsidRPr="00FA5FA8">
        <w:rPr>
          <w:szCs w:val="22"/>
          <w:lang w:val="cs-CZ"/>
        </w:rPr>
        <w:t>sedace</w:t>
      </w:r>
      <w:proofErr w:type="spellEnd"/>
      <w:r w:rsidRPr="00FA5FA8">
        <w:rPr>
          <w:szCs w:val="22"/>
          <w:lang w:val="cs-CZ"/>
        </w:rPr>
        <w:t>. U koní,</w:t>
      </w:r>
      <w:r w:rsidR="00187B82">
        <w:rPr>
          <w:szCs w:val="22"/>
          <w:lang w:val="cs-CZ"/>
        </w:rPr>
        <w:t xml:space="preserve"> </w:t>
      </w:r>
      <w:r w:rsidRPr="00FA5FA8">
        <w:rPr>
          <w:szCs w:val="22"/>
          <w:lang w:val="cs-CZ"/>
        </w:rPr>
        <w:t xml:space="preserve">skotu a prasat je nutná premedikace. </w:t>
      </w:r>
    </w:p>
    <w:p w14:paraId="4A3CDA67" w14:textId="77777777" w:rsidR="00223907" w:rsidRPr="00FA5FA8" w:rsidRDefault="00223907" w:rsidP="00223907">
      <w:pPr>
        <w:rPr>
          <w:szCs w:val="22"/>
          <w:lang w:val="cs-CZ"/>
        </w:rPr>
      </w:pPr>
      <w:r w:rsidRPr="00FA5FA8">
        <w:rPr>
          <w:szCs w:val="22"/>
          <w:lang w:val="cs-CZ"/>
        </w:rPr>
        <w:t>Pokud je intravenózní podání obtížné a pouze po hluboké sedaci nebo anestézii, může být přípravek alternativně podán intrakardiální cestou u všech druhů kromě skotu a koní.</w:t>
      </w:r>
    </w:p>
    <w:p w14:paraId="1B937D82" w14:textId="77777777" w:rsidR="00223907" w:rsidRPr="00FA5FA8" w:rsidRDefault="00223907" w:rsidP="00223907">
      <w:pPr>
        <w:rPr>
          <w:szCs w:val="22"/>
          <w:lang w:val="cs-CZ"/>
        </w:rPr>
      </w:pPr>
      <w:r w:rsidRPr="00FA5FA8">
        <w:rPr>
          <w:szCs w:val="22"/>
          <w:lang w:val="cs-CZ"/>
        </w:rPr>
        <w:t>Pouze u malých zvířat lze alternativně použít intraperitoneální podání, ale pouze po vhodné sedaci.</w:t>
      </w:r>
    </w:p>
    <w:p w14:paraId="0442A0C6" w14:textId="77777777" w:rsidR="00223907" w:rsidRPr="00FA5FA8" w:rsidRDefault="00223907" w:rsidP="00223907">
      <w:pPr>
        <w:rPr>
          <w:szCs w:val="22"/>
          <w:lang w:val="cs-CZ"/>
        </w:rPr>
      </w:pPr>
    </w:p>
    <w:p w14:paraId="0B1E766B" w14:textId="77777777" w:rsidR="00223907" w:rsidRPr="00FA5FA8" w:rsidRDefault="00223907" w:rsidP="00223907">
      <w:pPr>
        <w:rPr>
          <w:szCs w:val="22"/>
          <w:lang w:val="cs-CZ"/>
        </w:rPr>
      </w:pPr>
      <w:r w:rsidRPr="00FA5FA8">
        <w:rPr>
          <w:szCs w:val="22"/>
          <w:lang w:val="cs-CZ"/>
        </w:rPr>
        <w:t>Je třeba pečlivě dodržovat různé způsoby podávání u každého živočišného druhu (viz schéma).</w:t>
      </w:r>
    </w:p>
    <w:p w14:paraId="2AB199F9" w14:textId="77777777" w:rsidR="00223907" w:rsidRPr="00FA5FA8" w:rsidRDefault="00223907" w:rsidP="00223907">
      <w:pPr>
        <w:rPr>
          <w:szCs w:val="22"/>
          <w:lang w:val="cs-CZ"/>
        </w:rPr>
      </w:pPr>
    </w:p>
    <w:p w14:paraId="7A6CBAA6" w14:textId="77777777" w:rsidR="00223907" w:rsidRPr="00FA5FA8" w:rsidRDefault="00223907" w:rsidP="00223907">
      <w:pPr>
        <w:rPr>
          <w:szCs w:val="22"/>
          <w:lang w:val="cs-CZ"/>
        </w:rPr>
      </w:pPr>
      <w:r w:rsidRPr="00FA5FA8">
        <w:rPr>
          <w:szCs w:val="22"/>
          <w:lang w:val="cs-CZ"/>
        </w:rPr>
        <w:t>Koně, skot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29"/>
      </w:tblGrid>
      <w:tr w:rsidR="00223907" w:rsidRPr="00187B82" w14:paraId="1EE8EB84" w14:textId="77777777" w:rsidTr="008B4B0D">
        <w:trPr>
          <w:trHeight w:val="140"/>
        </w:trPr>
        <w:tc>
          <w:tcPr>
            <w:tcW w:w="4605" w:type="dxa"/>
            <w:shd w:val="clear" w:color="auto" w:fill="auto"/>
          </w:tcPr>
          <w:p w14:paraId="3841604D" w14:textId="016B00BF" w:rsidR="00223907" w:rsidRPr="00FA5FA8" w:rsidRDefault="004B5FFF" w:rsidP="004B5FFF">
            <w:pPr>
              <w:ind w:left="164" w:hanging="142"/>
              <w:rPr>
                <w:szCs w:val="22"/>
                <w:lang w:val="cs-CZ"/>
              </w:rPr>
            </w:pPr>
            <w:r w:rsidRPr="00FA5FA8">
              <w:rPr>
                <w:szCs w:val="22"/>
                <w:lang w:val="cs-CZ"/>
              </w:rPr>
              <w:t>-</w:t>
            </w:r>
            <w:r w:rsidRPr="00FA5FA8">
              <w:rPr>
                <w:szCs w:val="22"/>
                <w:lang w:val="cs-CZ"/>
              </w:rPr>
              <w:tab/>
            </w:r>
            <w:r w:rsidR="00223907" w:rsidRPr="00FA5FA8">
              <w:rPr>
                <w:szCs w:val="22"/>
                <w:lang w:val="cs-CZ"/>
              </w:rPr>
              <w:t>Rychlé intravenózní podání</w:t>
            </w:r>
          </w:p>
        </w:tc>
        <w:tc>
          <w:tcPr>
            <w:tcW w:w="4606" w:type="dxa"/>
            <w:shd w:val="clear" w:color="auto" w:fill="auto"/>
          </w:tcPr>
          <w:p w14:paraId="3F183653" w14:textId="77777777" w:rsidR="00223907" w:rsidRPr="00FA5FA8" w:rsidRDefault="00223907" w:rsidP="008B4B0D">
            <w:pPr>
              <w:rPr>
                <w:szCs w:val="22"/>
                <w:lang w:val="cs-CZ"/>
              </w:rPr>
            </w:pPr>
            <w:r w:rsidRPr="00FA5FA8">
              <w:rPr>
                <w:szCs w:val="22"/>
                <w:lang w:val="cs-CZ"/>
              </w:rPr>
              <w:t>Premedikace je povinná</w:t>
            </w:r>
          </w:p>
        </w:tc>
      </w:tr>
    </w:tbl>
    <w:p w14:paraId="689FE6DD" w14:textId="77777777" w:rsidR="00223907" w:rsidRPr="00FA5FA8" w:rsidRDefault="00223907" w:rsidP="00223907">
      <w:pPr>
        <w:rPr>
          <w:szCs w:val="22"/>
          <w:lang w:val="cs-CZ"/>
        </w:rPr>
      </w:pPr>
    </w:p>
    <w:p w14:paraId="5968AA2A" w14:textId="77777777" w:rsidR="00223907" w:rsidRPr="00FA5FA8" w:rsidRDefault="00223907" w:rsidP="00223907">
      <w:pPr>
        <w:rPr>
          <w:szCs w:val="22"/>
          <w:lang w:val="cs-CZ"/>
        </w:rPr>
      </w:pPr>
      <w:r w:rsidRPr="00FA5FA8">
        <w:rPr>
          <w:szCs w:val="22"/>
          <w:lang w:val="cs-CZ"/>
        </w:rPr>
        <w:t>Prasata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223907" w:rsidRPr="00187B82" w14:paraId="74D5574F" w14:textId="77777777" w:rsidTr="008B4B0D">
        <w:tc>
          <w:tcPr>
            <w:tcW w:w="4605" w:type="dxa"/>
            <w:shd w:val="clear" w:color="auto" w:fill="auto"/>
          </w:tcPr>
          <w:p w14:paraId="3C7266D2" w14:textId="77777777" w:rsidR="0068275D" w:rsidRPr="00FA5FA8" w:rsidRDefault="0068275D" w:rsidP="0068275D">
            <w:pPr>
              <w:ind w:left="164" w:hanging="164"/>
              <w:rPr>
                <w:szCs w:val="22"/>
                <w:lang w:val="cs-CZ"/>
              </w:rPr>
            </w:pPr>
            <w:r w:rsidRPr="00FA5FA8">
              <w:rPr>
                <w:szCs w:val="22"/>
                <w:lang w:val="cs-CZ"/>
              </w:rPr>
              <w:t>-</w:t>
            </w:r>
            <w:r w:rsidRPr="00FA5FA8">
              <w:rPr>
                <w:szCs w:val="22"/>
                <w:lang w:val="cs-CZ"/>
              </w:rPr>
              <w:tab/>
              <w:t>Rychlé intravenózní podání</w:t>
            </w:r>
          </w:p>
          <w:p w14:paraId="1F54ED18" w14:textId="349C4BEA"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r w:rsidRPr="00FA5FA8">
              <w:rPr>
                <w:szCs w:val="22"/>
                <w:lang w:val="cs-CZ"/>
              </w:rPr>
              <w:t>Způsob podání závisí na věku a hmotnosti jedince a může to být intravenózní podání do vena cava cranialis nebo ušní žíly.</w:t>
            </w:r>
          </w:p>
          <w:p w14:paraId="18187169" w14:textId="6B1911CB"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proofErr w:type="spellStart"/>
            <w:r w:rsidRPr="00FA5FA8">
              <w:rPr>
                <w:szCs w:val="22"/>
                <w:lang w:val="cs-CZ"/>
              </w:rPr>
              <w:t>Intrakardiální</w:t>
            </w:r>
            <w:proofErr w:type="spellEnd"/>
            <w:r w:rsidRPr="00FA5FA8">
              <w:rPr>
                <w:szCs w:val="22"/>
                <w:lang w:val="cs-CZ"/>
              </w:rPr>
              <w:t xml:space="preserve"> podání </w:t>
            </w:r>
          </w:p>
        </w:tc>
        <w:tc>
          <w:tcPr>
            <w:tcW w:w="4606" w:type="dxa"/>
            <w:shd w:val="clear" w:color="auto" w:fill="auto"/>
          </w:tcPr>
          <w:p w14:paraId="7CC38BC1" w14:textId="77777777" w:rsidR="00223907" w:rsidRPr="00FA5FA8" w:rsidRDefault="00223907" w:rsidP="008B4B0D">
            <w:pPr>
              <w:rPr>
                <w:szCs w:val="22"/>
                <w:lang w:val="cs-CZ"/>
              </w:rPr>
            </w:pPr>
            <w:r w:rsidRPr="00FA5FA8">
              <w:rPr>
                <w:szCs w:val="22"/>
                <w:lang w:val="cs-CZ"/>
              </w:rPr>
              <w:t>Premedikace je povinná</w:t>
            </w:r>
          </w:p>
        </w:tc>
      </w:tr>
    </w:tbl>
    <w:p w14:paraId="378356A1" w14:textId="77777777" w:rsidR="00223907" w:rsidRPr="00FA5FA8" w:rsidRDefault="00223907" w:rsidP="00223907">
      <w:pPr>
        <w:rPr>
          <w:szCs w:val="22"/>
          <w:lang w:val="cs-CZ"/>
        </w:rPr>
      </w:pPr>
    </w:p>
    <w:p w14:paraId="449F2BBD" w14:textId="77777777" w:rsidR="00223907" w:rsidRPr="00FA5FA8" w:rsidRDefault="00223907" w:rsidP="00223907">
      <w:pPr>
        <w:rPr>
          <w:szCs w:val="22"/>
          <w:lang w:val="cs-CZ"/>
        </w:rPr>
      </w:pPr>
      <w:r w:rsidRPr="00FA5FA8">
        <w:rPr>
          <w:szCs w:val="22"/>
          <w:lang w:val="cs-CZ"/>
        </w:rPr>
        <w:t xml:space="preserve">Ovce, kozy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528"/>
      </w:tblGrid>
      <w:tr w:rsidR="00223907" w:rsidRPr="005B18B8" w14:paraId="70EDC148" w14:textId="77777777" w:rsidTr="008B4B0D">
        <w:tc>
          <w:tcPr>
            <w:tcW w:w="4605" w:type="dxa"/>
            <w:shd w:val="clear" w:color="auto" w:fill="auto"/>
          </w:tcPr>
          <w:p w14:paraId="295DD5EA" w14:textId="3BCC8505"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r w:rsidRPr="00FA5FA8">
              <w:rPr>
                <w:szCs w:val="22"/>
                <w:lang w:val="cs-CZ"/>
              </w:rPr>
              <w:t>Rychlé intravenózní podání</w:t>
            </w:r>
          </w:p>
          <w:p w14:paraId="0FE44D33" w14:textId="3017D66D"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proofErr w:type="spellStart"/>
            <w:r w:rsidRPr="00FA5FA8">
              <w:rPr>
                <w:szCs w:val="22"/>
                <w:lang w:val="cs-CZ"/>
              </w:rPr>
              <w:t>Intrakardiální</w:t>
            </w:r>
            <w:proofErr w:type="spellEnd"/>
            <w:r w:rsidRPr="00FA5FA8">
              <w:rPr>
                <w:szCs w:val="22"/>
                <w:lang w:val="cs-CZ"/>
              </w:rPr>
              <w:t xml:space="preserve"> podání</w:t>
            </w:r>
          </w:p>
        </w:tc>
        <w:tc>
          <w:tcPr>
            <w:tcW w:w="4606" w:type="dxa"/>
            <w:shd w:val="clear" w:color="auto" w:fill="auto"/>
          </w:tcPr>
          <w:p w14:paraId="4472532D" w14:textId="77777777" w:rsidR="00223907" w:rsidRPr="00FA5FA8" w:rsidRDefault="00223907" w:rsidP="008B4B0D">
            <w:pPr>
              <w:rPr>
                <w:szCs w:val="22"/>
                <w:lang w:val="cs-CZ"/>
              </w:rPr>
            </w:pPr>
            <w:r w:rsidRPr="00FA5FA8">
              <w:rPr>
                <w:szCs w:val="22"/>
                <w:lang w:val="cs-CZ"/>
              </w:rPr>
              <w:t>Při použití intrakardiální cesty je premedikace povinná.</w:t>
            </w:r>
          </w:p>
        </w:tc>
      </w:tr>
    </w:tbl>
    <w:p w14:paraId="6C1CE27C" w14:textId="77777777" w:rsidR="00223907" w:rsidRPr="00FA5FA8" w:rsidRDefault="00223907" w:rsidP="00223907">
      <w:pPr>
        <w:rPr>
          <w:szCs w:val="22"/>
          <w:lang w:val="cs-CZ"/>
        </w:rPr>
      </w:pPr>
    </w:p>
    <w:p w14:paraId="2B29AEA7" w14:textId="77777777" w:rsidR="00223907" w:rsidRPr="00FA5FA8" w:rsidRDefault="00223907" w:rsidP="00FA5FA8">
      <w:pPr>
        <w:keepNext/>
        <w:rPr>
          <w:szCs w:val="22"/>
          <w:lang w:val="cs-CZ"/>
        </w:rPr>
      </w:pPr>
      <w:r w:rsidRPr="00FA5FA8">
        <w:rPr>
          <w:szCs w:val="22"/>
          <w:lang w:val="cs-CZ"/>
        </w:rPr>
        <w:lastRenderedPageBreak/>
        <w:t>Psi, kočky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223907" w:rsidRPr="005B18B8" w14:paraId="6D21C727" w14:textId="77777777" w:rsidTr="008B4B0D">
        <w:tc>
          <w:tcPr>
            <w:tcW w:w="4605" w:type="dxa"/>
            <w:shd w:val="clear" w:color="auto" w:fill="auto"/>
          </w:tcPr>
          <w:p w14:paraId="791DFD07" w14:textId="1D89E3A0"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r w:rsidRPr="00FA5FA8">
              <w:rPr>
                <w:szCs w:val="22"/>
                <w:lang w:val="cs-CZ"/>
              </w:rPr>
              <w:t>Intravenózní podání s kontinuální rychlostí podání, dokud není dosaženo stavu bezvědomí.</w:t>
            </w:r>
          </w:p>
          <w:p w14:paraId="0E80F6DF" w14:textId="4DEE244D"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proofErr w:type="spellStart"/>
            <w:r w:rsidRPr="00FA5FA8">
              <w:rPr>
                <w:szCs w:val="22"/>
                <w:lang w:val="cs-CZ"/>
              </w:rPr>
              <w:t>Intrakardiální</w:t>
            </w:r>
            <w:proofErr w:type="spellEnd"/>
            <w:r w:rsidRPr="00FA5FA8">
              <w:rPr>
                <w:szCs w:val="22"/>
                <w:lang w:val="cs-CZ"/>
              </w:rPr>
              <w:t xml:space="preserve"> podání</w:t>
            </w:r>
          </w:p>
          <w:p w14:paraId="048B9046" w14:textId="43F37A22"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r w:rsidRPr="00FA5FA8">
              <w:rPr>
                <w:szCs w:val="22"/>
                <w:lang w:val="cs-CZ"/>
              </w:rPr>
              <w:t xml:space="preserve">Intraperitoneální podání </w:t>
            </w:r>
          </w:p>
        </w:tc>
        <w:tc>
          <w:tcPr>
            <w:tcW w:w="4606" w:type="dxa"/>
            <w:shd w:val="clear" w:color="auto" w:fill="auto"/>
          </w:tcPr>
          <w:p w14:paraId="792A76F0" w14:textId="77777777" w:rsidR="00223907" w:rsidRPr="00FA5FA8" w:rsidRDefault="00223907" w:rsidP="008B4B0D">
            <w:pPr>
              <w:rPr>
                <w:szCs w:val="22"/>
                <w:lang w:val="cs-CZ"/>
              </w:rPr>
            </w:pPr>
            <w:r w:rsidRPr="00FA5FA8">
              <w:rPr>
                <w:szCs w:val="22"/>
                <w:lang w:val="cs-CZ"/>
              </w:rPr>
              <w:t>Při použití intrakardiální nebo intraperitoneální cesty je premedikace povinná.</w:t>
            </w:r>
          </w:p>
        </w:tc>
      </w:tr>
    </w:tbl>
    <w:p w14:paraId="43E207A6" w14:textId="77777777" w:rsidR="00223907" w:rsidRPr="00FA5FA8" w:rsidRDefault="00223907" w:rsidP="00223907">
      <w:pPr>
        <w:rPr>
          <w:szCs w:val="22"/>
          <w:lang w:val="cs-CZ"/>
        </w:rPr>
      </w:pPr>
    </w:p>
    <w:p w14:paraId="514C351C" w14:textId="77777777" w:rsidR="00223907" w:rsidRPr="00FA5FA8" w:rsidRDefault="00223907" w:rsidP="00223907">
      <w:pPr>
        <w:rPr>
          <w:szCs w:val="22"/>
          <w:lang w:val="cs-CZ"/>
        </w:rPr>
      </w:pPr>
      <w:r w:rsidRPr="00FA5FA8">
        <w:rPr>
          <w:szCs w:val="22"/>
          <w:lang w:val="cs-CZ"/>
        </w:rPr>
        <w:t>Králíci, hlodavci, norci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223907" w:rsidRPr="005B18B8" w14:paraId="70AFA051" w14:textId="77777777" w:rsidTr="008B4B0D">
        <w:trPr>
          <w:trHeight w:val="807"/>
        </w:trPr>
        <w:tc>
          <w:tcPr>
            <w:tcW w:w="4605" w:type="dxa"/>
            <w:shd w:val="clear" w:color="auto" w:fill="auto"/>
          </w:tcPr>
          <w:p w14:paraId="739E49C9" w14:textId="6EA15439"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r w:rsidRPr="00FA5FA8">
              <w:rPr>
                <w:szCs w:val="22"/>
                <w:lang w:val="cs-CZ"/>
              </w:rPr>
              <w:t xml:space="preserve">Intravenózní podání </w:t>
            </w:r>
          </w:p>
          <w:p w14:paraId="1A81A353" w14:textId="3E2901CC"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proofErr w:type="spellStart"/>
            <w:r w:rsidRPr="00FA5FA8">
              <w:rPr>
                <w:szCs w:val="22"/>
                <w:lang w:val="cs-CZ"/>
              </w:rPr>
              <w:t>Intrakardiální</w:t>
            </w:r>
            <w:proofErr w:type="spellEnd"/>
            <w:r w:rsidRPr="00FA5FA8">
              <w:rPr>
                <w:szCs w:val="22"/>
                <w:lang w:val="cs-CZ"/>
              </w:rPr>
              <w:t xml:space="preserve"> podání</w:t>
            </w:r>
          </w:p>
          <w:p w14:paraId="7A637201" w14:textId="4636C8F3" w:rsidR="00223907" w:rsidRPr="00FA5FA8" w:rsidRDefault="00223907" w:rsidP="008B4B0D">
            <w:pPr>
              <w:ind w:left="164" w:hanging="164"/>
              <w:rPr>
                <w:szCs w:val="22"/>
                <w:lang w:val="cs-CZ"/>
              </w:rPr>
            </w:pPr>
            <w:r w:rsidRPr="00FA5FA8">
              <w:rPr>
                <w:szCs w:val="22"/>
                <w:lang w:val="cs-CZ"/>
              </w:rPr>
              <w:t>-</w:t>
            </w:r>
            <w:r w:rsidR="004B5FFF" w:rsidRPr="00FA5FA8">
              <w:rPr>
                <w:szCs w:val="22"/>
                <w:lang w:val="cs-CZ"/>
              </w:rPr>
              <w:tab/>
            </w:r>
            <w:r w:rsidRPr="00FA5FA8">
              <w:rPr>
                <w:szCs w:val="22"/>
                <w:lang w:val="cs-CZ"/>
              </w:rPr>
              <w:t>Intraperitoneální podání</w:t>
            </w:r>
          </w:p>
        </w:tc>
        <w:tc>
          <w:tcPr>
            <w:tcW w:w="4606" w:type="dxa"/>
            <w:shd w:val="clear" w:color="auto" w:fill="auto"/>
          </w:tcPr>
          <w:p w14:paraId="54197BCF" w14:textId="77777777" w:rsidR="00223907" w:rsidRPr="00FA5FA8" w:rsidRDefault="00223907" w:rsidP="008B4B0D">
            <w:pPr>
              <w:rPr>
                <w:szCs w:val="22"/>
                <w:lang w:val="cs-CZ"/>
              </w:rPr>
            </w:pPr>
            <w:r w:rsidRPr="00FA5FA8">
              <w:rPr>
                <w:szCs w:val="22"/>
                <w:lang w:val="cs-CZ"/>
              </w:rPr>
              <w:t>Při použití intrakardiální nebo intraperitoneální cesty je premedikace povinná.</w:t>
            </w:r>
          </w:p>
        </w:tc>
      </w:tr>
    </w:tbl>
    <w:p w14:paraId="1CA647C0" w14:textId="77777777" w:rsidR="00223907" w:rsidRPr="00FA5FA8" w:rsidRDefault="00223907" w:rsidP="00223907">
      <w:pPr>
        <w:rPr>
          <w:szCs w:val="22"/>
          <w:lang w:val="cs-CZ"/>
        </w:rPr>
      </w:pPr>
    </w:p>
    <w:p w14:paraId="0FBE9D39" w14:textId="77777777" w:rsidR="00C114FF" w:rsidRPr="00FA5FA8" w:rsidRDefault="00C114FF" w:rsidP="007E44F4">
      <w:pPr>
        <w:keepNext/>
        <w:tabs>
          <w:tab w:val="clear" w:pos="567"/>
        </w:tabs>
        <w:spacing w:line="240" w:lineRule="auto"/>
        <w:rPr>
          <w:b/>
          <w:szCs w:val="22"/>
          <w:lang w:val="cs-CZ"/>
        </w:rPr>
      </w:pPr>
      <w:r w:rsidRPr="00FA5FA8">
        <w:rPr>
          <w:b/>
          <w:bCs/>
          <w:szCs w:val="22"/>
          <w:lang w:val="cs-CZ"/>
        </w:rPr>
        <w:t>9.</w:t>
      </w:r>
      <w:r w:rsidRPr="00FA5FA8">
        <w:rPr>
          <w:b/>
          <w:bCs/>
          <w:szCs w:val="22"/>
          <w:lang w:val="cs-CZ"/>
        </w:rPr>
        <w:tab/>
        <w:t>POKYNY PRO SPRÁVNÉ PODÁNÍ</w:t>
      </w:r>
    </w:p>
    <w:p w14:paraId="1EA25FB0" w14:textId="77777777" w:rsidR="007E44F4" w:rsidRPr="00FA5FA8" w:rsidRDefault="007E44F4" w:rsidP="007E44F4">
      <w:pPr>
        <w:keepNext/>
        <w:tabs>
          <w:tab w:val="clear" w:pos="567"/>
        </w:tabs>
        <w:spacing w:line="240" w:lineRule="auto"/>
        <w:rPr>
          <w:szCs w:val="22"/>
          <w:lang w:val="cs-CZ"/>
        </w:rPr>
      </w:pPr>
    </w:p>
    <w:p w14:paraId="32C91BB1" w14:textId="77777777" w:rsidR="004B5FFF" w:rsidRPr="00FA5FA8" w:rsidRDefault="004B5FFF" w:rsidP="004B5FFF">
      <w:pPr>
        <w:rPr>
          <w:szCs w:val="22"/>
          <w:lang w:val="cs-CZ"/>
        </w:rPr>
      </w:pPr>
      <w:r w:rsidRPr="00FA5FA8">
        <w:rPr>
          <w:szCs w:val="22"/>
          <w:lang w:val="cs-CZ"/>
        </w:rPr>
        <w:t>Zátku lze propíchnout maximálně 40krát použitím jehly 21G.</w:t>
      </w:r>
    </w:p>
    <w:p w14:paraId="68381C08" w14:textId="77777777" w:rsidR="004B5FFF" w:rsidRPr="00FA5FA8" w:rsidRDefault="004B5FFF" w:rsidP="004B5FFF">
      <w:pPr>
        <w:rPr>
          <w:szCs w:val="22"/>
          <w:lang w:val="cs-CZ"/>
        </w:rPr>
      </w:pPr>
      <w:r w:rsidRPr="00FA5FA8">
        <w:rPr>
          <w:szCs w:val="22"/>
          <w:lang w:val="cs-CZ"/>
        </w:rPr>
        <w:t>Zátku lze propíchnout maximálně 10krát použitím jehly 18G.</w:t>
      </w:r>
    </w:p>
    <w:p w14:paraId="4B984ABA" w14:textId="77777777" w:rsidR="004B5FFF" w:rsidRPr="00FA5FA8" w:rsidRDefault="004B5FFF" w:rsidP="004B5FFF">
      <w:pPr>
        <w:rPr>
          <w:szCs w:val="22"/>
          <w:lang w:val="cs-CZ"/>
        </w:rPr>
      </w:pPr>
      <w:r w:rsidRPr="00FA5FA8">
        <w:rPr>
          <w:szCs w:val="22"/>
          <w:lang w:val="cs-CZ"/>
        </w:rPr>
        <w:t>Uživatel musí proto zvolit injekční lahvičku vhodné velikosti.</w:t>
      </w:r>
    </w:p>
    <w:p w14:paraId="4D2CC9D2" w14:textId="77777777" w:rsidR="00C114FF" w:rsidRPr="00FA5FA8" w:rsidRDefault="00C114FF" w:rsidP="00A9226B">
      <w:pPr>
        <w:tabs>
          <w:tab w:val="clear" w:pos="567"/>
        </w:tabs>
        <w:spacing w:line="240" w:lineRule="auto"/>
        <w:rPr>
          <w:szCs w:val="22"/>
          <w:lang w:val="cs-CZ"/>
        </w:rPr>
      </w:pPr>
    </w:p>
    <w:p w14:paraId="4A476EBB" w14:textId="2F225F82" w:rsidR="00C114FF" w:rsidRPr="00FA5FA8" w:rsidRDefault="00C114FF" w:rsidP="00A4313D">
      <w:pPr>
        <w:keepNext/>
        <w:tabs>
          <w:tab w:val="clear" w:pos="567"/>
        </w:tabs>
        <w:spacing w:line="240" w:lineRule="auto"/>
        <w:rPr>
          <w:szCs w:val="22"/>
          <w:lang w:val="cs-CZ"/>
        </w:rPr>
      </w:pPr>
      <w:r w:rsidRPr="00FA5FA8">
        <w:rPr>
          <w:b/>
          <w:bCs/>
          <w:szCs w:val="22"/>
          <w:lang w:val="cs-CZ"/>
        </w:rPr>
        <w:t>10.</w:t>
      </w:r>
      <w:r w:rsidRPr="00FA5FA8">
        <w:rPr>
          <w:b/>
          <w:bCs/>
          <w:szCs w:val="22"/>
          <w:lang w:val="cs-CZ"/>
        </w:rPr>
        <w:tab/>
        <w:t xml:space="preserve">OCHRANNÁ(É) LHŮTA(Y) </w:t>
      </w:r>
    </w:p>
    <w:p w14:paraId="316FD5EC" w14:textId="77777777" w:rsidR="00995F00" w:rsidRPr="00FA5FA8" w:rsidRDefault="00995F00" w:rsidP="00A9226B">
      <w:pPr>
        <w:tabs>
          <w:tab w:val="clear" w:pos="567"/>
        </w:tabs>
        <w:spacing w:line="240" w:lineRule="auto"/>
        <w:rPr>
          <w:szCs w:val="22"/>
          <w:lang w:val="cs-CZ"/>
        </w:rPr>
      </w:pPr>
    </w:p>
    <w:p w14:paraId="2A6E9E58" w14:textId="6D383AAC" w:rsidR="00C114FF" w:rsidRPr="00FA5FA8" w:rsidRDefault="007E44F4" w:rsidP="00A9226B">
      <w:pPr>
        <w:tabs>
          <w:tab w:val="clear" w:pos="567"/>
        </w:tabs>
        <w:spacing w:line="240" w:lineRule="auto"/>
        <w:rPr>
          <w:szCs w:val="22"/>
          <w:lang w:val="cs-CZ"/>
        </w:rPr>
      </w:pPr>
      <w:r w:rsidRPr="00FA5FA8">
        <w:rPr>
          <w:szCs w:val="22"/>
          <w:lang w:val="cs-CZ"/>
        </w:rPr>
        <w:t>Je třeba učinit patřičná opatření, aby těla a vedlejší živočišné produkty utracených zvířat, kterým byl podán tento přípravek, nevstoupily do potravinového řetězce a nebyly použity k lid</w:t>
      </w:r>
      <w:r w:rsidR="00281B7C" w:rsidRPr="00FA5FA8">
        <w:rPr>
          <w:szCs w:val="22"/>
          <w:lang w:val="cs-CZ"/>
        </w:rPr>
        <w:t xml:space="preserve">ské spotřebě </w:t>
      </w:r>
      <w:r w:rsidRPr="00FA5FA8">
        <w:rPr>
          <w:szCs w:val="22"/>
          <w:lang w:val="cs-CZ"/>
        </w:rPr>
        <w:t>nebo</w:t>
      </w:r>
      <w:r w:rsidR="00281B7C" w:rsidRPr="00FA5FA8">
        <w:rPr>
          <w:szCs w:val="22"/>
          <w:lang w:val="cs-CZ"/>
        </w:rPr>
        <w:t xml:space="preserve"> ke krmným účelům u</w:t>
      </w:r>
      <w:r w:rsidRPr="00FA5FA8">
        <w:rPr>
          <w:szCs w:val="22"/>
          <w:lang w:val="cs-CZ"/>
        </w:rPr>
        <w:t xml:space="preserve"> zvířat.</w:t>
      </w:r>
    </w:p>
    <w:p w14:paraId="70BD671D" w14:textId="77777777" w:rsidR="007E44F4" w:rsidRPr="00FA5FA8" w:rsidRDefault="007E44F4" w:rsidP="00A9226B">
      <w:pPr>
        <w:tabs>
          <w:tab w:val="clear" w:pos="567"/>
        </w:tabs>
        <w:spacing w:line="240" w:lineRule="auto"/>
        <w:rPr>
          <w:iCs/>
          <w:szCs w:val="22"/>
          <w:lang w:val="cs-CZ"/>
        </w:rPr>
      </w:pPr>
    </w:p>
    <w:p w14:paraId="2D29B8E0" w14:textId="77777777" w:rsidR="00C114FF" w:rsidRPr="00FA5FA8" w:rsidRDefault="00C114FF" w:rsidP="00A4313D">
      <w:pPr>
        <w:keepNext/>
        <w:tabs>
          <w:tab w:val="clear" w:pos="567"/>
        </w:tabs>
        <w:spacing w:line="240" w:lineRule="auto"/>
        <w:rPr>
          <w:szCs w:val="22"/>
          <w:lang w:val="cs-CZ"/>
        </w:rPr>
      </w:pPr>
      <w:r w:rsidRPr="00FA5FA8">
        <w:rPr>
          <w:b/>
          <w:bCs/>
          <w:szCs w:val="22"/>
          <w:lang w:val="cs-CZ"/>
        </w:rPr>
        <w:t>11.</w:t>
      </w:r>
      <w:r w:rsidRPr="00FA5FA8">
        <w:rPr>
          <w:b/>
          <w:bCs/>
          <w:szCs w:val="22"/>
          <w:lang w:val="cs-CZ"/>
        </w:rPr>
        <w:tab/>
        <w:t>ZVLÁŠTNÍ OPATŘENÍ PRO UCHOVÁVÁNÍ</w:t>
      </w:r>
    </w:p>
    <w:p w14:paraId="34A62E3C" w14:textId="77777777" w:rsidR="00C114FF" w:rsidRPr="00FA5FA8" w:rsidRDefault="00C114FF" w:rsidP="00A9226B">
      <w:pPr>
        <w:numPr>
          <w:ilvl w:val="12"/>
          <w:numId w:val="0"/>
        </w:numPr>
        <w:tabs>
          <w:tab w:val="clear" w:pos="567"/>
        </w:tabs>
        <w:spacing w:line="240" w:lineRule="auto"/>
        <w:rPr>
          <w:szCs w:val="22"/>
          <w:lang w:val="cs-CZ"/>
        </w:rPr>
      </w:pPr>
    </w:p>
    <w:p w14:paraId="66488ADD" w14:textId="77777777" w:rsidR="00C114FF" w:rsidRPr="00FA5FA8" w:rsidRDefault="00C114FF" w:rsidP="00A9226B">
      <w:pPr>
        <w:numPr>
          <w:ilvl w:val="12"/>
          <w:numId w:val="0"/>
        </w:numPr>
        <w:tabs>
          <w:tab w:val="clear" w:pos="567"/>
        </w:tabs>
        <w:spacing w:line="240" w:lineRule="auto"/>
        <w:rPr>
          <w:szCs w:val="22"/>
          <w:lang w:val="cs-CZ"/>
        </w:rPr>
      </w:pPr>
      <w:r w:rsidRPr="00FA5FA8">
        <w:rPr>
          <w:szCs w:val="22"/>
          <w:lang w:val="cs-CZ"/>
        </w:rPr>
        <w:t>Uchovávat mimo dohled a dosah dětí.</w:t>
      </w:r>
    </w:p>
    <w:p w14:paraId="08041CAD" w14:textId="77777777" w:rsidR="006155BF" w:rsidRPr="00FA5FA8" w:rsidRDefault="006155BF" w:rsidP="00C7583C">
      <w:pPr>
        <w:pStyle w:val="BODY"/>
        <w:rPr>
          <w:szCs w:val="22"/>
          <w:lang w:val="cs-CZ"/>
        </w:rPr>
      </w:pPr>
      <w:r w:rsidRPr="00FA5FA8">
        <w:rPr>
          <w:szCs w:val="22"/>
          <w:lang w:val="cs-CZ"/>
        </w:rPr>
        <w:t>Tento veterinární léčivý přípravek nevyžaduje žádné zvláštní podmínky uchovávání.</w:t>
      </w:r>
    </w:p>
    <w:p w14:paraId="7C4270BC" w14:textId="407C78F9" w:rsidR="00187B82" w:rsidRDefault="0043320A" w:rsidP="00995F00">
      <w:pPr>
        <w:pStyle w:val="BODY"/>
        <w:rPr>
          <w:szCs w:val="22"/>
          <w:lang w:val="cs-CZ"/>
        </w:rPr>
      </w:pPr>
      <w:r w:rsidRPr="00FA5FA8">
        <w:rPr>
          <w:szCs w:val="22"/>
          <w:lang w:val="cs-CZ"/>
        </w:rPr>
        <w:t>Nepoužívejte tento veterinární léčivý přípravek po uplynutí doby použitelnost</w:t>
      </w:r>
      <w:r w:rsidR="00AF45FE" w:rsidRPr="00FA5FA8">
        <w:rPr>
          <w:szCs w:val="22"/>
          <w:lang w:val="cs-CZ"/>
        </w:rPr>
        <w:t>i</w:t>
      </w:r>
      <w:r w:rsidRPr="00FA5FA8">
        <w:rPr>
          <w:szCs w:val="22"/>
          <w:lang w:val="cs-CZ"/>
        </w:rPr>
        <w:t xml:space="preserve"> uvedené na krabičce </w:t>
      </w:r>
      <w:r w:rsidR="00187B82" w:rsidRPr="00FA5FA8">
        <w:rPr>
          <w:szCs w:val="22"/>
          <w:lang w:val="cs-CZ"/>
        </w:rPr>
        <w:t>a</w:t>
      </w:r>
      <w:r w:rsidR="00187B82">
        <w:rPr>
          <w:szCs w:val="22"/>
          <w:lang w:val="cs-CZ"/>
        </w:rPr>
        <w:t> </w:t>
      </w:r>
      <w:r w:rsidRPr="00FA5FA8">
        <w:rPr>
          <w:szCs w:val="22"/>
          <w:lang w:val="cs-CZ"/>
        </w:rPr>
        <w:t xml:space="preserve">štítku </w:t>
      </w:r>
      <w:r w:rsidR="00AF45FE" w:rsidRPr="00FA5FA8">
        <w:rPr>
          <w:szCs w:val="22"/>
          <w:lang w:val="cs-CZ"/>
        </w:rPr>
        <w:t xml:space="preserve">po </w:t>
      </w:r>
      <w:r w:rsidRPr="00FA5FA8">
        <w:rPr>
          <w:szCs w:val="22"/>
          <w:lang w:val="cs-CZ"/>
        </w:rPr>
        <w:t>EXP. Doba použitelnosti končí posledním dnem v uvedeném měsíci.</w:t>
      </w:r>
    </w:p>
    <w:p w14:paraId="20CCCAE7" w14:textId="7D854203" w:rsidR="00995F00" w:rsidRPr="00FA5FA8" w:rsidRDefault="0043320A" w:rsidP="00995F00">
      <w:pPr>
        <w:pStyle w:val="BODY"/>
        <w:rPr>
          <w:szCs w:val="22"/>
          <w:lang w:val="cs-CZ"/>
        </w:rPr>
      </w:pPr>
      <w:r w:rsidRPr="00FA5FA8">
        <w:rPr>
          <w:szCs w:val="22"/>
          <w:lang w:val="cs-CZ"/>
        </w:rPr>
        <w:t>Doba použitelnosti po prvním otevření vnitřního obalu: 56 dnů</w:t>
      </w:r>
      <w:r w:rsidR="00AF45FE" w:rsidRPr="00FA5FA8">
        <w:rPr>
          <w:szCs w:val="22"/>
          <w:lang w:val="cs-CZ"/>
        </w:rPr>
        <w:t>.</w:t>
      </w:r>
    </w:p>
    <w:p w14:paraId="6B90C047" w14:textId="77777777" w:rsidR="00995F00" w:rsidRPr="00FA5FA8" w:rsidRDefault="00995F00" w:rsidP="00995F00">
      <w:pPr>
        <w:pStyle w:val="BODY"/>
        <w:rPr>
          <w:szCs w:val="22"/>
          <w:lang w:val="cs-CZ"/>
        </w:rPr>
      </w:pPr>
    </w:p>
    <w:p w14:paraId="2B2D651F" w14:textId="77777777" w:rsidR="00C114FF" w:rsidRPr="00FA5FA8" w:rsidRDefault="00C114FF" w:rsidP="00995F00">
      <w:pPr>
        <w:pStyle w:val="BODY"/>
        <w:rPr>
          <w:b/>
          <w:szCs w:val="22"/>
          <w:lang w:val="cs-CZ"/>
        </w:rPr>
      </w:pPr>
      <w:r w:rsidRPr="00FA5FA8">
        <w:rPr>
          <w:b/>
          <w:bCs/>
          <w:szCs w:val="22"/>
          <w:lang w:val="cs-CZ"/>
        </w:rPr>
        <w:t>12.</w:t>
      </w:r>
      <w:r w:rsidRPr="00FA5FA8">
        <w:rPr>
          <w:b/>
          <w:bCs/>
          <w:szCs w:val="22"/>
          <w:lang w:val="cs-CZ"/>
        </w:rPr>
        <w:tab/>
        <w:t>ZVLÁŠTNÍ UPOZORNĚNÍ</w:t>
      </w:r>
    </w:p>
    <w:p w14:paraId="078D1D86" w14:textId="4E7AE7F8" w:rsidR="00594B17" w:rsidRPr="00FA5FA8" w:rsidRDefault="00594B17" w:rsidP="00FA5FA8">
      <w:pPr>
        <w:tabs>
          <w:tab w:val="clear" w:pos="567"/>
        </w:tabs>
        <w:spacing w:line="240" w:lineRule="auto"/>
        <w:jc w:val="both"/>
        <w:rPr>
          <w:szCs w:val="22"/>
          <w:u w:val="single"/>
          <w:lang w:val="cs-CZ"/>
        </w:rPr>
      </w:pPr>
      <w:r w:rsidRPr="00FA5FA8">
        <w:rPr>
          <w:szCs w:val="22"/>
          <w:u w:val="single"/>
          <w:lang w:val="cs-CZ"/>
        </w:rPr>
        <w:t>Zvláštní upozornění pro každý cílový druh</w:t>
      </w:r>
      <w:r w:rsidR="004B5FFF" w:rsidRPr="00FA5FA8">
        <w:rPr>
          <w:szCs w:val="22"/>
          <w:u w:val="single"/>
          <w:lang w:val="cs-CZ"/>
        </w:rPr>
        <w:t>:</w:t>
      </w:r>
    </w:p>
    <w:p w14:paraId="4BB24731" w14:textId="0239B770" w:rsidR="00594B17" w:rsidRPr="00FA5FA8" w:rsidRDefault="00594B17" w:rsidP="00FA5FA8">
      <w:pPr>
        <w:jc w:val="both"/>
        <w:rPr>
          <w:szCs w:val="22"/>
          <w:lang w:val="cs-CZ"/>
        </w:rPr>
      </w:pPr>
      <w:r w:rsidRPr="00FA5FA8">
        <w:rPr>
          <w:szCs w:val="22"/>
          <w:lang w:val="cs-CZ"/>
        </w:rPr>
        <w:t>Intravenózní podání pentobarbitalu může u řady druhů zvířat způsobit excitaci</w:t>
      </w:r>
      <w:r w:rsidR="008B4FC0" w:rsidRPr="00FA5FA8">
        <w:rPr>
          <w:szCs w:val="22"/>
          <w:lang w:val="cs-CZ"/>
        </w:rPr>
        <w:t>,</w:t>
      </w:r>
      <w:r w:rsidRPr="00FA5FA8">
        <w:rPr>
          <w:szCs w:val="22"/>
          <w:lang w:val="cs-CZ"/>
        </w:rPr>
        <w:t xml:space="preserve"> a pokud veterinární lékař uzná za nutné, měla by být provedena dostatečná sedace zvířete. </w:t>
      </w:r>
      <w:r w:rsidR="00223907" w:rsidRPr="00FA5FA8">
        <w:rPr>
          <w:szCs w:val="22"/>
          <w:lang w:val="cs-CZ"/>
        </w:rPr>
        <w:t xml:space="preserve">U koní, skotu a prasat je nutné použít premedikaci vhodným sedativem a před provedením eutanazie tato zvířata uvést do hluboké sedace. </w:t>
      </w:r>
      <w:r w:rsidRPr="00FA5FA8">
        <w:rPr>
          <w:szCs w:val="22"/>
          <w:lang w:val="cs-CZ"/>
        </w:rPr>
        <w:t>Musí být přijata opatření k zabránění perivaskulárního podání přípravku (např. pomocí intravenózního katétru).</w:t>
      </w:r>
    </w:p>
    <w:p w14:paraId="1161EE68" w14:textId="77777777" w:rsidR="00594B17" w:rsidRPr="00FA5FA8" w:rsidRDefault="00594B17" w:rsidP="00FA5FA8">
      <w:pPr>
        <w:jc w:val="both"/>
        <w:rPr>
          <w:szCs w:val="22"/>
          <w:lang w:val="cs-CZ"/>
        </w:rPr>
      </w:pPr>
    </w:p>
    <w:p w14:paraId="7503C9D2" w14:textId="77777777" w:rsidR="00223907" w:rsidRPr="00187B82" w:rsidRDefault="00223907" w:rsidP="00FA5FA8">
      <w:pPr>
        <w:jc w:val="both"/>
        <w:rPr>
          <w:szCs w:val="22"/>
          <w:lang w:val="cs-CZ"/>
        </w:rPr>
      </w:pPr>
      <w:r w:rsidRPr="00187B82">
        <w:rPr>
          <w:szCs w:val="22"/>
          <w:lang w:val="cs-CZ"/>
        </w:rPr>
        <w:t xml:space="preserve">U prasat bylo prokázáno, že existuje přímý vztah mezi držením a úrovní excitace a agitace. Z tohoto důvodu by injekční podání u prasat mělo být provedeno s co nejmenším nezbytným držením. Vzhledem k obtížnosti bezpečného intravenózního podání u prasat je nutná odpovídající sedace zvířat před i.v. podáním pentobarbitalu. </w:t>
      </w:r>
    </w:p>
    <w:p w14:paraId="2D62666A" w14:textId="77777777" w:rsidR="00223907" w:rsidRPr="00FA5FA8" w:rsidRDefault="00223907" w:rsidP="00FA5FA8">
      <w:pPr>
        <w:jc w:val="both"/>
        <w:rPr>
          <w:szCs w:val="22"/>
          <w:lang w:val="cs-CZ"/>
        </w:rPr>
      </w:pPr>
    </w:p>
    <w:p w14:paraId="32FFC45B" w14:textId="77777777" w:rsidR="00594B17" w:rsidRPr="00FA5FA8" w:rsidRDefault="00594B17" w:rsidP="00FA5FA8">
      <w:pPr>
        <w:jc w:val="both"/>
        <w:rPr>
          <w:szCs w:val="22"/>
          <w:lang w:val="cs-CZ"/>
        </w:rPr>
      </w:pPr>
      <w:r w:rsidRPr="00FA5FA8">
        <w:rPr>
          <w:szCs w:val="22"/>
          <w:lang w:val="cs-CZ"/>
        </w:rPr>
        <w:t>Intraperitoneální podání může způsobit opožděný nástup účinku se zvýšeným rizikem vyvolání excitace. Intraperitoneální podání se smí používat pouze po odpovídající sedaci. Je nutné přijmout opatření, která zabrání podání přípravku do sleziny nebo orgánů/tkání, ze kterých dochází k nízké absorpci přípravku. Tento způsob podání je vhodný pouze pro malá zvířata.</w:t>
      </w:r>
    </w:p>
    <w:p w14:paraId="191C945A" w14:textId="77777777" w:rsidR="00594B17" w:rsidRPr="00FA5FA8" w:rsidRDefault="00594B17" w:rsidP="00FA5FA8">
      <w:pPr>
        <w:jc w:val="both"/>
        <w:rPr>
          <w:szCs w:val="22"/>
          <w:lang w:val="cs-CZ"/>
        </w:rPr>
      </w:pPr>
    </w:p>
    <w:p w14:paraId="78740A7F" w14:textId="7B3EE208" w:rsidR="00594B17" w:rsidRPr="00FA5FA8" w:rsidRDefault="00594B17" w:rsidP="00FA5FA8">
      <w:pPr>
        <w:jc w:val="both"/>
        <w:rPr>
          <w:szCs w:val="22"/>
          <w:lang w:val="cs-CZ"/>
        </w:rPr>
      </w:pPr>
      <w:r w:rsidRPr="00FA5FA8">
        <w:rPr>
          <w:szCs w:val="22"/>
          <w:lang w:val="cs-CZ"/>
        </w:rPr>
        <w:t xml:space="preserve">Intrakardiální </w:t>
      </w:r>
      <w:r w:rsidR="00223907" w:rsidRPr="00FA5FA8">
        <w:rPr>
          <w:szCs w:val="22"/>
          <w:lang w:val="cs-CZ"/>
        </w:rPr>
        <w:t xml:space="preserve">podání </w:t>
      </w:r>
      <w:r w:rsidRPr="00FA5FA8">
        <w:rPr>
          <w:szCs w:val="22"/>
          <w:lang w:val="cs-CZ"/>
        </w:rPr>
        <w:t xml:space="preserve">lze použít pouze tehdy, když je zvíře v hluboké sedaci, v bezvědomí nebo je </w:t>
      </w:r>
      <w:r w:rsidR="00187B82" w:rsidRPr="00FA5FA8">
        <w:rPr>
          <w:szCs w:val="22"/>
          <w:lang w:val="cs-CZ"/>
        </w:rPr>
        <w:t>v</w:t>
      </w:r>
      <w:r w:rsidR="00187B82">
        <w:rPr>
          <w:szCs w:val="22"/>
          <w:lang w:val="cs-CZ"/>
        </w:rPr>
        <w:t> </w:t>
      </w:r>
      <w:r w:rsidRPr="00FA5FA8">
        <w:rPr>
          <w:szCs w:val="22"/>
          <w:lang w:val="cs-CZ"/>
        </w:rPr>
        <w:t>celkové anestézii.</w:t>
      </w:r>
    </w:p>
    <w:p w14:paraId="6AEF02D6" w14:textId="77777777" w:rsidR="00594B17" w:rsidRPr="00FA5FA8" w:rsidRDefault="00594B17" w:rsidP="00FA5FA8">
      <w:pPr>
        <w:jc w:val="both"/>
        <w:rPr>
          <w:szCs w:val="22"/>
          <w:lang w:val="cs-CZ"/>
        </w:rPr>
      </w:pPr>
    </w:p>
    <w:p w14:paraId="6E4CBCE2" w14:textId="5C21E39E" w:rsidR="00594B17" w:rsidRPr="00FA5FA8" w:rsidRDefault="00594B17" w:rsidP="00FA5FA8">
      <w:pPr>
        <w:keepNext/>
        <w:jc w:val="both"/>
        <w:rPr>
          <w:szCs w:val="22"/>
          <w:u w:val="single"/>
          <w:lang w:val="cs-CZ"/>
        </w:rPr>
      </w:pPr>
      <w:r w:rsidRPr="00FA5FA8">
        <w:rPr>
          <w:szCs w:val="22"/>
          <w:u w:val="single"/>
          <w:lang w:val="cs-CZ"/>
        </w:rPr>
        <w:lastRenderedPageBreak/>
        <w:t>Zvláštní opatření pro použití u zvířat</w:t>
      </w:r>
      <w:r w:rsidR="004B5FFF" w:rsidRPr="00FA5FA8">
        <w:rPr>
          <w:szCs w:val="22"/>
          <w:u w:val="single"/>
          <w:lang w:val="cs-CZ"/>
        </w:rPr>
        <w:t>:</w:t>
      </w:r>
    </w:p>
    <w:p w14:paraId="10F70EBC" w14:textId="77777777" w:rsidR="00594B17" w:rsidRPr="00FA5FA8" w:rsidRDefault="00594B17" w:rsidP="00FA5FA8">
      <w:pPr>
        <w:jc w:val="both"/>
        <w:rPr>
          <w:szCs w:val="22"/>
          <w:lang w:val="cs-CZ"/>
        </w:rPr>
      </w:pPr>
      <w:r w:rsidRPr="00FA5FA8">
        <w:rPr>
          <w:szCs w:val="22"/>
          <w:lang w:val="cs-CZ"/>
        </w:rPr>
        <w:t xml:space="preserve">V případě náhodného podání zvířeti, u něhož nemá být provedena eutanazie, jsou vhodná opatření </w:t>
      </w:r>
      <w:r w:rsidR="008B4FC0" w:rsidRPr="00FA5FA8">
        <w:rPr>
          <w:szCs w:val="22"/>
          <w:lang w:val="cs-CZ"/>
        </w:rPr>
        <w:t xml:space="preserve">jako </w:t>
      </w:r>
      <w:r w:rsidRPr="00FA5FA8">
        <w:rPr>
          <w:szCs w:val="22"/>
          <w:lang w:val="cs-CZ"/>
        </w:rPr>
        <w:t>umělé dýchání, podání kyslíku a užití analeptik.</w:t>
      </w:r>
    </w:p>
    <w:p w14:paraId="70FCF3AC" w14:textId="77777777" w:rsidR="00E346DB" w:rsidRPr="00FA5FA8" w:rsidRDefault="00E346DB" w:rsidP="00FA5FA8">
      <w:pPr>
        <w:jc w:val="both"/>
        <w:rPr>
          <w:szCs w:val="22"/>
          <w:lang w:val="cs-CZ"/>
        </w:rPr>
      </w:pPr>
    </w:p>
    <w:p w14:paraId="331D0239" w14:textId="77777777" w:rsidR="00E346DB" w:rsidRPr="00FA5FA8" w:rsidRDefault="00E346DB" w:rsidP="00FA5FA8">
      <w:pPr>
        <w:jc w:val="both"/>
        <w:rPr>
          <w:szCs w:val="22"/>
          <w:lang w:val="cs-CZ"/>
        </w:rPr>
      </w:pPr>
      <w:r w:rsidRPr="00FA5FA8">
        <w:rPr>
          <w:szCs w:val="22"/>
          <w:lang w:val="cs-CZ"/>
        </w:rPr>
        <w:t>Pokud eutanazii má podstoupit agresivní zvíře, doporučuje se premedikace snadněji podávaným (perorální, subkutánní nebo intramuskulární) sedativem.</w:t>
      </w:r>
    </w:p>
    <w:p w14:paraId="7AEB1E8B" w14:textId="77777777" w:rsidR="007F6EF1" w:rsidRPr="00FA5FA8" w:rsidRDefault="007F6EF1" w:rsidP="00FA5FA8">
      <w:pPr>
        <w:jc w:val="both"/>
        <w:rPr>
          <w:szCs w:val="22"/>
          <w:lang w:val="cs-CZ"/>
        </w:rPr>
      </w:pPr>
    </w:p>
    <w:p w14:paraId="28FFB288" w14:textId="77777777" w:rsidR="00BC1CF6" w:rsidRPr="00FA5FA8" w:rsidRDefault="00BC1CF6" w:rsidP="00FA5FA8">
      <w:pPr>
        <w:jc w:val="both"/>
        <w:rPr>
          <w:szCs w:val="22"/>
          <w:lang w:val="cs-CZ"/>
        </w:rPr>
      </w:pPr>
      <w:r w:rsidRPr="00FA5FA8">
        <w:rPr>
          <w:szCs w:val="22"/>
          <w:lang w:val="cs-CZ"/>
        </w:rPr>
        <w:t xml:space="preserve">Ke snížení rizika vyvolání excitace by eutanazie měla být provedena v klidném prostředí. </w:t>
      </w:r>
    </w:p>
    <w:p w14:paraId="7470E4F1" w14:textId="77777777" w:rsidR="00E346DB" w:rsidRPr="00FA5FA8" w:rsidRDefault="00E346DB" w:rsidP="00FA5FA8">
      <w:pPr>
        <w:jc w:val="both"/>
        <w:rPr>
          <w:szCs w:val="22"/>
          <w:lang w:val="cs-CZ"/>
        </w:rPr>
      </w:pPr>
    </w:p>
    <w:p w14:paraId="2A0BF414" w14:textId="77777777" w:rsidR="00E346DB" w:rsidRPr="00FA5FA8" w:rsidRDefault="00E346DB" w:rsidP="00FA5FA8">
      <w:pPr>
        <w:jc w:val="both"/>
        <w:rPr>
          <w:szCs w:val="22"/>
          <w:lang w:val="cs-CZ"/>
        </w:rPr>
      </w:pPr>
      <w:r w:rsidRPr="00FA5FA8">
        <w:rPr>
          <w:szCs w:val="22"/>
          <w:lang w:val="cs-CZ"/>
        </w:rPr>
        <w:t xml:space="preserve">U koní a skotu musí být k dispozici pro případ nutnosti náhradní způsob eutanazie. </w:t>
      </w:r>
    </w:p>
    <w:p w14:paraId="279F66ED" w14:textId="77777777" w:rsidR="00594B17" w:rsidRPr="00FA5FA8" w:rsidRDefault="00594B17" w:rsidP="00FA5FA8">
      <w:pPr>
        <w:tabs>
          <w:tab w:val="clear" w:pos="567"/>
        </w:tabs>
        <w:spacing w:line="240" w:lineRule="auto"/>
        <w:jc w:val="both"/>
        <w:rPr>
          <w:szCs w:val="22"/>
          <w:lang w:val="cs-CZ"/>
        </w:rPr>
      </w:pPr>
    </w:p>
    <w:p w14:paraId="293C6CC3" w14:textId="77777777" w:rsidR="0043320A" w:rsidRPr="00FA5FA8" w:rsidRDefault="0043320A" w:rsidP="00FA5FA8">
      <w:pPr>
        <w:keepNext/>
        <w:tabs>
          <w:tab w:val="clear" w:pos="567"/>
        </w:tabs>
        <w:spacing w:line="240" w:lineRule="auto"/>
        <w:jc w:val="both"/>
        <w:rPr>
          <w:szCs w:val="22"/>
          <w:lang w:val="cs-CZ"/>
        </w:rPr>
      </w:pPr>
      <w:r w:rsidRPr="00FA5FA8">
        <w:rPr>
          <w:szCs w:val="22"/>
          <w:u w:val="single"/>
          <w:lang w:val="cs-CZ"/>
        </w:rPr>
        <w:t>Zvláštní opatření určené osobám, které podávají veterinární léčivý přípravek zvířatům</w:t>
      </w:r>
      <w:r w:rsidRPr="00FA5FA8">
        <w:rPr>
          <w:szCs w:val="22"/>
          <w:lang w:val="cs-CZ"/>
        </w:rPr>
        <w:t>:</w:t>
      </w:r>
    </w:p>
    <w:p w14:paraId="61DBC3D3" w14:textId="77777777" w:rsidR="004B5FFF" w:rsidRPr="00187B82" w:rsidRDefault="004B5FFF" w:rsidP="00FA5FA8">
      <w:pPr>
        <w:jc w:val="both"/>
        <w:rPr>
          <w:szCs w:val="22"/>
          <w:lang w:val="cs-CZ"/>
        </w:rPr>
      </w:pPr>
      <w:r w:rsidRPr="00187B82">
        <w:rPr>
          <w:szCs w:val="22"/>
          <w:lang w:val="cs-CZ"/>
        </w:rPr>
        <w:t>Pro použití pouze veterinárním lékařem.</w:t>
      </w:r>
    </w:p>
    <w:p w14:paraId="46F4570F" w14:textId="77777777" w:rsidR="004B5FFF" w:rsidRPr="00187B82" w:rsidRDefault="004B5FFF" w:rsidP="00FA5FA8">
      <w:pPr>
        <w:jc w:val="both"/>
        <w:rPr>
          <w:szCs w:val="22"/>
          <w:lang w:val="cs-CZ"/>
        </w:rPr>
      </w:pPr>
    </w:p>
    <w:p w14:paraId="26BCB963" w14:textId="77777777" w:rsidR="004B5FFF" w:rsidRPr="00187B82" w:rsidRDefault="004B5FFF" w:rsidP="00FA5FA8">
      <w:pPr>
        <w:jc w:val="both"/>
        <w:rPr>
          <w:szCs w:val="22"/>
          <w:lang w:val="cs-CZ"/>
        </w:rPr>
      </w:pPr>
      <w:r w:rsidRPr="00187B82">
        <w:rPr>
          <w:szCs w:val="22"/>
          <w:lang w:val="cs-CZ"/>
        </w:rPr>
        <w:t>Pentobarbital je silné hypnotikum a sedativum, které je toxické pro člověka. Může se systémově vstřebávat kůží nebo očima a při požití. Systémová absorpce pentobarbitalu (včetně absorpce kůží nebo v důsledku zasažení oka) způsobuje útlum, navození spánku, CNS a respirační depresi. Zvláštní pozornost je nutné věnovat tomu, aby nedošlo k náhodnému požití přípravku nebo k náhodnému sebepoškození injekčně aplikovaným přípravkem. Nikdy nepřenášejte stříkačku s nasazenou jehlou, aby nedošlo k náhodnému injekčnímu podání.</w:t>
      </w:r>
    </w:p>
    <w:p w14:paraId="3120C3C3" w14:textId="77777777" w:rsidR="004B5FFF" w:rsidRPr="00187B82" w:rsidRDefault="004B5FFF" w:rsidP="00FA5FA8">
      <w:pPr>
        <w:jc w:val="both"/>
        <w:rPr>
          <w:szCs w:val="22"/>
          <w:lang w:val="cs-CZ"/>
        </w:rPr>
      </w:pPr>
    </w:p>
    <w:p w14:paraId="5102DD8A" w14:textId="13E069BA" w:rsidR="004B5FFF" w:rsidRPr="00187B82" w:rsidRDefault="004B5FFF" w:rsidP="00FA5FA8">
      <w:pPr>
        <w:jc w:val="both"/>
        <w:rPr>
          <w:szCs w:val="22"/>
          <w:lang w:val="cs-CZ"/>
        </w:rPr>
      </w:pPr>
      <w:r w:rsidRPr="00187B82">
        <w:rPr>
          <w:szCs w:val="22"/>
          <w:lang w:val="cs-CZ"/>
        </w:rPr>
        <w:t>V případě náhodného po</w:t>
      </w:r>
      <w:r w:rsidR="00F7530C">
        <w:rPr>
          <w:szCs w:val="22"/>
          <w:lang w:val="cs-CZ"/>
        </w:rPr>
        <w:t>žití</w:t>
      </w:r>
      <w:r w:rsidRPr="00187B82">
        <w:rPr>
          <w:szCs w:val="22"/>
          <w:lang w:val="cs-CZ"/>
        </w:rPr>
        <w:t xml:space="preserve"> si </w:t>
      </w:r>
      <w:r w:rsidR="00F7530C">
        <w:rPr>
          <w:szCs w:val="22"/>
          <w:lang w:val="cs-CZ"/>
        </w:rPr>
        <w:t>ihned</w:t>
      </w:r>
      <w:r w:rsidRPr="00187B82">
        <w:rPr>
          <w:szCs w:val="22"/>
          <w:lang w:val="cs-CZ"/>
        </w:rPr>
        <w:t xml:space="preserve"> vypláchněte ústa a ihned vyhledejte lékařskou pomoc. V případě náhodného zasažení kůže nebo očí musí být zasažené místo </w:t>
      </w:r>
      <w:r w:rsidR="00F7530C">
        <w:rPr>
          <w:szCs w:val="22"/>
          <w:lang w:val="cs-CZ"/>
        </w:rPr>
        <w:t>ihned</w:t>
      </w:r>
      <w:r w:rsidRPr="00187B82">
        <w:rPr>
          <w:szCs w:val="22"/>
          <w:lang w:val="cs-CZ"/>
        </w:rPr>
        <w:t xml:space="preserve"> omyto velkým množstvím vody. Zabraňte náhodnému sebepoškození injekčně aplikovaným přípravkem nebo náhodné aplikaci </w:t>
      </w:r>
      <w:r w:rsidR="00F7530C">
        <w:rPr>
          <w:szCs w:val="22"/>
          <w:lang w:val="cs-CZ"/>
        </w:rPr>
        <w:t xml:space="preserve">jiným </w:t>
      </w:r>
      <w:r w:rsidRPr="00187B82">
        <w:rPr>
          <w:szCs w:val="22"/>
          <w:lang w:val="cs-CZ"/>
        </w:rPr>
        <w:t>osobám při podávání tohoto přípravku.</w:t>
      </w:r>
    </w:p>
    <w:p w14:paraId="75F9DED5" w14:textId="20DC38EF" w:rsidR="004B5FFF" w:rsidRPr="00187B82" w:rsidRDefault="004B5FFF" w:rsidP="00FA5FA8">
      <w:pPr>
        <w:jc w:val="both"/>
        <w:rPr>
          <w:szCs w:val="22"/>
          <w:lang w:val="cs-CZ"/>
        </w:rPr>
      </w:pPr>
      <w:r w:rsidRPr="00187B82">
        <w:rPr>
          <w:szCs w:val="22"/>
          <w:lang w:val="cs-CZ"/>
        </w:rPr>
        <w:t xml:space="preserve">V případě </w:t>
      </w:r>
      <w:r w:rsidR="00F7530C">
        <w:rPr>
          <w:szCs w:val="22"/>
          <w:lang w:val="cs-CZ"/>
        </w:rPr>
        <w:t xml:space="preserve">náhodného </w:t>
      </w:r>
      <w:proofErr w:type="spellStart"/>
      <w:r w:rsidR="00F7530C">
        <w:rPr>
          <w:szCs w:val="22"/>
          <w:lang w:val="cs-CZ"/>
        </w:rPr>
        <w:t>samopodání</w:t>
      </w:r>
      <w:proofErr w:type="spellEnd"/>
      <w:r w:rsidR="00F7530C">
        <w:rPr>
          <w:szCs w:val="22"/>
          <w:lang w:val="cs-CZ"/>
        </w:rPr>
        <w:t xml:space="preserve"> injekce nebo závažného zasažení kůže nebo očí </w:t>
      </w:r>
      <w:r w:rsidRPr="00187B82">
        <w:rPr>
          <w:szCs w:val="22"/>
          <w:lang w:val="cs-CZ"/>
        </w:rPr>
        <w:t>vyhledejte ihned lékařskou pomoc a ukažte příbalovou informaci nebo etiketu praktickému lékaři. NEŘIĎTE MOTOROVÉ VOZIDLO, neboť může dojít k sedaci.</w:t>
      </w:r>
    </w:p>
    <w:p w14:paraId="0DE67A35" w14:textId="77777777" w:rsidR="004B5FFF" w:rsidRPr="00187B82" w:rsidRDefault="004B5FFF" w:rsidP="00FA5FA8">
      <w:pPr>
        <w:jc w:val="both"/>
        <w:rPr>
          <w:szCs w:val="22"/>
          <w:lang w:val="cs-CZ"/>
        </w:rPr>
      </w:pPr>
    </w:p>
    <w:p w14:paraId="5DEAFB39" w14:textId="77777777" w:rsidR="004B5FFF" w:rsidRPr="00187B82" w:rsidRDefault="004B5FFF" w:rsidP="00FA5FA8">
      <w:pPr>
        <w:jc w:val="both"/>
        <w:rPr>
          <w:szCs w:val="22"/>
          <w:lang w:val="cs-CZ"/>
        </w:rPr>
      </w:pPr>
      <w:r w:rsidRPr="00187B82">
        <w:rPr>
          <w:szCs w:val="22"/>
          <w:lang w:val="cs-CZ"/>
        </w:rPr>
        <w:t xml:space="preserve">Embryotoxické účinky nejsou vyloučeny.  </w:t>
      </w:r>
    </w:p>
    <w:p w14:paraId="1AB4ADD9" w14:textId="412BF610" w:rsidR="004B5FFF" w:rsidRPr="00187B82" w:rsidRDefault="004B5FFF" w:rsidP="00FA5FA8">
      <w:pPr>
        <w:jc w:val="both"/>
        <w:rPr>
          <w:szCs w:val="22"/>
          <w:lang w:val="cs-CZ"/>
        </w:rPr>
      </w:pPr>
      <w:r w:rsidRPr="00187B82">
        <w:rPr>
          <w:szCs w:val="22"/>
          <w:lang w:val="cs-CZ"/>
        </w:rPr>
        <w:t>Těhotné a kojící ženy musí při manipulaci s tímto přípravkem dbát zvýšené opatrnosti. Tento přípravek může způsobovat podráždění očí, podráždění kůže, stejně jako alergické reakce (vzhledem k</w:t>
      </w:r>
      <w:r w:rsidR="00187B82">
        <w:rPr>
          <w:szCs w:val="22"/>
          <w:lang w:val="cs-CZ"/>
        </w:rPr>
        <w:t> </w:t>
      </w:r>
      <w:r w:rsidRPr="00187B82">
        <w:rPr>
          <w:szCs w:val="22"/>
          <w:lang w:val="cs-CZ"/>
        </w:rPr>
        <w:t>přítomnosti pentobarbitalu). Lidé se známou přecitlivělostí na pentobarbital by se měli vyhnout kontaktu s</w:t>
      </w:r>
      <w:r w:rsidR="0068275D" w:rsidRPr="00187B82">
        <w:rPr>
          <w:szCs w:val="22"/>
          <w:lang w:val="cs-CZ"/>
        </w:rPr>
        <w:t> </w:t>
      </w:r>
      <w:r w:rsidRPr="00187B82">
        <w:rPr>
          <w:szCs w:val="22"/>
          <w:lang w:val="cs-CZ"/>
        </w:rPr>
        <w:t>veterinárním léčivým přípravkem.</w:t>
      </w:r>
    </w:p>
    <w:p w14:paraId="207E2624" w14:textId="77777777" w:rsidR="004B5FFF" w:rsidRPr="00187B82" w:rsidRDefault="004B5FFF" w:rsidP="00FA5FA8">
      <w:pPr>
        <w:jc w:val="both"/>
        <w:rPr>
          <w:szCs w:val="22"/>
          <w:lang w:val="cs-CZ"/>
        </w:rPr>
      </w:pPr>
    </w:p>
    <w:p w14:paraId="2289F16C" w14:textId="4E8BA42B" w:rsidR="004B5FFF" w:rsidRPr="00187B82" w:rsidRDefault="004B5FFF" w:rsidP="00FA5FA8">
      <w:pPr>
        <w:jc w:val="both"/>
        <w:rPr>
          <w:szCs w:val="22"/>
          <w:lang w:val="cs-CZ"/>
        </w:rPr>
      </w:pPr>
      <w:r w:rsidRPr="00187B82">
        <w:rPr>
          <w:szCs w:val="22"/>
          <w:lang w:val="cs-CZ"/>
        </w:rPr>
        <w:t>Za</w:t>
      </w:r>
      <w:r w:rsidR="00F7530C">
        <w:rPr>
          <w:szCs w:val="22"/>
          <w:lang w:val="cs-CZ"/>
        </w:rPr>
        <w:t>braňte</w:t>
      </w:r>
      <w:r w:rsidRPr="00187B82">
        <w:rPr>
          <w:szCs w:val="22"/>
          <w:lang w:val="cs-CZ"/>
        </w:rPr>
        <w:t xml:space="preserve"> přímému kontaktu přípravku s kůží a očima, včetně zasažení oka kontaminovanýma rukama. </w:t>
      </w:r>
    </w:p>
    <w:p w14:paraId="20FF7482" w14:textId="5E25F616" w:rsidR="004B5FFF" w:rsidRPr="00187B82" w:rsidRDefault="004B5FFF" w:rsidP="00FA5FA8">
      <w:pPr>
        <w:jc w:val="both"/>
        <w:rPr>
          <w:szCs w:val="22"/>
          <w:lang w:val="cs-CZ"/>
        </w:rPr>
      </w:pPr>
      <w:r w:rsidRPr="00187B82">
        <w:rPr>
          <w:szCs w:val="22"/>
          <w:lang w:val="cs-CZ"/>
        </w:rPr>
        <w:t xml:space="preserve">Tento veterinární léčivý přípravek smí podávat pouze veterinární lékař, a to pouze v přítomnosti další odborně způsobilé osoby, která je schopna poskytnout pomoc v případě náhodné expozice přípravkem. Jestliže tito pracovníci nemají zdravotnické vzdělání, poučte je o rizicích souvisejících s přípravkem. </w:t>
      </w:r>
    </w:p>
    <w:p w14:paraId="03256284" w14:textId="715E9C7B" w:rsidR="004B5FFF" w:rsidRPr="00187B82" w:rsidRDefault="004B5FFF" w:rsidP="00FA5FA8">
      <w:pPr>
        <w:jc w:val="both"/>
        <w:rPr>
          <w:szCs w:val="22"/>
          <w:lang w:val="cs-CZ"/>
        </w:rPr>
      </w:pPr>
      <w:r w:rsidRPr="00187B82">
        <w:rPr>
          <w:szCs w:val="22"/>
          <w:lang w:val="cs-CZ"/>
        </w:rPr>
        <w:t>Při manipulaci s p</w:t>
      </w:r>
      <w:r w:rsidR="00CF6F41">
        <w:rPr>
          <w:szCs w:val="22"/>
          <w:lang w:val="cs-CZ"/>
        </w:rPr>
        <w:t>řípravkem</w:t>
      </w:r>
      <w:r w:rsidRPr="00187B82">
        <w:rPr>
          <w:szCs w:val="22"/>
          <w:lang w:val="cs-CZ"/>
        </w:rPr>
        <w:t xml:space="preserve"> používejte nepropustné rukavice. </w:t>
      </w:r>
    </w:p>
    <w:p w14:paraId="4C4119C6" w14:textId="5DC76637" w:rsidR="004B5FFF" w:rsidRPr="00187B82" w:rsidRDefault="00CF6F41" w:rsidP="00FA5FA8">
      <w:pPr>
        <w:jc w:val="both"/>
        <w:rPr>
          <w:szCs w:val="22"/>
          <w:lang w:val="cs-CZ"/>
        </w:rPr>
      </w:pPr>
      <w:r>
        <w:rPr>
          <w:szCs w:val="22"/>
          <w:lang w:val="cs-CZ"/>
        </w:rPr>
        <w:t>Při</w:t>
      </w:r>
      <w:r w:rsidR="004B5FFF" w:rsidRPr="00187B82">
        <w:rPr>
          <w:szCs w:val="22"/>
          <w:lang w:val="cs-CZ"/>
        </w:rPr>
        <w:t xml:space="preserve"> manipulac</w:t>
      </w:r>
      <w:r>
        <w:rPr>
          <w:szCs w:val="22"/>
          <w:lang w:val="cs-CZ"/>
        </w:rPr>
        <w:t>i</w:t>
      </w:r>
      <w:r w:rsidR="004B5FFF" w:rsidRPr="00187B82">
        <w:rPr>
          <w:szCs w:val="22"/>
          <w:lang w:val="cs-CZ"/>
        </w:rPr>
        <w:t xml:space="preserve"> s přípravkem nekuřte, nejezte a nepijte. </w:t>
      </w:r>
    </w:p>
    <w:p w14:paraId="7886A722" w14:textId="77777777" w:rsidR="004B5FFF" w:rsidRPr="00187B82" w:rsidRDefault="004B5FFF" w:rsidP="00FA5FA8">
      <w:pPr>
        <w:jc w:val="both"/>
        <w:rPr>
          <w:szCs w:val="22"/>
          <w:lang w:val="cs-CZ"/>
        </w:rPr>
      </w:pPr>
    </w:p>
    <w:p w14:paraId="60C6AAE7" w14:textId="77777777" w:rsidR="004B5FFF" w:rsidRPr="00187B82" w:rsidRDefault="004B5FFF" w:rsidP="00FA5FA8">
      <w:pPr>
        <w:jc w:val="both"/>
        <w:rPr>
          <w:szCs w:val="22"/>
          <w:lang w:val="cs-CZ"/>
        </w:rPr>
      </w:pPr>
      <w:r w:rsidRPr="00187B82">
        <w:rPr>
          <w:szCs w:val="22"/>
          <w:lang w:val="cs-CZ"/>
        </w:rPr>
        <w:t>Po podání přípravku nastane do 10 sekund kolaps. Pokud je přípravek podáván stojícímu zvířeti, musí osoba, která léčivý přípravek zvířeti podává, stejně jako další přítomné osoby, dbát opatrnosti a udržovat potřebnou vzdálenost od zvířete, aby se zabránilo dalším zraněním.</w:t>
      </w:r>
    </w:p>
    <w:p w14:paraId="40973AF5" w14:textId="77777777" w:rsidR="004B5FFF" w:rsidRPr="00187B82" w:rsidRDefault="004B5FFF" w:rsidP="00FA5FA8">
      <w:pPr>
        <w:jc w:val="both"/>
        <w:rPr>
          <w:szCs w:val="22"/>
          <w:lang w:val="cs-CZ"/>
        </w:rPr>
      </w:pPr>
    </w:p>
    <w:p w14:paraId="04BD9715" w14:textId="77777777" w:rsidR="004B5FFF" w:rsidRPr="00187B82" w:rsidRDefault="004B5FFF" w:rsidP="00FA5FA8">
      <w:pPr>
        <w:jc w:val="both"/>
        <w:rPr>
          <w:szCs w:val="22"/>
          <w:lang w:val="cs-CZ"/>
        </w:rPr>
      </w:pPr>
      <w:r w:rsidRPr="00187B82">
        <w:rPr>
          <w:szCs w:val="22"/>
          <w:lang w:val="cs-CZ"/>
        </w:rPr>
        <w:t>Přípravek je hořlavý. Uchovávejte ho mimo dosah zdrojů zapálení.</w:t>
      </w:r>
    </w:p>
    <w:p w14:paraId="106B7700" w14:textId="77777777" w:rsidR="00247264" w:rsidRPr="00FA5FA8" w:rsidRDefault="00247264" w:rsidP="00FA5FA8">
      <w:pPr>
        <w:jc w:val="both"/>
        <w:rPr>
          <w:szCs w:val="22"/>
          <w:lang w:val="cs-CZ"/>
        </w:rPr>
      </w:pPr>
    </w:p>
    <w:p w14:paraId="05C0ECC2" w14:textId="77777777" w:rsidR="00247264" w:rsidRPr="00FA5FA8" w:rsidRDefault="00247264" w:rsidP="00FA5FA8">
      <w:pPr>
        <w:jc w:val="both"/>
        <w:rPr>
          <w:szCs w:val="22"/>
          <w:lang w:val="cs-CZ"/>
        </w:rPr>
      </w:pPr>
      <w:r w:rsidRPr="00FA5FA8">
        <w:rPr>
          <w:b/>
          <w:bCs/>
          <w:szCs w:val="22"/>
          <w:lang w:val="cs-CZ"/>
        </w:rPr>
        <w:t>Informace pro zdravotnický personál v případě expozice:</w:t>
      </w:r>
      <w:r w:rsidRPr="00FA5FA8">
        <w:rPr>
          <w:szCs w:val="22"/>
          <w:lang w:val="cs-CZ"/>
        </w:rPr>
        <w:t xml:space="preserve"> </w:t>
      </w:r>
    </w:p>
    <w:p w14:paraId="3112592E" w14:textId="3990588B" w:rsidR="00247264" w:rsidRPr="00FA5FA8" w:rsidRDefault="00247264" w:rsidP="00FA5FA8">
      <w:pPr>
        <w:jc w:val="both"/>
        <w:rPr>
          <w:szCs w:val="22"/>
          <w:lang w:val="cs-CZ"/>
        </w:rPr>
      </w:pPr>
      <w:r w:rsidRPr="00FA5FA8">
        <w:rPr>
          <w:szCs w:val="22"/>
          <w:lang w:val="cs-CZ"/>
        </w:rPr>
        <w:t xml:space="preserve">Opatření první pomoci by měla směřovat k udržení respiračních a srdečních funkcí. Při vážných otravách je třeba přijmout opatření, která urychlí eliminaci absorbovaných barbiturátů </w:t>
      </w:r>
      <w:r w:rsidR="00187B82" w:rsidRPr="00FA5FA8">
        <w:rPr>
          <w:szCs w:val="22"/>
          <w:lang w:val="cs-CZ"/>
        </w:rPr>
        <w:t>z</w:t>
      </w:r>
      <w:r w:rsidR="00187B82">
        <w:rPr>
          <w:szCs w:val="22"/>
          <w:lang w:val="cs-CZ"/>
        </w:rPr>
        <w:t> </w:t>
      </w:r>
      <w:r w:rsidRPr="00FA5FA8">
        <w:rPr>
          <w:szCs w:val="22"/>
          <w:lang w:val="cs-CZ"/>
        </w:rPr>
        <w:t xml:space="preserve">organismu. </w:t>
      </w:r>
    </w:p>
    <w:p w14:paraId="27F3FF52" w14:textId="77777777" w:rsidR="00247264" w:rsidRPr="00FA5FA8" w:rsidRDefault="00247264" w:rsidP="00FA5FA8">
      <w:pPr>
        <w:jc w:val="both"/>
        <w:rPr>
          <w:szCs w:val="22"/>
          <w:lang w:val="cs-CZ"/>
        </w:rPr>
      </w:pPr>
    </w:p>
    <w:p w14:paraId="5696BCD0" w14:textId="775342C7" w:rsidR="00247264" w:rsidRPr="00FA5FA8" w:rsidRDefault="00247264" w:rsidP="00FA5FA8">
      <w:pPr>
        <w:jc w:val="both"/>
        <w:rPr>
          <w:szCs w:val="22"/>
          <w:lang w:val="cs-CZ"/>
        </w:rPr>
      </w:pPr>
      <w:r w:rsidRPr="00FA5FA8">
        <w:rPr>
          <w:szCs w:val="22"/>
          <w:lang w:val="cs-CZ"/>
        </w:rPr>
        <w:t>Koncentrace pentobarbitalu v přípravku je taková, že náhodné injekční podání nebo po</w:t>
      </w:r>
      <w:r w:rsidR="00CF6F41">
        <w:rPr>
          <w:szCs w:val="22"/>
          <w:lang w:val="cs-CZ"/>
        </w:rPr>
        <w:t>žití</w:t>
      </w:r>
      <w:r w:rsidRPr="00FA5FA8">
        <w:rPr>
          <w:szCs w:val="22"/>
          <w:lang w:val="cs-CZ"/>
        </w:rPr>
        <w:t xml:space="preserve"> i tak malého množství jako </w:t>
      </w:r>
      <w:r w:rsidR="004B5FFF" w:rsidRPr="00FA5FA8">
        <w:rPr>
          <w:szCs w:val="22"/>
          <w:lang w:val="cs-CZ"/>
        </w:rPr>
        <w:t>1</w:t>
      </w:r>
      <w:r w:rsidRPr="00FA5FA8">
        <w:rPr>
          <w:szCs w:val="22"/>
          <w:lang w:val="cs-CZ"/>
        </w:rPr>
        <w:t xml:space="preserve"> ml může mít u dospělého člověka závažné účinky na CNS. D</w:t>
      </w:r>
      <w:r w:rsidR="00CF6F41" w:rsidRPr="00530014">
        <w:rPr>
          <w:szCs w:val="22"/>
          <w:lang w:val="cs-CZ"/>
        </w:rPr>
        <w:t xml:space="preserve">ávka 1 g pentobarbitalu sodného (odpovídá 2 ml přípravku) </w:t>
      </w:r>
      <w:r w:rsidR="00CF6F41">
        <w:rPr>
          <w:szCs w:val="22"/>
          <w:lang w:val="cs-CZ"/>
        </w:rPr>
        <w:t xml:space="preserve">byla u lidí hlášena jako </w:t>
      </w:r>
      <w:r w:rsidRPr="00FA5FA8">
        <w:rPr>
          <w:szCs w:val="22"/>
          <w:lang w:val="cs-CZ"/>
        </w:rPr>
        <w:t>smrtelná. Léčba by měla být podpůrná s</w:t>
      </w:r>
      <w:r w:rsidR="00CF6F41">
        <w:rPr>
          <w:szCs w:val="22"/>
          <w:lang w:val="cs-CZ"/>
        </w:rPr>
        <w:t> </w:t>
      </w:r>
      <w:r w:rsidRPr="00FA5FA8">
        <w:rPr>
          <w:szCs w:val="22"/>
          <w:lang w:val="cs-CZ"/>
        </w:rPr>
        <w:t>vhodnou intenzivní terapií a udržováním dých</w:t>
      </w:r>
      <w:r w:rsidR="00CF6F41">
        <w:rPr>
          <w:szCs w:val="22"/>
          <w:lang w:val="cs-CZ"/>
        </w:rPr>
        <w:t>ání</w:t>
      </w:r>
      <w:r w:rsidRPr="00FA5FA8">
        <w:rPr>
          <w:szCs w:val="22"/>
          <w:lang w:val="cs-CZ"/>
        </w:rPr>
        <w:t>.</w:t>
      </w:r>
    </w:p>
    <w:p w14:paraId="6FD65119" w14:textId="77777777" w:rsidR="00247264" w:rsidRPr="00FA5FA8" w:rsidRDefault="00247264" w:rsidP="00FA5FA8">
      <w:pPr>
        <w:jc w:val="both"/>
        <w:rPr>
          <w:szCs w:val="22"/>
          <w:lang w:val="cs-CZ"/>
        </w:rPr>
      </w:pPr>
    </w:p>
    <w:p w14:paraId="0BF22E9C" w14:textId="6754F9FC" w:rsidR="00247264" w:rsidRPr="00FA5FA8" w:rsidRDefault="00247264" w:rsidP="00FA5FA8">
      <w:pPr>
        <w:jc w:val="both"/>
        <w:rPr>
          <w:szCs w:val="22"/>
          <w:u w:val="single"/>
          <w:lang w:val="cs-CZ"/>
        </w:rPr>
      </w:pPr>
      <w:r w:rsidRPr="00FA5FA8">
        <w:rPr>
          <w:szCs w:val="22"/>
          <w:u w:val="single"/>
          <w:lang w:val="cs-CZ"/>
        </w:rPr>
        <w:t>Další opatření</w:t>
      </w:r>
      <w:r w:rsidR="004B5FFF" w:rsidRPr="00FA5FA8">
        <w:rPr>
          <w:szCs w:val="22"/>
          <w:u w:val="single"/>
          <w:lang w:val="cs-CZ"/>
        </w:rPr>
        <w:t>:</w:t>
      </w:r>
    </w:p>
    <w:p w14:paraId="64F2DA55" w14:textId="2D8B29F6" w:rsidR="00247264" w:rsidRPr="00FA5FA8" w:rsidRDefault="00247264" w:rsidP="00FA5FA8">
      <w:pPr>
        <w:jc w:val="both"/>
        <w:rPr>
          <w:szCs w:val="22"/>
          <w:lang w:val="cs-CZ"/>
        </w:rPr>
      </w:pPr>
      <w:r w:rsidRPr="00FA5FA8">
        <w:rPr>
          <w:szCs w:val="22"/>
          <w:lang w:val="cs-CZ"/>
        </w:rPr>
        <w:t>Těla zvířat utracených tímto přípravkem musí být likvidována podle místních právních předpisů. Z důvodu rizika sekundární intoxikace nesmí být zvířata</w:t>
      </w:r>
      <w:r w:rsidR="00187B82">
        <w:rPr>
          <w:szCs w:val="22"/>
          <w:lang w:val="cs-CZ"/>
        </w:rPr>
        <w:t xml:space="preserve">, která byla utracena </w:t>
      </w:r>
      <w:r w:rsidRPr="00FA5FA8">
        <w:rPr>
          <w:szCs w:val="22"/>
          <w:lang w:val="cs-CZ"/>
        </w:rPr>
        <w:t>tímto přípravkem</w:t>
      </w:r>
      <w:r w:rsidR="00187B82">
        <w:rPr>
          <w:szCs w:val="22"/>
          <w:lang w:val="cs-CZ"/>
        </w:rPr>
        <w:t xml:space="preserve">, </w:t>
      </w:r>
      <w:r w:rsidRPr="00FA5FA8">
        <w:rPr>
          <w:szCs w:val="22"/>
          <w:lang w:val="cs-CZ"/>
        </w:rPr>
        <w:t>zkrmována jiným zvířat</w:t>
      </w:r>
      <w:r w:rsidR="00CF6F41">
        <w:rPr>
          <w:szCs w:val="22"/>
          <w:lang w:val="cs-CZ"/>
        </w:rPr>
        <w:t>ům</w:t>
      </w:r>
      <w:r w:rsidRPr="00FA5FA8">
        <w:rPr>
          <w:szCs w:val="22"/>
          <w:lang w:val="cs-CZ"/>
        </w:rPr>
        <w:t>.</w:t>
      </w:r>
    </w:p>
    <w:p w14:paraId="53AEC98B" w14:textId="77777777" w:rsidR="00594B17" w:rsidRPr="00FA5FA8" w:rsidRDefault="00594B17" w:rsidP="00FA5FA8">
      <w:pPr>
        <w:tabs>
          <w:tab w:val="clear" w:pos="567"/>
        </w:tabs>
        <w:spacing w:line="240" w:lineRule="auto"/>
        <w:jc w:val="both"/>
        <w:rPr>
          <w:szCs w:val="22"/>
          <w:u w:val="single"/>
          <w:lang w:val="cs-CZ"/>
        </w:rPr>
      </w:pPr>
    </w:p>
    <w:p w14:paraId="7376AB17" w14:textId="4ED59038" w:rsidR="00DF28CF" w:rsidRPr="00FA5FA8" w:rsidRDefault="004B5FFF" w:rsidP="00FA5FA8">
      <w:pPr>
        <w:tabs>
          <w:tab w:val="clear" w:pos="567"/>
        </w:tabs>
        <w:spacing w:line="240" w:lineRule="auto"/>
        <w:jc w:val="both"/>
        <w:rPr>
          <w:szCs w:val="22"/>
          <w:lang w:val="cs-CZ"/>
        </w:rPr>
      </w:pPr>
      <w:r w:rsidRPr="00FA5FA8">
        <w:rPr>
          <w:szCs w:val="22"/>
          <w:u w:val="single"/>
          <w:lang w:val="cs-CZ"/>
        </w:rPr>
        <w:t>B</w:t>
      </w:r>
      <w:r w:rsidR="005F7524" w:rsidRPr="00FA5FA8">
        <w:rPr>
          <w:szCs w:val="22"/>
          <w:u w:val="single"/>
          <w:lang w:val="cs-CZ"/>
        </w:rPr>
        <w:t>řezosti a laktace:</w:t>
      </w:r>
    </w:p>
    <w:p w14:paraId="2A8E8A24" w14:textId="720A839D" w:rsidR="00E346DB" w:rsidRPr="00FA5FA8" w:rsidRDefault="00594B17" w:rsidP="00FA5FA8">
      <w:pPr>
        <w:jc w:val="both"/>
        <w:rPr>
          <w:szCs w:val="22"/>
          <w:lang w:val="cs-CZ"/>
        </w:rPr>
      </w:pPr>
      <w:r w:rsidRPr="00FA5FA8">
        <w:rPr>
          <w:szCs w:val="22"/>
          <w:lang w:val="cs-CZ"/>
        </w:rPr>
        <w:t>Je-li eutanazie nutná, je možné přípravek použ</w:t>
      </w:r>
      <w:r w:rsidR="0068275D" w:rsidRPr="00FA5FA8">
        <w:rPr>
          <w:szCs w:val="22"/>
          <w:lang w:val="cs-CZ"/>
        </w:rPr>
        <w:t>í</w:t>
      </w:r>
      <w:r w:rsidRPr="00FA5FA8">
        <w:rPr>
          <w:szCs w:val="22"/>
          <w:lang w:val="cs-CZ"/>
        </w:rPr>
        <w:t xml:space="preserve">t u březích nebo laktujících zvířat. Při výpočtu dávek je třeba vzít v úvahu zvýšenou </w:t>
      </w:r>
      <w:r w:rsidR="008B4FC0" w:rsidRPr="00F7530C">
        <w:rPr>
          <w:szCs w:val="22"/>
          <w:lang w:val="cs-CZ"/>
        </w:rPr>
        <w:t xml:space="preserve">živou </w:t>
      </w:r>
      <w:r w:rsidRPr="00FA5FA8">
        <w:rPr>
          <w:szCs w:val="22"/>
          <w:lang w:val="cs-CZ"/>
        </w:rPr>
        <w:t>hmotnost březích zvířat. Pokud je to možné, měl by se přípravek podávat intravenózn</w:t>
      </w:r>
      <w:r w:rsidR="00D83ED7" w:rsidRPr="00FA5FA8">
        <w:rPr>
          <w:szCs w:val="22"/>
          <w:lang w:val="cs-CZ"/>
        </w:rPr>
        <w:t>ě</w:t>
      </w:r>
      <w:r w:rsidRPr="00FA5FA8">
        <w:rPr>
          <w:szCs w:val="22"/>
          <w:lang w:val="cs-CZ"/>
        </w:rPr>
        <w:t xml:space="preserve"> injekcí. Plod nesmí být vyjmut z těla matky (například pro účely zkoušek) dříve než 25 minut po potvrzení </w:t>
      </w:r>
      <w:r w:rsidR="00D83ED7" w:rsidRPr="00FA5FA8">
        <w:rPr>
          <w:szCs w:val="22"/>
          <w:lang w:val="cs-CZ"/>
        </w:rPr>
        <w:t xml:space="preserve">úhynu </w:t>
      </w:r>
      <w:r w:rsidRPr="00FA5FA8">
        <w:rPr>
          <w:szCs w:val="22"/>
          <w:lang w:val="cs-CZ"/>
        </w:rPr>
        <w:t>matky. V tomto případě je třeba zjistit, zda plod nejeví známky života, a pokud je to nutné, je třeba provést usmrcení odděleně.</w:t>
      </w:r>
    </w:p>
    <w:p w14:paraId="3956596D" w14:textId="77777777" w:rsidR="00594B17" w:rsidRPr="00FA5FA8" w:rsidRDefault="00594B17" w:rsidP="00FA5FA8">
      <w:pPr>
        <w:jc w:val="both"/>
        <w:rPr>
          <w:szCs w:val="22"/>
          <w:lang w:val="cs-CZ"/>
        </w:rPr>
      </w:pPr>
    </w:p>
    <w:p w14:paraId="34E3DAA8" w14:textId="4207141C" w:rsidR="006370ED" w:rsidRPr="00FA5FA8" w:rsidRDefault="006370ED" w:rsidP="00FA5FA8">
      <w:pPr>
        <w:jc w:val="both"/>
        <w:rPr>
          <w:szCs w:val="22"/>
          <w:u w:val="single"/>
          <w:lang w:val="cs-CZ"/>
        </w:rPr>
      </w:pPr>
      <w:r w:rsidRPr="00FA5FA8">
        <w:rPr>
          <w:szCs w:val="22"/>
          <w:u w:val="single"/>
          <w:lang w:val="cs-CZ"/>
        </w:rPr>
        <w:t>Interakce s dalšími léčivými přípravky a další formy interakce</w:t>
      </w:r>
      <w:r w:rsidR="004B5FFF" w:rsidRPr="00FA5FA8">
        <w:rPr>
          <w:szCs w:val="22"/>
          <w:u w:val="single"/>
          <w:lang w:val="cs-CZ"/>
        </w:rPr>
        <w:t>:</w:t>
      </w:r>
    </w:p>
    <w:p w14:paraId="24481FEC" w14:textId="77777777" w:rsidR="005F7524" w:rsidRPr="00FA5FA8" w:rsidRDefault="006370ED" w:rsidP="00FA5FA8">
      <w:pPr>
        <w:tabs>
          <w:tab w:val="clear" w:pos="567"/>
        </w:tabs>
        <w:spacing w:line="240" w:lineRule="auto"/>
        <w:jc w:val="both"/>
        <w:rPr>
          <w:szCs w:val="22"/>
          <w:u w:val="single"/>
          <w:lang w:val="cs-CZ"/>
        </w:rPr>
      </w:pPr>
      <w:r w:rsidRPr="00FA5FA8">
        <w:rPr>
          <w:szCs w:val="22"/>
          <w:lang w:val="cs-CZ"/>
        </w:rPr>
        <w:t xml:space="preserve">Ačkoli premedikace sedativy může zpozdit požadovaný účinek přípravku v důsledku snížené oběhové funkce, nemusí to být klinicky zjistitelné, neboť </w:t>
      </w:r>
      <w:r w:rsidR="000F49EF" w:rsidRPr="00FA5FA8">
        <w:rPr>
          <w:szCs w:val="22"/>
          <w:lang w:val="cs-CZ"/>
        </w:rPr>
        <w:t>l</w:t>
      </w:r>
      <w:r w:rsidRPr="00FA5FA8">
        <w:rPr>
          <w:szCs w:val="22"/>
          <w:lang w:val="cs-CZ"/>
        </w:rPr>
        <w:t>átky tlumící CNS (opioidy, α2 agonisty adrenoreceptoru, fenothiaziny atd.), mohou účinek pentobarbitalu zvýšit.</w:t>
      </w:r>
    </w:p>
    <w:p w14:paraId="7DFD5FBF" w14:textId="77777777" w:rsidR="006370ED" w:rsidRPr="00FA5FA8" w:rsidRDefault="006370ED" w:rsidP="00FA5FA8">
      <w:pPr>
        <w:tabs>
          <w:tab w:val="clear" w:pos="567"/>
        </w:tabs>
        <w:spacing w:line="240" w:lineRule="auto"/>
        <w:jc w:val="both"/>
        <w:rPr>
          <w:szCs w:val="22"/>
          <w:u w:val="single"/>
          <w:lang w:val="cs-CZ"/>
        </w:rPr>
      </w:pPr>
    </w:p>
    <w:p w14:paraId="454BFFBC" w14:textId="77777777" w:rsidR="004B5FFF" w:rsidRPr="00FA5FA8" w:rsidRDefault="004B5FFF" w:rsidP="00FA5FA8">
      <w:pPr>
        <w:tabs>
          <w:tab w:val="clear" w:pos="567"/>
        </w:tabs>
        <w:spacing w:line="240" w:lineRule="auto"/>
        <w:jc w:val="both"/>
        <w:rPr>
          <w:szCs w:val="22"/>
          <w:lang w:val="cs-CZ"/>
        </w:rPr>
      </w:pPr>
      <w:r w:rsidRPr="00FA5FA8">
        <w:rPr>
          <w:szCs w:val="22"/>
          <w:u w:val="single"/>
          <w:lang w:val="cs-CZ"/>
        </w:rPr>
        <w:t>Předávkování (symptomy, první pomoc, antidota)</w:t>
      </w:r>
      <w:r w:rsidRPr="00FA5FA8">
        <w:rPr>
          <w:szCs w:val="22"/>
          <w:lang w:val="cs-CZ"/>
        </w:rPr>
        <w:t>:</w:t>
      </w:r>
    </w:p>
    <w:p w14:paraId="0F9EBAAC" w14:textId="77777777" w:rsidR="004B5FFF" w:rsidRPr="00FA5FA8" w:rsidRDefault="004B5FFF" w:rsidP="00FA5FA8">
      <w:pPr>
        <w:jc w:val="both"/>
        <w:rPr>
          <w:szCs w:val="22"/>
          <w:lang w:val="cs-CZ"/>
        </w:rPr>
      </w:pPr>
      <w:r w:rsidRPr="00FA5FA8">
        <w:rPr>
          <w:szCs w:val="22"/>
          <w:lang w:val="cs-CZ"/>
        </w:rPr>
        <w:t>Neuplatňuje se.</w:t>
      </w:r>
    </w:p>
    <w:p w14:paraId="576C1720" w14:textId="77777777" w:rsidR="004B5FFF" w:rsidRPr="00FA5FA8" w:rsidRDefault="004B5FFF" w:rsidP="00FA5FA8">
      <w:pPr>
        <w:jc w:val="both"/>
        <w:rPr>
          <w:szCs w:val="22"/>
          <w:lang w:val="cs-CZ"/>
        </w:rPr>
      </w:pPr>
      <w:r w:rsidRPr="00FA5FA8">
        <w:rPr>
          <w:szCs w:val="22"/>
          <w:lang w:val="cs-CZ"/>
        </w:rPr>
        <w:t xml:space="preserve">  </w:t>
      </w:r>
    </w:p>
    <w:p w14:paraId="7C4F195F" w14:textId="77777777" w:rsidR="0043320A" w:rsidRPr="00FA5FA8" w:rsidRDefault="0043320A" w:rsidP="00FA5FA8">
      <w:pPr>
        <w:tabs>
          <w:tab w:val="clear" w:pos="567"/>
        </w:tabs>
        <w:spacing w:line="240" w:lineRule="auto"/>
        <w:jc w:val="both"/>
        <w:rPr>
          <w:szCs w:val="22"/>
          <w:lang w:val="cs-CZ"/>
        </w:rPr>
      </w:pPr>
      <w:r w:rsidRPr="00FA5FA8">
        <w:rPr>
          <w:szCs w:val="22"/>
          <w:u w:val="single"/>
          <w:lang w:val="cs-CZ"/>
        </w:rPr>
        <w:t>Inkompatibility:</w:t>
      </w:r>
    </w:p>
    <w:p w14:paraId="018D3C70" w14:textId="77777777" w:rsidR="00C114FF" w:rsidRPr="00FA5FA8" w:rsidRDefault="00DF28CF" w:rsidP="00FA5FA8">
      <w:pPr>
        <w:tabs>
          <w:tab w:val="clear" w:pos="567"/>
        </w:tabs>
        <w:spacing w:line="240" w:lineRule="auto"/>
        <w:jc w:val="both"/>
        <w:rPr>
          <w:szCs w:val="22"/>
          <w:lang w:val="cs-CZ"/>
        </w:rPr>
      </w:pPr>
      <w:r w:rsidRPr="00FA5FA8">
        <w:rPr>
          <w:szCs w:val="22"/>
          <w:lang w:val="cs-CZ"/>
        </w:rPr>
        <w:t>Studie kompatibility nejsou k dispozici, a proto tento veterinární léčivý přípravek nesmí být mísen s žádnými dalšími veterinárními léčivými přípravky.</w:t>
      </w:r>
    </w:p>
    <w:p w14:paraId="22544FF5" w14:textId="77777777" w:rsidR="0043320A" w:rsidRPr="00FA5FA8" w:rsidRDefault="0043320A" w:rsidP="00A9226B">
      <w:pPr>
        <w:tabs>
          <w:tab w:val="clear" w:pos="567"/>
        </w:tabs>
        <w:spacing w:line="240" w:lineRule="auto"/>
        <w:rPr>
          <w:szCs w:val="22"/>
          <w:lang w:val="cs-CZ"/>
        </w:rPr>
      </w:pPr>
    </w:p>
    <w:p w14:paraId="178C377C" w14:textId="77777777" w:rsidR="00C114FF" w:rsidRPr="00FA5FA8" w:rsidRDefault="00C114FF" w:rsidP="00FA5FA8">
      <w:pPr>
        <w:keepNext/>
        <w:tabs>
          <w:tab w:val="clear" w:pos="567"/>
        </w:tabs>
        <w:spacing w:line="240" w:lineRule="auto"/>
        <w:ind w:left="567" w:hanging="567"/>
        <w:jc w:val="both"/>
        <w:rPr>
          <w:b/>
          <w:szCs w:val="22"/>
          <w:lang w:val="cs-CZ"/>
        </w:rPr>
      </w:pPr>
      <w:r w:rsidRPr="00FA5FA8">
        <w:rPr>
          <w:b/>
          <w:bCs/>
          <w:szCs w:val="22"/>
          <w:lang w:val="cs-CZ"/>
        </w:rPr>
        <w:t>13.</w:t>
      </w:r>
      <w:r w:rsidRPr="00FA5FA8">
        <w:rPr>
          <w:b/>
          <w:bCs/>
          <w:szCs w:val="22"/>
          <w:lang w:val="cs-CZ"/>
        </w:rPr>
        <w:tab/>
        <w:t>ZVLÁŠTNÍ OPATŘENÍ PRO ZNEŠKODŇOVÁNÍ NEPOUŽITÝCH PŘÍPRAVKŮ NEBO ODPADU, POKUD JE JICH TŘEBA</w:t>
      </w:r>
    </w:p>
    <w:p w14:paraId="793947FA" w14:textId="77777777" w:rsidR="00C114FF" w:rsidRPr="00FA5FA8" w:rsidRDefault="00C114FF" w:rsidP="00FA5FA8">
      <w:pPr>
        <w:tabs>
          <w:tab w:val="clear" w:pos="567"/>
        </w:tabs>
        <w:spacing w:line="240" w:lineRule="auto"/>
        <w:jc w:val="both"/>
        <w:rPr>
          <w:szCs w:val="22"/>
          <w:lang w:val="cs-CZ"/>
        </w:rPr>
      </w:pPr>
    </w:p>
    <w:p w14:paraId="258B45A9" w14:textId="77777777" w:rsidR="008D5468" w:rsidRPr="00FA5FA8" w:rsidRDefault="008D5468" w:rsidP="00FA5FA8">
      <w:pPr>
        <w:tabs>
          <w:tab w:val="clear" w:pos="567"/>
        </w:tabs>
        <w:spacing w:line="240" w:lineRule="auto"/>
        <w:jc w:val="both"/>
        <w:rPr>
          <w:i/>
          <w:szCs w:val="22"/>
          <w:lang w:val="cs-CZ"/>
        </w:rPr>
      </w:pPr>
      <w:r w:rsidRPr="00FA5FA8">
        <w:rPr>
          <w:szCs w:val="22"/>
          <w:lang w:val="cs-CZ"/>
        </w:rPr>
        <w:t>Všechen nepoužitý veterinární léčivý přípravek nebo odpad, který pochází z tohoto přípravku, musí být likvidován podle místních právních předpisů.</w:t>
      </w:r>
    </w:p>
    <w:p w14:paraId="6AFC1B9D" w14:textId="77777777" w:rsidR="00C114FF" w:rsidRPr="00FA5FA8" w:rsidRDefault="00C114FF" w:rsidP="00A9226B">
      <w:pPr>
        <w:tabs>
          <w:tab w:val="clear" w:pos="567"/>
        </w:tabs>
        <w:spacing w:line="240" w:lineRule="auto"/>
        <w:rPr>
          <w:szCs w:val="22"/>
          <w:lang w:val="cs-CZ"/>
        </w:rPr>
      </w:pPr>
    </w:p>
    <w:p w14:paraId="64BC5137" w14:textId="77777777" w:rsidR="00C114FF" w:rsidRPr="00FA5FA8" w:rsidRDefault="00C114FF" w:rsidP="00A4313D">
      <w:pPr>
        <w:keepNext/>
        <w:tabs>
          <w:tab w:val="clear" w:pos="567"/>
        </w:tabs>
        <w:spacing w:line="240" w:lineRule="auto"/>
        <w:rPr>
          <w:szCs w:val="22"/>
          <w:lang w:val="cs-CZ"/>
        </w:rPr>
      </w:pPr>
      <w:r w:rsidRPr="00FA5FA8">
        <w:rPr>
          <w:b/>
          <w:bCs/>
          <w:szCs w:val="22"/>
          <w:lang w:val="cs-CZ"/>
        </w:rPr>
        <w:t>14.</w:t>
      </w:r>
      <w:r w:rsidRPr="00FA5FA8">
        <w:rPr>
          <w:b/>
          <w:bCs/>
          <w:szCs w:val="22"/>
          <w:lang w:val="cs-CZ"/>
        </w:rPr>
        <w:tab/>
        <w:t>DATUM POSLEDNÍ REVIZE PŘÍBALOVÉ INFORMACE</w:t>
      </w:r>
    </w:p>
    <w:p w14:paraId="27849C80" w14:textId="77777777" w:rsidR="00C114FF" w:rsidRPr="00FA5FA8" w:rsidRDefault="00C114FF" w:rsidP="00A9226B">
      <w:pPr>
        <w:tabs>
          <w:tab w:val="clear" w:pos="567"/>
        </w:tabs>
        <w:spacing w:line="240" w:lineRule="auto"/>
        <w:rPr>
          <w:szCs w:val="22"/>
          <w:lang w:val="cs-CZ"/>
        </w:rPr>
      </w:pPr>
    </w:p>
    <w:p w14:paraId="25749519" w14:textId="3DE706A5" w:rsidR="00DF28CF" w:rsidRPr="00FA5FA8" w:rsidRDefault="00FE29AC" w:rsidP="00A9226B">
      <w:pPr>
        <w:tabs>
          <w:tab w:val="clear" w:pos="567"/>
        </w:tabs>
        <w:spacing w:line="240" w:lineRule="auto"/>
        <w:rPr>
          <w:szCs w:val="22"/>
          <w:lang w:val="cs-CZ"/>
        </w:rPr>
      </w:pPr>
      <w:proofErr w:type="gramStart"/>
      <w:r>
        <w:rPr>
          <w:szCs w:val="22"/>
          <w:lang w:val="cs-CZ"/>
        </w:rPr>
        <w:t>Červen</w:t>
      </w:r>
      <w:proofErr w:type="gramEnd"/>
      <w:r w:rsidR="00384F67" w:rsidRPr="00FA5FA8">
        <w:rPr>
          <w:szCs w:val="22"/>
          <w:lang w:val="cs-CZ"/>
        </w:rPr>
        <w:t xml:space="preserve"> 2022</w:t>
      </w:r>
    </w:p>
    <w:p w14:paraId="04889536" w14:textId="77777777" w:rsidR="00392170" w:rsidRPr="00FA5FA8" w:rsidRDefault="00392170" w:rsidP="00A9226B">
      <w:pPr>
        <w:tabs>
          <w:tab w:val="clear" w:pos="567"/>
        </w:tabs>
        <w:spacing w:line="240" w:lineRule="auto"/>
        <w:rPr>
          <w:szCs w:val="22"/>
          <w:lang w:val="cs-CZ"/>
        </w:rPr>
      </w:pPr>
    </w:p>
    <w:p w14:paraId="06D0E3C8" w14:textId="77777777" w:rsidR="00C114FF" w:rsidRPr="00FA5FA8" w:rsidRDefault="00C114FF" w:rsidP="00A4313D">
      <w:pPr>
        <w:keepNext/>
        <w:tabs>
          <w:tab w:val="clear" w:pos="567"/>
        </w:tabs>
        <w:spacing w:line="240" w:lineRule="auto"/>
        <w:rPr>
          <w:szCs w:val="22"/>
          <w:lang w:val="cs-CZ"/>
        </w:rPr>
      </w:pPr>
      <w:r w:rsidRPr="00FA5FA8">
        <w:rPr>
          <w:b/>
          <w:bCs/>
          <w:szCs w:val="22"/>
          <w:lang w:val="cs-CZ"/>
        </w:rPr>
        <w:t>15.</w:t>
      </w:r>
      <w:r w:rsidRPr="00FA5FA8">
        <w:rPr>
          <w:b/>
          <w:bCs/>
          <w:szCs w:val="22"/>
          <w:lang w:val="cs-CZ"/>
        </w:rPr>
        <w:tab/>
        <w:t>DALŠÍ INFORMACE</w:t>
      </w:r>
    </w:p>
    <w:p w14:paraId="16BF14C0" w14:textId="77777777" w:rsidR="007955E4" w:rsidRPr="00FA5FA8" w:rsidRDefault="007955E4" w:rsidP="007955E4">
      <w:pPr>
        <w:rPr>
          <w:color w:val="000000"/>
          <w:szCs w:val="22"/>
          <w:lang w:val="cs-CZ"/>
        </w:rPr>
      </w:pPr>
    </w:p>
    <w:p w14:paraId="3B8BB9DB" w14:textId="77777777" w:rsidR="00AF405F" w:rsidRPr="00187B82" w:rsidRDefault="00AF405F" w:rsidP="00AF405F">
      <w:pPr>
        <w:rPr>
          <w:szCs w:val="22"/>
          <w:lang w:val="cs-CZ"/>
        </w:rPr>
      </w:pPr>
      <w:r w:rsidRPr="00187B82">
        <w:rPr>
          <w:szCs w:val="22"/>
          <w:lang w:val="cs-CZ"/>
        </w:rPr>
        <w:t>Veterinární léčivý přípravek je vydáván pouze na předpis.</w:t>
      </w:r>
    </w:p>
    <w:p w14:paraId="7A65D18F" w14:textId="77777777" w:rsidR="00AF405F" w:rsidRPr="00F7530C" w:rsidRDefault="00AF405F" w:rsidP="00AF405F">
      <w:pPr>
        <w:ind w:right="-318"/>
        <w:rPr>
          <w:szCs w:val="22"/>
          <w:lang w:val="cs-CZ"/>
        </w:rPr>
      </w:pPr>
      <w:r w:rsidRPr="00F7530C">
        <w:rPr>
          <w:szCs w:val="22"/>
          <w:lang w:val="cs-CZ"/>
        </w:rPr>
        <w:t>Pouze pro použití veterinárním lékařem.</w:t>
      </w:r>
    </w:p>
    <w:p w14:paraId="4621249C" w14:textId="6E89651C" w:rsidR="00AF405F" w:rsidRPr="00F7530C" w:rsidRDefault="0034714F" w:rsidP="00AF405F">
      <w:pPr>
        <w:ind w:right="566"/>
        <w:rPr>
          <w:szCs w:val="22"/>
          <w:lang w:val="cs-CZ"/>
        </w:rPr>
      </w:pPr>
      <w:r w:rsidRPr="00F7530C">
        <w:rPr>
          <w:noProof/>
          <w:szCs w:val="22"/>
          <w:lang w:val="cs-CZ"/>
        </w:rPr>
        <w:drawing>
          <wp:anchor distT="0" distB="0" distL="114300" distR="114300" simplePos="0" relativeHeight="251657728" behindDoc="0" locked="0" layoutInCell="1" allowOverlap="1" wp14:anchorId="28211F36" wp14:editId="23FF44A4">
            <wp:simplePos x="0" y="0"/>
            <wp:positionH relativeFrom="column">
              <wp:posOffset>2204720</wp:posOffset>
            </wp:positionH>
            <wp:positionV relativeFrom="paragraph">
              <wp:posOffset>67310</wp:posOffset>
            </wp:positionV>
            <wp:extent cx="411480" cy="248285"/>
            <wp:effectExtent l="0" t="0" r="762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64573" w14:textId="61F77D28" w:rsidR="00AF405F" w:rsidRPr="0084193B" w:rsidRDefault="00AF405F" w:rsidP="00AF405F">
      <w:pPr>
        <w:ind w:right="566"/>
        <w:rPr>
          <w:szCs w:val="22"/>
          <w:lang w:val="cs-CZ"/>
        </w:rPr>
      </w:pPr>
      <w:r w:rsidRPr="0084193B">
        <w:rPr>
          <w:szCs w:val="22"/>
          <w:lang w:val="cs-CZ"/>
        </w:rPr>
        <w:t xml:space="preserve">Přípravek obsahuje návykové látky. </w:t>
      </w:r>
    </w:p>
    <w:p w14:paraId="3A22F8E9" w14:textId="77777777" w:rsidR="00AF405F" w:rsidRPr="00FA5FA8" w:rsidRDefault="00AF405F" w:rsidP="007955E4">
      <w:pPr>
        <w:rPr>
          <w:color w:val="000000"/>
          <w:szCs w:val="22"/>
          <w:lang w:val="cs-CZ"/>
        </w:rPr>
      </w:pPr>
    </w:p>
    <w:p w14:paraId="4B2481E0" w14:textId="5E974058" w:rsidR="00357733" w:rsidRPr="00FA5FA8" w:rsidRDefault="00357733" w:rsidP="00357733">
      <w:pPr>
        <w:rPr>
          <w:color w:val="000000"/>
          <w:szCs w:val="22"/>
          <w:lang w:val="cs-CZ"/>
        </w:rPr>
      </w:pPr>
      <w:r w:rsidRPr="00FA5FA8">
        <w:rPr>
          <w:color w:val="000000"/>
          <w:szCs w:val="22"/>
          <w:lang w:val="cs-CZ"/>
        </w:rPr>
        <w:t>Velikosti balení: 1 nebo 12 injekčních lahviček po 100 ml</w:t>
      </w:r>
      <w:r w:rsidR="004B5FFF" w:rsidRPr="00FA5FA8">
        <w:rPr>
          <w:color w:val="000000"/>
          <w:szCs w:val="22"/>
          <w:lang w:val="cs-CZ"/>
        </w:rPr>
        <w:t xml:space="preserve">, </w:t>
      </w:r>
      <w:r w:rsidRPr="00FA5FA8">
        <w:rPr>
          <w:color w:val="000000"/>
          <w:szCs w:val="22"/>
          <w:lang w:val="cs-CZ"/>
        </w:rPr>
        <w:t>1 nebo 12 injekčních lahviček po 250 ml.</w:t>
      </w:r>
    </w:p>
    <w:p w14:paraId="0F6706EB" w14:textId="77777777" w:rsidR="005F7524" w:rsidRPr="00FA5FA8" w:rsidRDefault="005F7524" w:rsidP="00AE7C1E">
      <w:pPr>
        <w:tabs>
          <w:tab w:val="clear" w:pos="567"/>
        </w:tabs>
        <w:spacing w:line="240" w:lineRule="auto"/>
        <w:rPr>
          <w:szCs w:val="22"/>
          <w:lang w:val="cs-CZ"/>
        </w:rPr>
      </w:pPr>
      <w:r w:rsidRPr="00FA5FA8">
        <w:rPr>
          <w:szCs w:val="22"/>
          <w:lang w:val="cs-CZ"/>
        </w:rPr>
        <w:t>Na trhu nemusí být všechny velikosti balení.</w:t>
      </w:r>
    </w:p>
    <w:p w14:paraId="7E810BF5" w14:textId="77777777" w:rsidR="005F7524" w:rsidRPr="00FA5FA8" w:rsidRDefault="005F7524" w:rsidP="005F7524">
      <w:pPr>
        <w:tabs>
          <w:tab w:val="clear" w:pos="567"/>
        </w:tabs>
        <w:spacing w:line="240" w:lineRule="auto"/>
        <w:rPr>
          <w:szCs w:val="22"/>
          <w:lang w:val="cs-CZ"/>
        </w:rPr>
      </w:pPr>
    </w:p>
    <w:p w14:paraId="37B4A4C0" w14:textId="77777777" w:rsidR="00C114FF" w:rsidRPr="00FA5FA8" w:rsidRDefault="00C114FF" w:rsidP="00A9226B">
      <w:pPr>
        <w:tabs>
          <w:tab w:val="clear" w:pos="567"/>
        </w:tabs>
        <w:spacing w:line="240" w:lineRule="auto"/>
        <w:rPr>
          <w:szCs w:val="22"/>
          <w:lang w:val="cs-CZ"/>
        </w:rPr>
      </w:pPr>
    </w:p>
    <w:sectPr w:rsidR="00C114FF" w:rsidRPr="00FA5FA8" w:rsidSect="007F2F03">
      <w:headerReference w:type="default" r:id="rId19"/>
      <w:footerReference w:type="default" r:id="rId20"/>
      <w:footerReference w:type="first" r:id="rId2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4584" w14:textId="77777777" w:rsidR="00A6613C" w:rsidRDefault="00A6613C">
      <w:r>
        <w:separator/>
      </w:r>
    </w:p>
  </w:endnote>
  <w:endnote w:type="continuationSeparator" w:id="0">
    <w:p w14:paraId="0176C642" w14:textId="77777777" w:rsidR="00A6613C" w:rsidRDefault="00A6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EC18" w14:textId="77777777" w:rsidR="00A55CCC" w:rsidRPr="00B94A1B" w:rsidRDefault="003F5A87">
    <w:pPr>
      <w:pStyle w:val="Zpat"/>
      <w:tabs>
        <w:tab w:val="clear" w:pos="8930"/>
        <w:tab w:val="right" w:pos="8931"/>
      </w:tabs>
      <w:jc w:val="center"/>
      <w:rPr>
        <w:rFonts w:ascii="Times New Roman" w:hAnsi="Times New Roman"/>
      </w:rPr>
    </w:pPr>
    <w:r>
      <w:rPr>
        <w:rFonts w:ascii="Times New Roman" w:hAnsi="Times New Roman"/>
        <w:lang w:val="cs"/>
      </w:rPr>
      <w:fldChar w:fldCharType="begin"/>
    </w:r>
    <w:r w:rsidR="00A55CCC">
      <w:rPr>
        <w:rFonts w:ascii="Times New Roman" w:hAnsi="Times New Roman"/>
        <w:lang w:val="cs"/>
      </w:rPr>
      <w:instrText xml:space="preserve"> PAGE  \* MERGEFORMAT </w:instrText>
    </w:r>
    <w:r>
      <w:rPr>
        <w:rFonts w:ascii="Times New Roman" w:hAnsi="Times New Roman"/>
        <w:lang w:val="cs"/>
      </w:rPr>
      <w:fldChar w:fldCharType="separate"/>
    </w:r>
    <w:r w:rsidR="00A90721">
      <w:rPr>
        <w:rFonts w:ascii="Times New Roman" w:hAnsi="Times New Roman"/>
        <w:noProof/>
        <w:lang w:val="cs"/>
      </w:rPr>
      <w:t>7</w:t>
    </w:r>
    <w:r>
      <w:rPr>
        <w:rFonts w:ascii="Times New Roman" w:hAnsi="Times New Roman"/>
        <w:lang w:val="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A6F5" w14:textId="77777777" w:rsidR="00A55CCC" w:rsidRDefault="003F5A87">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rsidR="00A55CCC">
      <w:rPr>
        <w:noProof/>
        <w:lang w:val="c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A0C4" w14:textId="77777777" w:rsidR="00A6613C" w:rsidRDefault="00A6613C">
      <w:r>
        <w:separator/>
      </w:r>
    </w:p>
  </w:footnote>
  <w:footnote w:type="continuationSeparator" w:id="0">
    <w:p w14:paraId="067A1544" w14:textId="77777777" w:rsidR="00A6613C" w:rsidRDefault="00A6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0D45" w14:textId="3D817453" w:rsidR="00843FE2" w:rsidRPr="00843FE2" w:rsidRDefault="00843FE2">
    <w:pPr>
      <w:pStyle w:val="Zhlav"/>
      <w:rPr>
        <w:lang w:val="cs-CZ"/>
      </w:rPr>
    </w:pPr>
    <w:r>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Obrázek: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572A13"/>
    <w:multiLevelType w:val="hybridMultilevel"/>
    <w:tmpl w:val="E718229E"/>
    <w:lvl w:ilvl="0" w:tplc="4B4E73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3"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2"/>
  </w:num>
  <w:num w:numId="4">
    <w:abstractNumId w:val="31"/>
  </w:num>
  <w:num w:numId="5">
    <w:abstractNumId w:val="13"/>
  </w:num>
  <w:num w:numId="6">
    <w:abstractNumId w:val="24"/>
  </w:num>
  <w:num w:numId="7">
    <w:abstractNumId w:val="19"/>
  </w:num>
  <w:num w:numId="8">
    <w:abstractNumId w:val="9"/>
  </w:num>
  <w:num w:numId="9">
    <w:abstractNumId w:val="29"/>
  </w:num>
  <w:num w:numId="10">
    <w:abstractNumId w:val="30"/>
  </w:num>
  <w:num w:numId="11">
    <w:abstractNumId w:val="15"/>
  </w:num>
  <w:num w:numId="12">
    <w:abstractNumId w:val="14"/>
  </w:num>
  <w:num w:numId="13">
    <w:abstractNumId w:val="3"/>
  </w:num>
  <w:num w:numId="14">
    <w:abstractNumId w:val="28"/>
  </w:num>
  <w:num w:numId="15">
    <w:abstractNumId w:val="17"/>
  </w:num>
  <w:num w:numId="16">
    <w:abstractNumId w:val="33"/>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4"/>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5"/>
  </w:num>
  <w:num w:numId="31">
    <w:abstractNumId w:val="36"/>
  </w:num>
  <w:num w:numId="32">
    <w:abstractNumId w:val="20"/>
  </w:num>
  <w:num w:numId="33">
    <w:abstractNumId w:val="27"/>
  </w:num>
  <w:num w:numId="34">
    <w:abstractNumId w:val="23"/>
  </w:num>
  <w:num w:numId="35">
    <w:abstractNumId w:val="2"/>
  </w:num>
  <w:num w:numId="36">
    <w:abstractNumId w:val="5"/>
  </w:num>
  <w:num w:numId="37">
    <w:abstractNumId w:val="2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1879"/>
    <w:rsid w:val="00024E21"/>
    <w:rsid w:val="000251C4"/>
    <w:rsid w:val="00030BA6"/>
    <w:rsid w:val="00033B9D"/>
    <w:rsid w:val="00036C50"/>
    <w:rsid w:val="00040A18"/>
    <w:rsid w:val="00042BEA"/>
    <w:rsid w:val="00047E55"/>
    <w:rsid w:val="00050A8A"/>
    <w:rsid w:val="00052D2B"/>
    <w:rsid w:val="00054F55"/>
    <w:rsid w:val="00062945"/>
    <w:rsid w:val="00064D7B"/>
    <w:rsid w:val="00082879"/>
    <w:rsid w:val="000854E5"/>
    <w:rsid w:val="000856B6"/>
    <w:rsid w:val="000860CE"/>
    <w:rsid w:val="000938A6"/>
    <w:rsid w:val="000A1DF5"/>
    <w:rsid w:val="000A35A6"/>
    <w:rsid w:val="000A6F83"/>
    <w:rsid w:val="000B7873"/>
    <w:rsid w:val="000C1D4F"/>
    <w:rsid w:val="000D67D0"/>
    <w:rsid w:val="000E195C"/>
    <w:rsid w:val="000E3602"/>
    <w:rsid w:val="000F38DA"/>
    <w:rsid w:val="000F49EF"/>
    <w:rsid w:val="000F5822"/>
    <w:rsid w:val="000F796B"/>
    <w:rsid w:val="0010031E"/>
    <w:rsid w:val="001012EB"/>
    <w:rsid w:val="001014FF"/>
    <w:rsid w:val="001078D1"/>
    <w:rsid w:val="00115782"/>
    <w:rsid w:val="00124F36"/>
    <w:rsid w:val="00125C80"/>
    <w:rsid w:val="00136CE0"/>
    <w:rsid w:val="00140DF6"/>
    <w:rsid w:val="00145D34"/>
    <w:rsid w:val="00146284"/>
    <w:rsid w:val="0014690F"/>
    <w:rsid w:val="00162535"/>
    <w:rsid w:val="00166279"/>
    <w:rsid w:val="001674D3"/>
    <w:rsid w:val="001803D2"/>
    <w:rsid w:val="0018228B"/>
    <w:rsid w:val="00185B50"/>
    <w:rsid w:val="00187B82"/>
    <w:rsid w:val="00187DE7"/>
    <w:rsid w:val="00192045"/>
    <w:rsid w:val="00192EF9"/>
    <w:rsid w:val="00193B14"/>
    <w:rsid w:val="00193E72"/>
    <w:rsid w:val="00195267"/>
    <w:rsid w:val="0019600B"/>
    <w:rsid w:val="0019686E"/>
    <w:rsid w:val="001A28C9"/>
    <w:rsid w:val="001A34BC"/>
    <w:rsid w:val="001B1C77"/>
    <w:rsid w:val="001B71A5"/>
    <w:rsid w:val="001C2573"/>
    <w:rsid w:val="001C5288"/>
    <w:rsid w:val="001C5B03"/>
    <w:rsid w:val="001C6B65"/>
    <w:rsid w:val="001D4EAA"/>
    <w:rsid w:val="001F433B"/>
    <w:rsid w:val="001F6622"/>
    <w:rsid w:val="001F740D"/>
    <w:rsid w:val="00206DB4"/>
    <w:rsid w:val="002100FC"/>
    <w:rsid w:val="00213890"/>
    <w:rsid w:val="00214E52"/>
    <w:rsid w:val="002207C0"/>
    <w:rsid w:val="00221E6E"/>
    <w:rsid w:val="00222081"/>
    <w:rsid w:val="00223907"/>
    <w:rsid w:val="00224CE4"/>
    <w:rsid w:val="0023676E"/>
    <w:rsid w:val="00240AFD"/>
    <w:rsid w:val="002414B6"/>
    <w:rsid w:val="002422EB"/>
    <w:rsid w:val="00242397"/>
    <w:rsid w:val="00246DB1"/>
    <w:rsid w:val="00247264"/>
    <w:rsid w:val="0025011D"/>
    <w:rsid w:val="00250DD1"/>
    <w:rsid w:val="00251183"/>
    <w:rsid w:val="00251689"/>
    <w:rsid w:val="0025267C"/>
    <w:rsid w:val="00253B6B"/>
    <w:rsid w:val="002624BD"/>
    <w:rsid w:val="00265656"/>
    <w:rsid w:val="00266155"/>
    <w:rsid w:val="0027270B"/>
    <w:rsid w:val="00274684"/>
    <w:rsid w:val="0027473B"/>
    <w:rsid w:val="00281B7C"/>
    <w:rsid w:val="00290805"/>
    <w:rsid w:val="00290C2A"/>
    <w:rsid w:val="00293144"/>
    <w:rsid w:val="002931DD"/>
    <w:rsid w:val="0029344D"/>
    <w:rsid w:val="00297211"/>
    <w:rsid w:val="002A0E7C"/>
    <w:rsid w:val="002A21ED"/>
    <w:rsid w:val="002A3F88"/>
    <w:rsid w:val="002C592B"/>
    <w:rsid w:val="002C7B84"/>
    <w:rsid w:val="002E1F54"/>
    <w:rsid w:val="002E3A90"/>
    <w:rsid w:val="002E62CB"/>
    <w:rsid w:val="002E6DF1"/>
    <w:rsid w:val="002E7B5B"/>
    <w:rsid w:val="002F0957"/>
    <w:rsid w:val="002F38C5"/>
    <w:rsid w:val="002F43F6"/>
    <w:rsid w:val="002F5C70"/>
    <w:rsid w:val="003020BB"/>
    <w:rsid w:val="00304393"/>
    <w:rsid w:val="00305AB2"/>
    <w:rsid w:val="0031032B"/>
    <w:rsid w:val="00315E22"/>
    <w:rsid w:val="00316E87"/>
    <w:rsid w:val="00320DA3"/>
    <w:rsid w:val="003256AC"/>
    <w:rsid w:val="003305E4"/>
    <w:rsid w:val="003311A2"/>
    <w:rsid w:val="0033129D"/>
    <w:rsid w:val="003320ED"/>
    <w:rsid w:val="0033480E"/>
    <w:rsid w:val="00337123"/>
    <w:rsid w:val="00341866"/>
    <w:rsid w:val="0034685A"/>
    <w:rsid w:val="00346C72"/>
    <w:rsid w:val="0034714F"/>
    <w:rsid w:val="003535E0"/>
    <w:rsid w:val="00357733"/>
    <w:rsid w:val="00366F56"/>
    <w:rsid w:val="00367057"/>
    <w:rsid w:val="00372476"/>
    <w:rsid w:val="003737C8"/>
    <w:rsid w:val="0037455B"/>
    <w:rsid w:val="0037589D"/>
    <w:rsid w:val="00376BB1"/>
    <w:rsid w:val="00377E23"/>
    <w:rsid w:val="0038277C"/>
    <w:rsid w:val="00384F67"/>
    <w:rsid w:val="003909E0"/>
    <w:rsid w:val="00392170"/>
    <w:rsid w:val="00395B15"/>
    <w:rsid w:val="00396026"/>
    <w:rsid w:val="003A19F1"/>
    <w:rsid w:val="003A6CCB"/>
    <w:rsid w:val="003A7CBA"/>
    <w:rsid w:val="003B48EB"/>
    <w:rsid w:val="003C33FF"/>
    <w:rsid w:val="003C4200"/>
    <w:rsid w:val="003C64A5"/>
    <w:rsid w:val="003C6B67"/>
    <w:rsid w:val="003D03CC"/>
    <w:rsid w:val="003D4BB7"/>
    <w:rsid w:val="003D4D27"/>
    <w:rsid w:val="003D72E8"/>
    <w:rsid w:val="003D7CF9"/>
    <w:rsid w:val="003E0116"/>
    <w:rsid w:val="003E2653"/>
    <w:rsid w:val="003E26C3"/>
    <w:rsid w:val="003F0D6C"/>
    <w:rsid w:val="003F0F26"/>
    <w:rsid w:val="003F12D9"/>
    <w:rsid w:val="003F1B4C"/>
    <w:rsid w:val="003F5A87"/>
    <w:rsid w:val="003F7B0B"/>
    <w:rsid w:val="0040076B"/>
    <w:rsid w:val="004008F6"/>
    <w:rsid w:val="00414B20"/>
    <w:rsid w:val="00417DE3"/>
    <w:rsid w:val="00423968"/>
    <w:rsid w:val="00425DBB"/>
    <w:rsid w:val="00427054"/>
    <w:rsid w:val="004304B1"/>
    <w:rsid w:val="0043320A"/>
    <w:rsid w:val="004518A6"/>
    <w:rsid w:val="00453E1D"/>
    <w:rsid w:val="00454589"/>
    <w:rsid w:val="00456ED0"/>
    <w:rsid w:val="00457550"/>
    <w:rsid w:val="00460125"/>
    <w:rsid w:val="00462DE7"/>
    <w:rsid w:val="00474C50"/>
    <w:rsid w:val="00482224"/>
    <w:rsid w:val="00486006"/>
    <w:rsid w:val="00486BAD"/>
    <w:rsid w:val="00486BBE"/>
    <w:rsid w:val="00487123"/>
    <w:rsid w:val="004A1BD5"/>
    <w:rsid w:val="004A61E1"/>
    <w:rsid w:val="004B17DA"/>
    <w:rsid w:val="004B2344"/>
    <w:rsid w:val="004B5FFF"/>
    <w:rsid w:val="004B798E"/>
    <w:rsid w:val="004C09F3"/>
    <w:rsid w:val="004D3E58"/>
    <w:rsid w:val="004D6746"/>
    <w:rsid w:val="004E0F32"/>
    <w:rsid w:val="004E23A1"/>
    <w:rsid w:val="004E7ECE"/>
    <w:rsid w:val="005004EC"/>
    <w:rsid w:val="00505722"/>
    <w:rsid w:val="00506104"/>
    <w:rsid w:val="00512386"/>
    <w:rsid w:val="00513D8A"/>
    <w:rsid w:val="005234A4"/>
    <w:rsid w:val="00523C53"/>
    <w:rsid w:val="00526706"/>
    <w:rsid w:val="00527B8F"/>
    <w:rsid w:val="0053751F"/>
    <w:rsid w:val="00542012"/>
    <w:rsid w:val="00543DF5"/>
    <w:rsid w:val="0055260D"/>
    <w:rsid w:val="00555810"/>
    <w:rsid w:val="00562DCA"/>
    <w:rsid w:val="00562E3F"/>
    <w:rsid w:val="0056568F"/>
    <w:rsid w:val="005701AE"/>
    <w:rsid w:val="00581A0F"/>
    <w:rsid w:val="00582578"/>
    <w:rsid w:val="00583DEF"/>
    <w:rsid w:val="00590D58"/>
    <w:rsid w:val="00594B17"/>
    <w:rsid w:val="005A0987"/>
    <w:rsid w:val="005A3503"/>
    <w:rsid w:val="005A74A3"/>
    <w:rsid w:val="005B04A8"/>
    <w:rsid w:val="005B18B8"/>
    <w:rsid w:val="005B328D"/>
    <w:rsid w:val="005B3503"/>
    <w:rsid w:val="005B4DCD"/>
    <w:rsid w:val="005B4FAD"/>
    <w:rsid w:val="005B5D1B"/>
    <w:rsid w:val="005C4599"/>
    <w:rsid w:val="005D2B62"/>
    <w:rsid w:val="005D380C"/>
    <w:rsid w:val="005D6E04"/>
    <w:rsid w:val="005D7A12"/>
    <w:rsid w:val="005E53EE"/>
    <w:rsid w:val="005E5610"/>
    <w:rsid w:val="005F0542"/>
    <w:rsid w:val="005F0F72"/>
    <w:rsid w:val="005F1C1F"/>
    <w:rsid w:val="005F346D"/>
    <w:rsid w:val="005F38FB"/>
    <w:rsid w:val="005F7524"/>
    <w:rsid w:val="00606EA1"/>
    <w:rsid w:val="006128F0"/>
    <w:rsid w:val="006154B4"/>
    <w:rsid w:val="006155BF"/>
    <w:rsid w:val="0061726B"/>
    <w:rsid w:val="00617D63"/>
    <w:rsid w:val="00622FE4"/>
    <w:rsid w:val="0062387A"/>
    <w:rsid w:val="0062732C"/>
    <w:rsid w:val="006344BE"/>
    <w:rsid w:val="00634A66"/>
    <w:rsid w:val="006370ED"/>
    <w:rsid w:val="0063794F"/>
    <w:rsid w:val="00640336"/>
    <w:rsid w:val="00640FC9"/>
    <w:rsid w:val="0064175E"/>
    <w:rsid w:val="006432F2"/>
    <w:rsid w:val="0065320F"/>
    <w:rsid w:val="00653D64"/>
    <w:rsid w:val="00654E13"/>
    <w:rsid w:val="00667489"/>
    <w:rsid w:val="00670D44"/>
    <w:rsid w:val="006767FF"/>
    <w:rsid w:val="00676AFC"/>
    <w:rsid w:val="006807CD"/>
    <w:rsid w:val="0068275D"/>
    <w:rsid w:val="00682D43"/>
    <w:rsid w:val="006859B4"/>
    <w:rsid w:val="00685BAF"/>
    <w:rsid w:val="006B12CB"/>
    <w:rsid w:val="006B5916"/>
    <w:rsid w:val="006C4F4A"/>
    <w:rsid w:val="006C5E80"/>
    <w:rsid w:val="006C7CEE"/>
    <w:rsid w:val="006D075E"/>
    <w:rsid w:val="006D7C6E"/>
    <w:rsid w:val="006E0D0D"/>
    <w:rsid w:val="006E2F95"/>
    <w:rsid w:val="00700B5B"/>
    <w:rsid w:val="00704E21"/>
    <w:rsid w:val="00705EAF"/>
    <w:rsid w:val="007101CC"/>
    <w:rsid w:val="007241DD"/>
    <w:rsid w:val="00724E3B"/>
    <w:rsid w:val="00725EEA"/>
    <w:rsid w:val="00730CE9"/>
    <w:rsid w:val="0073373D"/>
    <w:rsid w:val="00734DE1"/>
    <w:rsid w:val="00743826"/>
    <w:rsid w:val="007439DB"/>
    <w:rsid w:val="00756A8D"/>
    <w:rsid w:val="00761ED5"/>
    <w:rsid w:val="00763358"/>
    <w:rsid w:val="0076460B"/>
    <w:rsid w:val="00765316"/>
    <w:rsid w:val="007708C8"/>
    <w:rsid w:val="0077719D"/>
    <w:rsid w:val="00780DF0"/>
    <w:rsid w:val="00782F0F"/>
    <w:rsid w:val="00787482"/>
    <w:rsid w:val="007955E4"/>
    <w:rsid w:val="00796989"/>
    <w:rsid w:val="00797CBA"/>
    <w:rsid w:val="007A1ECF"/>
    <w:rsid w:val="007A286D"/>
    <w:rsid w:val="007A38DF"/>
    <w:rsid w:val="007B20CF"/>
    <w:rsid w:val="007B2499"/>
    <w:rsid w:val="007B72E1"/>
    <w:rsid w:val="007B783A"/>
    <w:rsid w:val="007C1B95"/>
    <w:rsid w:val="007C705C"/>
    <w:rsid w:val="007D53CD"/>
    <w:rsid w:val="007E0D9D"/>
    <w:rsid w:val="007E2F2D"/>
    <w:rsid w:val="007E42CE"/>
    <w:rsid w:val="007E44F4"/>
    <w:rsid w:val="007F1433"/>
    <w:rsid w:val="007F1491"/>
    <w:rsid w:val="007F2F03"/>
    <w:rsid w:val="007F6EF1"/>
    <w:rsid w:val="00800FE0"/>
    <w:rsid w:val="00801F55"/>
    <w:rsid w:val="00803657"/>
    <w:rsid w:val="008066AD"/>
    <w:rsid w:val="00811E8D"/>
    <w:rsid w:val="0081517F"/>
    <w:rsid w:val="00815370"/>
    <w:rsid w:val="0082153D"/>
    <w:rsid w:val="008255AA"/>
    <w:rsid w:val="00827F09"/>
    <w:rsid w:val="00830FF3"/>
    <w:rsid w:val="00836B8C"/>
    <w:rsid w:val="008410C5"/>
    <w:rsid w:val="0084193B"/>
    <w:rsid w:val="00843FE2"/>
    <w:rsid w:val="00846C08"/>
    <w:rsid w:val="008530E7"/>
    <w:rsid w:val="00857675"/>
    <w:rsid w:val="008763E7"/>
    <w:rsid w:val="008808C5"/>
    <w:rsid w:val="00881836"/>
    <w:rsid w:val="00881A7C"/>
    <w:rsid w:val="00881E60"/>
    <w:rsid w:val="008825AD"/>
    <w:rsid w:val="0088275A"/>
    <w:rsid w:val="00883C78"/>
    <w:rsid w:val="00885159"/>
    <w:rsid w:val="00885214"/>
    <w:rsid w:val="00887615"/>
    <w:rsid w:val="00890052"/>
    <w:rsid w:val="00894E3A"/>
    <w:rsid w:val="008967AA"/>
    <w:rsid w:val="00896EBD"/>
    <w:rsid w:val="008A5665"/>
    <w:rsid w:val="008B05E5"/>
    <w:rsid w:val="008B24A8"/>
    <w:rsid w:val="008B3D78"/>
    <w:rsid w:val="008B4B0D"/>
    <w:rsid w:val="008B4FC0"/>
    <w:rsid w:val="008B7FA8"/>
    <w:rsid w:val="008C261B"/>
    <w:rsid w:val="008C3FB2"/>
    <w:rsid w:val="008C4FCA"/>
    <w:rsid w:val="008C7882"/>
    <w:rsid w:val="008D2261"/>
    <w:rsid w:val="008D4C28"/>
    <w:rsid w:val="008D5468"/>
    <w:rsid w:val="008D577B"/>
    <w:rsid w:val="008D6607"/>
    <w:rsid w:val="008E17C4"/>
    <w:rsid w:val="008E45C4"/>
    <w:rsid w:val="008E64B1"/>
    <w:rsid w:val="008E64FA"/>
    <w:rsid w:val="008F3D80"/>
    <w:rsid w:val="008F4DEF"/>
    <w:rsid w:val="009048E1"/>
    <w:rsid w:val="00904AB4"/>
    <w:rsid w:val="0090517D"/>
    <w:rsid w:val="00911404"/>
    <w:rsid w:val="00913885"/>
    <w:rsid w:val="00927948"/>
    <w:rsid w:val="00931D41"/>
    <w:rsid w:val="00933D18"/>
    <w:rsid w:val="00942221"/>
    <w:rsid w:val="00950FBB"/>
    <w:rsid w:val="00953349"/>
    <w:rsid w:val="00954E0C"/>
    <w:rsid w:val="00961156"/>
    <w:rsid w:val="00964591"/>
    <w:rsid w:val="00966F1F"/>
    <w:rsid w:val="00976D32"/>
    <w:rsid w:val="009807E5"/>
    <w:rsid w:val="009844F7"/>
    <w:rsid w:val="00995F00"/>
    <w:rsid w:val="009A05AA"/>
    <w:rsid w:val="009A2D5A"/>
    <w:rsid w:val="009A2F77"/>
    <w:rsid w:val="009A5B05"/>
    <w:rsid w:val="009A74BD"/>
    <w:rsid w:val="009B2C7E"/>
    <w:rsid w:val="009C00FD"/>
    <w:rsid w:val="009C0EEC"/>
    <w:rsid w:val="009C18C6"/>
    <w:rsid w:val="009C2E47"/>
    <w:rsid w:val="009C6BFB"/>
    <w:rsid w:val="009D0C05"/>
    <w:rsid w:val="009E2C00"/>
    <w:rsid w:val="009E70F4"/>
    <w:rsid w:val="009F1AD2"/>
    <w:rsid w:val="009F281A"/>
    <w:rsid w:val="00A03B33"/>
    <w:rsid w:val="00A05E6D"/>
    <w:rsid w:val="00A11755"/>
    <w:rsid w:val="00A13284"/>
    <w:rsid w:val="00A207FB"/>
    <w:rsid w:val="00A22852"/>
    <w:rsid w:val="00A232DD"/>
    <w:rsid w:val="00A26F44"/>
    <w:rsid w:val="00A27039"/>
    <w:rsid w:val="00A42BC2"/>
    <w:rsid w:val="00A4313D"/>
    <w:rsid w:val="00A45362"/>
    <w:rsid w:val="00A47633"/>
    <w:rsid w:val="00A50120"/>
    <w:rsid w:val="00A55CCC"/>
    <w:rsid w:val="00A60351"/>
    <w:rsid w:val="00A61C55"/>
    <w:rsid w:val="00A61C6D"/>
    <w:rsid w:val="00A63015"/>
    <w:rsid w:val="00A63FCB"/>
    <w:rsid w:val="00A6613C"/>
    <w:rsid w:val="00A674DC"/>
    <w:rsid w:val="00A678B4"/>
    <w:rsid w:val="00A704A3"/>
    <w:rsid w:val="00A72822"/>
    <w:rsid w:val="00A75E23"/>
    <w:rsid w:val="00A82AA0"/>
    <w:rsid w:val="00A82F8A"/>
    <w:rsid w:val="00A83B88"/>
    <w:rsid w:val="00A90721"/>
    <w:rsid w:val="00A9090D"/>
    <w:rsid w:val="00A9193A"/>
    <w:rsid w:val="00A9226B"/>
    <w:rsid w:val="00A9254A"/>
    <w:rsid w:val="00A9575C"/>
    <w:rsid w:val="00A95844"/>
    <w:rsid w:val="00A95B56"/>
    <w:rsid w:val="00A969AF"/>
    <w:rsid w:val="00AA503D"/>
    <w:rsid w:val="00AB1A2E"/>
    <w:rsid w:val="00AB328A"/>
    <w:rsid w:val="00AB40D9"/>
    <w:rsid w:val="00AB4918"/>
    <w:rsid w:val="00AB4BC8"/>
    <w:rsid w:val="00AB6BA7"/>
    <w:rsid w:val="00AD0376"/>
    <w:rsid w:val="00AD0710"/>
    <w:rsid w:val="00AD07FD"/>
    <w:rsid w:val="00AD4DB9"/>
    <w:rsid w:val="00AD63C0"/>
    <w:rsid w:val="00AE35B2"/>
    <w:rsid w:val="00AE6AA0"/>
    <w:rsid w:val="00AE7C1E"/>
    <w:rsid w:val="00AF07E5"/>
    <w:rsid w:val="00AF405F"/>
    <w:rsid w:val="00AF45FE"/>
    <w:rsid w:val="00B10F47"/>
    <w:rsid w:val="00B119A2"/>
    <w:rsid w:val="00B12E24"/>
    <w:rsid w:val="00B139CE"/>
    <w:rsid w:val="00B177F2"/>
    <w:rsid w:val="00B201F1"/>
    <w:rsid w:val="00B304E7"/>
    <w:rsid w:val="00B318B6"/>
    <w:rsid w:val="00B37CF1"/>
    <w:rsid w:val="00B5496F"/>
    <w:rsid w:val="00B5752F"/>
    <w:rsid w:val="00B60AC9"/>
    <w:rsid w:val="00B657A3"/>
    <w:rsid w:val="00B67323"/>
    <w:rsid w:val="00B67511"/>
    <w:rsid w:val="00B74071"/>
    <w:rsid w:val="00B7428E"/>
    <w:rsid w:val="00B74B67"/>
    <w:rsid w:val="00B82ED4"/>
    <w:rsid w:val="00B8424F"/>
    <w:rsid w:val="00B86896"/>
    <w:rsid w:val="00B875A6"/>
    <w:rsid w:val="00B917C1"/>
    <w:rsid w:val="00B9352A"/>
    <w:rsid w:val="00B93E4C"/>
    <w:rsid w:val="00B94A1B"/>
    <w:rsid w:val="00BA5C89"/>
    <w:rsid w:val="00BA7DE6"/>
    <w:rsid w:val="00BB4CE2"/>
    <w:rsid w:val="00BC0EFB"/>
    <w:rsid w:val="00BC195F"/>
    <w:rsid w:val="00BC1CF6"/>
    <w:rsid w:val="00BC2E39"/>
    <w:rsid w:val="00BD279E"/>
    <w:rsid w:val="00BD6DD5"/>
    <w:rsid w:val="00BE3261"/>
    <w:rsid w:val="00BE416A"/>
    <w:rsid w:val="00BF58FC"/>
    <w:rsid w:val="00C01F77"/>
    <w:rsid w:val="00C01FFC"/>
    <w:rsid w:val="00C06AE4"/>
    <w:rsid w:val="00C107C4"/>
    <w:rsid w:val="00C114FF"/>
    <w:rsid w:val="00C171A1"/>
    <w:rsid w:val="00C171A4"/>
    <w:rsid w:val="00C17F12"/>
    <w:rsid w:val="00C232B2"/>
    <w:rsid w:val="00C237E9"/>
    <w:rsid w:val="00C266BA"/>
    <w:rsid w:val="00C303E7"/>
    <w:rsid w:val="00C31142"/>
    <w:rsid w:val="00C36883"/>
    <w:rsid w:val="00C40928"/>
    <w:rsid w:val="00C43F01"/>
    <w:rsid w:val="00C47552"/>
    <w:rsid w:val="00C5275F"/>
    <w:rsid w:val="00C57A81"/>
    <w:rsid w:val="00C60193"/>
    <w:rsid w:val="00C634D4"/>
    <w:rsid w:val="00C63AA5"/>
    <w:rsid w:val="00C65071"/>
    <w:rsid w:val="00C73F6D"/>
    <w:rsid w:val="00C74F6E"/>
    <w:rsid w:val="00C7583C"/>
    <w:rsid w:val="00C77618"/>
    <w:rsid w:val="00C77FA4"/>
    <w:rsid w:val="00C77FFA"/>
    <w:rsid w:val="00C80401"/>
    <w:rsid w:val="00C81C97"/>
    <w:rsid w:val="00C840C2"/>
    <w:rsid w:val="00C84101"/>
    <w:rsid w:val="00C8535F"/>
    <w:rsid w:val="00C87656"/>
    <w:rsid w:val="00C90EDA"/>
    <w:rsid w:val="00C959E7"/>
    <w:rsid w:val="00CA75B4"/>
    <w:rsid w:val="00CB02C1"/>
    <w:rsid w:val="00CB549F"/>
    <w:rsid w:val="00CC0C74"/>
    <w:rsid w:val="00CC1E65"/>
    <w:rsid w:val="00CC567A"/>
    <w:rsid w:val="00CC7166"/>
    <w:rsid w:val="00CD4059"/>
    <w:rsid w:val="00CD4E5A"/>
    <w:rsid w:val="00CE03CE"/>
    <w:rsid w:val="00CE2529"/>
    <w:rsid w:val="00CE5456"/>
    <w:rsid w:val="00CE7C15"/>
    <w:rsid w:val="00CF0DFF"/>
    <w:rsid w:val="00CF1033"/>
    <w:rsid w:val="00CF6F41"/>
    <w:rsid w:val="00D0359D"/>
    <w:rsid w:val="00D0377F"/>
    <w:rsid w:val="00D04DED"/>
    <w:rsid w:val="00D1059F"/>
    <w:rsid w:val="00D1089A"/>
    <w:rsid w:val="00D116BD"/>
    <w:rsid w:val="00D2588C"/>
    <w:rsid w:val="00D3691A"/>
    <w:rsid w:val="00D377E2"/>
    <w:rsid w:val="00D42DCB"/>
    <w:rsid w:val="00D46DF2"/>
    <w:rsid w:val="00D47674"/>
    <w:rsid w:val="00D5338C"/>
    <w:rsid w:val="00D606B2"/>
    <w:rsid w:val="00D61634"/>
    <w:rsid w:val="00D65777"/>
    <w:rsid w:val="00D728A0"/>
    <w:rsid w:val="00D811DB"/>
    <w:rsid w:val="00D82A3C"/>
    <w:rsid w:val="00D83ED7"/>
    <w:rsid w:val="00D90B07"/>
    <w:rsid w:val="00D947DF"/>
    <w:rsid w:val="00D97E7D"/>
    <w:rsid w:val="00DB0ABC"/>
    <w:rsid w:val="00DB3439"/>
    <w:rsid w:val="00DB394D"/>
    <w:rsid w:val="00DC2946"/>
    <w:rsid w:val="00DC550F"/>
    <w:rsid w:val="00DC64FD"/>
    <w:rsid w:val="00DE127F"/>
    <w:rsid w:val="00DE4168"/>
    <w:rsid w:val="00DE424A"/>
    <w:rsid w:val="00DE4419"/>
    <w:rsid w:val="00DE5E27"/>
    <w:rsid w:val="00DF0002"/>
    <w:rsid w:val="00DF0ACA"/>
    <w:rsid w:val="00DF2245"/>
    <w:rsid w:val="00DF28CF"/>
    <w:rsid w:val="00DF77CF"/>
    <w:rsid w:val="00E026E8"/>
    <w:rsid w:val="00E14C47"/>
    <w:rsid w:val="00E22698"/>
    <w:rsid w:val="00E22C9B"/>
    <w:rsid w:val="00E25B7C"/>
    <w:rsid w:val="00E346DB"/>
    <w:rsid w:val="00E3725B"/>
    <w:rsid w:val="00E434D1"/>
    <w:rsid w:val="00E56CBB"/>
    <w:rsid w:val="00E56ED5"/>
    <w:rsid w:val="00E61E51"/>
    <w:rsid w:val="00E64C52"/>
    <w:rsid w:val="00E6552A"/>
    <w:rsid w:val="00E6707D"/>
    <w:rsid w:val="00E70E7C"/>
    <w:rsid w:val="00E71313"/>
    <w:rsid w:val="00E72606"/>
    <w:rsid w:val="00E73C3E"/>
    <w:rsid w:val="00E83982"/>
    <w:rsid w:val="00E84E9D"/>
    <w:rsid w:val="00E935AF"/>
    <w:rsid w:val="00EA5A6A"/>
    <w:rsid w:val="00EB0E20"/>
    <w:rsid w:val="00EB3538"/>
    <w:rsid w:val="00EC4F3A"/>
    <w:rsid w:val="00ED594D"/>
    <w:rsid w:val="00ED6233"/>
    <w:rsid w:val="00EE36E1"/>
    <w:rsid w:val="00F0054D"/>
    <w:rsid w:val="00F02467"/>
    <w:rsid w:val="00F02C01"/>
    <w:rsid w:val="00F02CB7"/>
    <w:rsid w:val="00F03A9C"/>
    <w:rsid w:val="00F12214"/>
    <w:rsid w:val="00F12565"/>
    <w:rsid w:val="00F14ACA"/>
    <w:rsid w:val="00F14AF2"/>
    <w:rsid w:val="00F1526F"/>
    <w:rsid w:val="00F20E41"/>
    <w:rsid w:val="00F22F31"/>
    <w:rsid w:val="00F23927"/>
    <w:rsid w:val="00F24BA6"/>
    <w:rsid w:val="00F26A05"/>
    <w:rsid w:val="00F307CE"/>
    <w:rsid w:val="00F37108"/>
    <w:rsid w:val="00F47BAA"/>
    <w:rsid w:val="00F52EAB"/>
    <w:rsid w:val="00F64FB1"/>
    <w:rsid w:val="00F67A2D"/>
    <w:rsid w:val="00F70A1B"/>
    <w:rsid w:val="00F72A4D"/>
    <w:rsid w:val="00F72FDF"/>
    <w:rsid w:val="00F7491E"/>
    <w:rsid w:val="00F7530C"/>
    <w:rsid w:val="00F75960"/>
    <w:rsid w:val="00F80361"/>
    <w:rsid w:val="00F805B7"/>
    <w:rsid w:val="00F82526"/>
    <w:rsid w:val="00F84672"/>
    <w:rsid w:val="00F84802"/>
    <w:rsid w:val="00F92B8D"/>
    <w:rsid w:val="00FA06FD"/>
    <w:rsid w:val="00FA2922"/>
    <w:rsid w:val="00FA3236"/>
    <w:rsid w:val="00FA4138"/>
    <w:rsid w:val="00FA515B"/>
    <w:rsid w:val="00FA5FA8"/>
    <w:rsid w:val="00FA6B90"/>
    <w:rsid w:val="00FA74CB"/>
    <w:rsid w:val="00FB2886"/>
    <w:rsid w:val="00FB466E"/>
    <w:rsid w:val="00FC419A"/>
    <w:rsid w:val="00FD0492"/>
    <w:rsid w:val="00FD0B95"/>
    <w:rsid w:val="00FD13EC"/>
    <w:rsid w:val="00FD4DA8"/>
    <w:rsid w:val="00FD4EEF"/>
    <w:rsid w:val="00FD5461"/>
    <w:rsid w:val="00FD668F"/>
    <w:rsid w:val="00FD6BDB"/>
    <w:rsid w:val="00FD6F00"/>
    <w:rsid w:val="00FD7633"/>
    <w:rsid w:val="00FD7B98"/>
    <w:rsid w:val="00FE29AC"/>
    <w:rsid w:val="00FF18D2"/>
    <w:rsid w:val="00FF1ECF"/>
    <w:rsid w:val="00FF22F5"/>
    <w:rsid w:val="00FF2E6F"/>
    <w:rsid w:val="00FF4664"/>
    <w:rsid w:val="00FF7577"/>
    <w:rsid w:val="00FF7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E95F8"/>
  <w15:chartTrackingRefBased/>
  <w15:docId w15:val="{3B7CE0C3-EB72-4C37-895D-10C3BE7B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30BA6"/>
    <w:pPr>
      <w:tabs>
        <w:tab w:val="left" w:pos="567"/>
      </w:tabs>
      <w:spacing w:line="260" w:lineRule="exact"/>
    </w:pPr>
    <w:rPr>
      <w:sz w:val="22"/>
      <w:lang w:eastAsia="en-US"/>
    </w:rPr>
  </w:style>
  <w:style w:type="paragraph" w:styleId="Nadpis1">
    <w:name w:val="heading 1"/>
    <w:basedOn w:val="Normln"/>
    <w:next w:val="Normln"/>
    <w:qFormat/>
    <w:rsid w:val="003F5A87"/>
    <w:pPr>
      <w:spacing w:before="240" w:after="120"/>
      <w:ind w:left="357" w:hanging="357"/>
      <w:outlineLvl w:val="0"/>
    </w:pPr>
    <w:rPr>
      <w:b/>
      <w:caps/>
      <w:sz w:val="26"/>
      <w:lang w:val="en-US"/>
    </w:rPr>
  </w:style>
  <w:style w:type="paragraph" w:styleId="Nadpis2">
    <w:name w:val="heading 2"/>
    <w:basedOn w:val="Normln"/>
    <w:next w:val="Normln"/>
    <w:qFormat/>
    <w:rsid w:val="003F5A87"/>
    <w:pPr>
      <w:keepNext/>
      <w:spacing w:before="240" w:after="60"/>
      <w:outlineLvl w:val="1"/>
    </w:pPr>
    <w:rPr>
      <w:rFonts w:ascii="Helvetica" w:hAnsi="Helvetica"/>
      <w:b/>
      <w:i/>
      <w:sz w:val="24"/>
    </w:rPr>
  </w:style>
  <w:style w:type="paragraph" w:styleId="Nadpis3">
    <w:name w:val="heading 3"/>
    <w:basedOn w:val="Normln"/>
    <w:next w:val="Normln"/>
    <w:qFormat/>
    <w:rsid w:val="003F5A87"/>
    <w:pPr>
      <w:keepNext/>
      <w:keepLines/>
      <w:spacing w:before="120" w:after="80"/>
      <w:outlineLvl w:val="2"/>
    </w:pPr>
    <w:rPr>
      <w:b/>
      <w:kern w:val="28"/>
      <w:sz w:val="24"/>
      <w:lang w:val="en-US"/>
    </w:rPr>
  </w:style>
  <w:style w:type="paragraph" w:styleId="Nadpis4">
    <w:name w:val="heading 4"/>
    <w:basedOn w:val="Normln"/>
    <w:next w:val="Normln"/>
    <w:qFormat/>
    <w:rsid w:val="003F5A87"/>
    <w:pPr>
      <w:keepNext/>
      <w:tabs>
        <w:tab w:val="clear" w:pos="567"/>
      </w:tabs>
      <w:outlineLvl w:val="3"/>
    </w:pPr>
    <w:rPr>
      <w:b/>
      <w:noProof/>
    </w:rPr>
  </w:style>
  <w:style w:type="paragraph" w:styleId="Nadpis5">
    <w:name w:val="heading 5"/>
    <w:basedOn w:val="Normln"/>
    <w:next w:val="Normln"/>
    <w:qFormat/>
    <w:rsid w:val="003F5A87"/>
    <w:pPr>
      <w:keepNext/>
      <w:tabs>
        <w:tab w:val="clear" w:pos="567"/>
      </w:tabs>
      <w:jc w:val="center"/>
      <w:outlineLvl w:val="4"/>
    </w:pPr>
    <w:rPr>
      <w:b/>
      <w:noProof/>
    </w:rPr>
  </w:style>
  <w:style w:type="paragraph" w:styleId="Nadpis6">
    <w:name w:val="heading 6"/>
    <w:basedOn w:val="Normln"/>
    <w:next w:val="Normln"/>
    <w:qFormat/>
    <w:rsid w:val="003F5A87"/>
    <w:pPr>
      <w:keepNext/>
      <w:tabs>
        <w:tab w:val="left" w:pos="-720"/>
        <w:tab w:val="left" w:pos="4536"/>
      </w:tabs>
      <w:suppressAutoHyphens/>
      <w:outlineLvl w:val="5"/>
    </w:pPr>
    <w:rPr>
      <w:i/>
    </w:rPr>
  </w:style>
  <w:style w:type="paragraph" w:styleId="Nadpis7">
    <w:name w:val="heading 7"/>
    <w:basedOn w:val="Normln"/>
    <w:next w:val="Normln"/>
    <w:qFormat/>
    <w:rsid w:val="003F5A87"/>
    <w:pPr>
      <w:keepNext/>
      <w:tabs>
        <w:tab w:val="left" w:pos="-720"/>
        <w:tab w:val="left" w:pos="4536"/>
      </w:tabs>
      <w:suppressAutoHyphens/>
      <w:jc w:val="both"/>
      <w:outlineLvl w:val="6"/>
    </w:pPr>
    <w:rPr>
      <w:i/>
    </w:rPr>
  </w:style>
  <w:style w:type="paragraph" w:styleId="Nadpis8">
    <w:name w:val="heading 8"/>
    <w:basedOn w:val="Normln"/>
    <w:next w:val="Normln"/>
    <w:qFormat/>
    <w:rsid w:val="003F5A87"/>
    <w:pPr>
      <w:keepNext/>
      <w:tabs>
        <w:tab w:val="clear" w:pos="567"/>
      </w:tabs>
      <w:ind w:right="-318"/>
      <w:outlineLvl w:val="7"/>
    </w:pPr>
    <w:rPr>
      <w:b/>
    </w:rPr>
  </w:style>
  <w:style w:type="paragraph" w:styleId="Nadpis9">
    <w:name w:val="heading 9"/>
    <w:basedOn w:val="Normln"/>
    <w:next w:val="Normln"/>
    <w:qFormat/>
    <w:rsid w:val="003F5A87"/>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F5A87"/>
    <w:pPr>
      <w:tabs>
        <w:tab w:val="center" w:pos="4153"/>
        <w:tab w:val="right" w:pos="8306"/>
      </w:tabs>
      <w:spacing w:line="240" w:lineRule="auto"/>
    </w:pPr>
    <w:rPr>
      <w:rFonts w:ascii="Helvetica" w:hAnsi="Helvetica"/>
      <w:sz w:val="20"/>
    </w:rPr>
  </w:style>
  <w:style w:type="paragraph" w:styleId="Zpat">
    <w:name w:val="footer"/>
    <w:basedOn w:val="Normln"/>
    <w:rsid w:val="003F5A87"/>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rsid w:val="003F5A87"/>
    <w:pPr>
      <w:tabs>
        <w:tab w:val="clear" w:pos="567"/>
      </w:tabs>
      <w:ind w:left="1760"/>
    </w:pPr>
  </w:style>
  <w:style w:type="character" w:styleId="Odkaznavysvtlivky">
    <w:name w:val="endnote reference"/>
    <w:semiHidden/>
    <w:rsid w:val="003F5A87"/>
    <w:rPr>
      <w:vertAlign w:val="superscript"/>
    </w:rPr>
  </w:style>
  <w:style w:type="character" w:styleId="Znakapoznpodarou">
    <w:name w:val="footnote reference"/>
    <w:semiHidden/>
    <w:rsid w:val="003F5A87"/>
    <w:rPr>
      <w:vertAlign w:val="superscript"/>
    </w:rPr>
  </w:style>
  <w:style w:type="paragraph" w:styleId="Textpoznpodarou">
    <w:name w:val="footnote text"/>
    <w:basedOn w:val="Normln"/>
    <w:semiHidden/>
    <w:rsid w:val="003F5A87"/>
    <w:pPr>
      <w:tabs>
        <w:tab w:val="clear" w:pos="567"/>
      </w:tabs>
      <w:spacing w:line="240" w:lineRule="auto"/>
      <w:jc w:val="both"/>
    </w:pPr>
    <w:rPr>
      <w:sz w:val="20"/>
    </w:rPr>
  </w:style>
  <w:style w:type="paragraph" w:styleId="Zkladntext">
    <w:name w:val="Body Text"/>
    <w:basedOn w:val="Normln"/>
    <w:rsid w:val="003F5A87"/>
    <w:pPr>
      <w:tabs>
        <w:tab w:val="clear" w:pos="567"/>
      </w:tabs>
      <w:spacing w:line="240" w:lineRule="auto"/>
      <w:jc w:val="both"/>
    </w:pPr>
  </w:style>
  <w:style w:type="paragraph" w:styleId="Textvbloku">
    <w:name w:val="Block Text"/>
    <w:basedOn w:val="Normln"/>
    <w:rsid w:val="003F5A87"/>
    <w:pPr>
      <w:tabs>
        <w:tab w:val="clear" w:pos="567"/>
      </w:tabs>
      <w:ind w:left="2268" w:right="1711" w:hanging="567"/>
    </w:pPr>
    <w:rPr>
      <w:b/>
    </w:rPr>
  </w:style>
  <w:style w:type="paragraph" w:styleId="Zkladntext2">
    <w:name w:val="Body Text 2"/>
    <w:basedOn w:val="Normln"/>
    <w:rsid w:val="003F5A87"/>
    <w:pPr>
      <w:spacing w:line="240" w:lineRule="auto"/>
      <w:ind w:left="567" w:hanging="567"/>
    </w:pPr>
    <w:rPr>
      <w:b/>
    </w:rPr>
  </w:style>
  <w:style w:type="paragraph" w:styleId="Zkladntext3">
    <w:name w:val="Body Text 3"/>
    <w:basedOn w:val="Normln"/>
    <w:rsid w:val="003F5A87"/>
    <w:pPr>
      <w:ind w:right="113"/>
      <w:jc w:val="both"/>
    </w:pPr>
    <w:rPr>
      <w:b/>
    </w:rPr>
  </w:style>
  <w:style w:type="paragraph" w:styleId="Textvysvtlivek">
    <w:name w:val="endnote text"/>
    <w:basedOn w:val="Normln"/>
    <w:semiHidden/>
    <w:rsid w:val="003F5A87"/>
    <w:pPr>
      <w:spacing w:line="240" w:lineRule="auto"/>
    </w:pPr>
  </w:style>
  <w:style w:type="character" w:styleId="Odkaznakoment">
    <w:name w:val="annotation reference"/>
    <w:uiPriority w:val="99"/>
    <w:rsid w:val="003F5A87"/>
    <w:rPr>
      <w:sz w:val="16"/>
    </w:rPr>
  </w:style>
  <w:style w:type="paragraph" w:styleId="Zkladntextodsazen2">
    <w:name w:val="Body Text Indent 2"/>
    <w:basedOn w:val="Normln"/>
    <w:rsid w:val="003F5A87"/>
    <w:pPr>
      <w:ind w:left="567" w:hanging="567"/>
      <w:jc w:val="both"/>
    </w:pPr>
    <w:rPr>
      <w:b/>
    </w:rPr>
  </w:style>
  <w:style w:type="paragraph" w:styleId="Textkomente">
    <w:name w:val="annotation text"/>
    <w:basedOn w:val="Normln"/>
    <w:link w:val="TextkomenteChar"/>
    <w:uiPriority w:val="99"/>
    <w:rsid w:val="003F5A87"/>
    <w:rPr>
      <w:sz w:val="20"/>
    </w:rPr>
  </w:style>
  <w:style w:type="paragraph" w:styleId="Zkladntextodsazen3">
    <w:name w:val="Body Text Indent 3"/>
    <w:basedOn w:val="Normln"/>
    <w:rsid w:val="003F5A87"/>
    <w:pPr>
      <w:spacing w:line="240" w:lineRule="auto"/>
      <w:ind w:left="567" w:hanging="567"/>
    </w:pPr>
  </w:style>
  <w:style w:type="character" w:styleId="Hypertextovodkaz">
    <w:name w:val="Hyperlink"/>
    <w:rsid w:val="003F5A87"/>
    <w:rPr>
      <w:color w:val="0000FF"/>
      <w:u w:val="single"/>
    </w:rPr>
  </w:style>
  <w:style w:type="paragraph" w:customStyle="1" w:styleId="AHeader1">
    <w:name w:val="AHeader 1"/>
    <w:basedOn w:val="Normln"/>
    <w:rsid w:val="003F5A87"/>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rsid w:val="003F5A87"/>
    <w:pPr>
      <w:numPr>
        <w:ilvl w:val="1"/>
      </w:numPr>
      <w:tabs>
        <w:tab w:val="clear" w:pos="709"/>
        <w:tab w:val="num" w:pos="360"/>
        <w:tab w:val="num" w:pos="1440"/>
      </w:tabs>
      <w:ind w:left="1440" w:hanging="360"/>
    </w:pPr>
    <w:rPr>
      <w:sz w:val="22"/>
    </w:rPr>
  </w:style>
  <w:style w:type="paragraph" w:customStyle="1" w:styleId="AHeader3">
    <w:name w:val="AHeader 3"/>
    <w:basedOn w:val="AHeader2"/>
    <w:rsid w:val="003F5A87"/>
    <w:pPr>
      <w:numPr>
        <w:ilvl w:val="2"/>
      </w:numPr>
      <w:tabs>
        <w:tab w:val="clear" w:pos="1276"/>
        <w:tab w:val="num" w:pos="360"/>
        <w:tab w:val="num" w:pos="2160"/>
      </w:tabs>
      <w:ind w:left="2160" w:hanging="180"/>
    </w:pPr>
  </w:style>
  <w:style w:type="paragraph" w:customStyle="1" w:styleId="AHeader2abc">
    <w:name w:val="AHeader 2 abc"/>
    <w:basedOn w:val="AHeader3"/>
    <w:rsid w:val="003F5A87"/>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3F5A87"/>
    <w:pPr>
      <w:numPr>
        <w:ilvl w:val="4"/>
      </w:numPr>
      <w:tabs>
        <w:tab w:val="clear" w:pos="1701"/>
        <w:tab w:val="num" w:pos="360"/>
        <w:tab w:val="num" w:pos="1440"/>
        <w:tab w:val="num" w:pos="3600"/>
      </w:tabs>
      <w:ind w:left="3600" w:hanging="360"/>
    </w:pPr>
  </w:style>
  <w:style w:type="character" w:styleId="Sledovanodkaz">
    <w:name w:val="FollowedHyperlink"/>
    <w:rsid w:val="003F5A87"/>
    <w:rPr>
      <w:color w:val="800080"/>
      <w:u w:val="single"/>
    </w:rPr>
  </w:style>
  <w:style w:type="paragraph" w:styleId="Zkladntextodsazen">
    <w:name w:val="Body Text Indent"/>
    <w:basedOn w:val="Normln"/>
    <w:rsid w:val="003F5A87"/>
    <w:pPr>
      <w:tabs>
        <w:tab w:val="clear" w:pos="567"/>
      </w:tabs>
      <w:spacing w:line="240" w:lineRule="auto"/>
      <w:ind w:left="567" w:hanging="567"/>
    </w:pPr>
    <w:rPr>
      <w:b/>
    </w:rPr>
  </w:style>
  <w:style w:type="paragraph" w:styleId="Textbubliny">
    <w:name w:val="Balloon Text"/>
    <w:basedOn w:val="Normln"/>
    <w:semiHidden/>
    <w:rsid w:val="003F5A87"/>
    <w:rPr>
      <w:rFonts w:ascii="Tahoma" w:hAnsi="Tahoma" w:cs="Tahoma"/>
      <w:sz w:val="16"/>
      <w:szCs w:val="16"/>
    </w:rPr>
  </w:style>
  <w:style w:type="paragraph" w:styleId="Pedmtkomente">
    <w:name w:val="annotation subject"/>
    <w:basedOn w:val="Textkomente"/>
    <w:next w:val="Textkomente"/>
    <w:semiHidden/>
    <w:rsid w:val="003F5A87"/>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ze1">
    <w:name w:val="Revize1"/>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ln"/>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link w:val="Textkomente"/>
    <w:uiPriority w:val="99"/>
    <w:locked/>
    <w:rsid w:val="003909E0"/>
    <w:rPr>
      <w:lang w:val="en-GB" w:eastAsia="en-US" w:bidi="ar-SA"/>
    </w:rPr>
  </w:style>
  <w:style w:type="paragraph" w:customStyle="1" w:styleId="Bezmezer1">
    <w:name w:val="Bez mezer1"/>
    <w:uiPriority w:val="1"/>
    <w:qFormat/>
    <w:rsid w:val="00462DE7"/>
    <w:rPr>
      <w:rFonts w:ascii="Cambria" w:eastAsia="Cambria" w:hAnsi="Cambria"/>
      <w:sz w:val="24"/>
      <w:szCs w:val="24"/>
      <w:lang w:val="en-US" w:eastAsia="en-US"/>
    </w:rPr>
  </w:style>
  <w:style w:type="paragraph" w:customStyle="1" w:styleId="BODY">
    <w:name w:val="BODY"/>
    <w:basedOn w:val="Normln"/>
    <w:qFormat/>
    <w:rsid w:val="00D61634"/>
    <w:pPr>
      <w:spacing w:after="220" w:line="240" w:lineRule="auto"/>
      <w:contextualSpacing/>
    </w:pPr>
  </w:style>
  <w:style w:type="character" w:styleId="Siln">
    <w:name w:val="Strong"/>
    <w:qFormat/>
    <w:rsid w:val="00C7583C"/>
    <w:rPr>
      <w:b/>
      <w:bCs/>
    </w:rPr>
  </w:style>
  <w:style w:type="paragraph" w:customStyle="1" w:styleId="TableDose">
    <w:name w:val="TableDose"/>
    <w:basedOn w:val="Normln"/>
    <w:qFormat/>
    <w:rsid w:val="00C7583C"/>
    <w:pPr>
      <w:spacing w:line="240" w:lineRule="auto"/>
    </w:pPr>
  </w:style>
  <w:style w:type="paragraph" w:styleId="Revize">
    <w:name w:val="Revision"/>
    <w:hidden/>
    <w:uiPriority w:val="99"/>
    <w:semiHidden/>
    <w:rsid w:val="00617D63"/>
    <w:rPr>
      <w:sz w:val="22"/>
      <w:lang w:eastAsia="en-US"/>
    </w:rPr>
  </w:style>
  <w:style w:type="character" w:styleId="Nevyeenzmnka">
    <w:name w:val="Unresolved Mention"/>
    <w:basedOn w:val="Standardnpsmoodstavce"/>
    <w:uiPriority w:val="99"/>
    <w:semiHidden/>
    <w:unhideWhenUsed/>
    <w:rsid w:val="00682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EF4D-74B7-46EF-8C01-A930BB6D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1717</Words>
  <Characters>10131</Characters>
  <Application>Microsoft Office Word</Application>
  <DocSecurity>0</DocSecurity>
  <Lines>84</Lines>
  <Paragraphs>23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medical language service GmbH</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MLS@medical-ls.com</dc:creator>
  <cp:keywords/>
  <cp:lastModifiedBy>Dušek Daniel</cp:lastModifiedBy>
  <cp:revision>23</cp:revision>
  <cp:lastPrinted>2020-06-09T11:36:00Z</cp:lastPrinted>
  <dcterms:created xsi:type="dcterms:W3CDTF">2021-07-27T10:30:00Z</dcterms:created>
  <dcterms:modified xsi:type="dcterms:W3CDTF">2022-06-07T14:26:00Z</dcterms:modified>
</cp:coreProperties>
</file>