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2B585" w14:textId="77777777" w:rsidR="00B433B7" w:rsidRDefault="00B433B7" w:rsidP="00C2206D">
      <w:pPr>
        <w:tabs>
          <w:tab w:val="clear" w:pos="567"/>
          <w:tab w:val="left" w:pos="2029"/>
        </w:tabs>
        <w:spacing w:line="240" w:lineRule="auto"/>
        <w:rPr>
          <w:szCs w:val="22"/>
        </w:rPr>
      </w:pPr>
    </w:p>
    <w:p w14:paraId="4A53D03B" w14:textId="77777777" w:rsidR="00B433B7" w:rsidRDefault="00B433B7" w:rsidP="00C2206D">
      <w:pPr>
        <w:tabs>
          <w:tab w:val="clear" w:pos="567"/>
          <w:tab w:val="left" w:pos="2029"/>
        </w:tabs>
        <w:spacing w:line="240" w:lineRule="auto"/>
        <w:rPr>
          <w:szCs w:val="22"/>
        </w:rPr>
      </w:pPr>
    </w:p>
    <w:p w14:paraId="1923AF02" w14:textId="77777777" w:rsidR="00B433B7" w:rsidRDefault="00B433B7" w:rsidP="00C2206D">
      <w:pPr>
        <w:tabs>
          <w:tab w:val="clear" w:pos="567"/>
          <w:tab w:val="left" w:pos="2029"/>
        </w:tabs>
        <w:spacing w:line="240" w:lineRule="auto"/>
        <w:rPr>
          <w:szCs w:val="22"/>
        </w:rPr>
      </w:pPr>
    </w:p>
    <w:p w14:paraId="01F9AF98" w14:textId="77777777" w:rsidR="00B433B7" w:rsidRDefault="00B433B7" w:rsidP="00C2206D">
      <w:pPr>
        <w:tabs>
          <w:tab w:val="clear" w:pos="567"/>
          <w:tab w:val="left" w:pos="2029"/>
        </w:tabs>
        <w:spacing w:line="240" w:lineRule="auto"/>
        <w:rPr>
          <w:szCs w:val="22"/>
        </w:rPr>
      </w:pPr>
    </w:p>
    <w:p w14:paraId="4A4608B2" w14:textId="08FD8C3D" w:rsidR="00CF6BA7" w:rsidRPr="00F31ED7" w:rsidRDefault="00C2206D" w:rsidP="00C2206D">
      <w:pPr>
        <w:tabs>
          <w:tab w:val="clear" w:pos="567"/>
          <w:tab w:val="left" w:pos="2029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7BC86ECD" w14:textId="77777777" w:rsidR="00CF6BA7" w:rsidRPr="00F31ED7" w:rsidRDefault="00CF6BA7" w:rsidP="00CF6BA7">
      <w:pPr>
        <w:tabs>
          <w:tab w:val="clear" w:pos="567"/>
        </w:tabs>
        <w:spacing w:line="240" w:lineRule="auto"/>
        <w:rPr>
          <w:szCs w:val="22"/>
        </w:rPr>
      </w:pPr>
    </w:p>
    <w:p w14:paraId="534F9C04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02134DF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4F62CAD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731C9E45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2BF0AA77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AC85233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206467F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5CB330E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1F726D6B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3DC5760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710A583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14AA6FCE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698FE3D0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0238252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7D4B62DF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01CF21B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180E1A2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85CC5F0" w14:textId="77777777" w:rsidR="003C7700" w:rsidRPr="00F31ED7" w:rsidRDefault="003C7700" w:rsidP="003C770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F31ED7">
        <w:rPr>
          <w:b/>
        </w:rPr>
        <w:t>B. PŘÍBALOVÁ INFORMACE</w:t>
      </w:r>
    </w:p>
    <w:p w14:paraId="2A2269F9" w14:textId="0BE57ACB" w:rsidR="003C7700" w:rsidRDefault="003C7700" w:rsidP="003C7700">
      <w:pPr>
        <w:tabs>
          <w:tab w:val="clear" w:pos="567"/>
        </w:tabs>
        <w:spacing w:line="240" w:lineRule="auto"/>
        <w:jc w:val="center"/>
        <w:rPr>
          <w:b/>
        </w:rPr>
      </w:pPr>
      <w:r w:rsidRPr="00F31ED7">
        <w:br w:type="page"/>
      </w:r>
      <w:r w:rsidRPr="00F31ED7">
        <w:rPr>
          <w:b/>
        </w:rPr>
        <w:lastRenderedPageBreak/>
        <w:t>PŘÍBALOVÁ INFORMACE:</w:t>
      </w:r>
    </w:p>
    <w:p w14:paraId="7DA48560" w14:textId="0B226836" w:rsidR="00E126B2" w:rsidRPr="00F31ED7" w:rsidRDefault="00E126B2" w:rsidP="003C7700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126B2">
        <w:rPr>
          <w:szCs w:val="22"/>
        </w:rPr>
        <w:t>HUVACILLIN 800 mg/g prášek pro podání v pitné vodě pro kura domácího a prasata</w:t>
      </w:r>
    </w:p>
    <w:p w14:paraId="58A860F6" w14:textId="17832198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6F13AD76" w14:textId="77777777" w:rsidR="00765CC3" w:rsidRPr="00F31ED7" w:rsidRDefault="00765CC3" w:rsidP="00765CC3">
      <w:pPr>
        <w:tabs>
          <w:tab w:val="clear" w:pos="567"/>
          <w:tab w:val="left" w:pos="708"/>
        </w:tabs>
        <w:spacing w:line="240" w:lineRule="auto"/>
        <w:ind w:left="567" w:hanging="567"/>
        <w:rPr>
          <w:b/>
          <w:szCs w:val="22"/>
        </w:rPr>
      </w:pPr>
      <w:r w:rsidRPr="00F31ED7">
        <w:rPr>
          <w:b/>
        </w:rPr>
        <w:t>1.</w:t>
      </w:r>
      <w:r w:rsidRPr="00F31ED7">
        <w:rPr>
          <w:b/>
        </w:rPr>
        <w:tab/>
        <w:t>JMÉNO A ADRESA DRŽITELE ROZHODNUTÍ O REGISTRACI A DRŽITELE POVOLENÍ K VÝROBĚ ODPOVĚDNÉHO ZA UVOLNĚNÍ ŠARŽE, POKUD SE NESHODUJE</w:t>
      </w:r>
    </w:p>
    <w:p w14:paraId="1CAC86D5" w14:textId="3FA2D9AF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015C835" w14:textId="3DFDCA79" w:rsidR="00CE0DD3" w:rsidRPr="00F31ED7" w:rsidRDefault="00CE0DD3" w:rsidP="00CE0DD3">
      <w:pPr>
        <w:tabs>
          <w:tab w:val="clear" w:pos="567"/>
          <w:tab w:val="left" w:pos="708"/>
        </w:tabs>
        <w:spacing w:line="240" w:lineRule="auto"/>
        <w:rPr>
          <w:iCs/>
          <w:szCs w:val="22"/>
        </w:rPr>
      </w:pPr>
      <w:r w:rsidRPr="00F31ED7">
        <w:rPr>
          <w:u w:val="single"/>
        </w:rPr>
        <w:t>Držitel rozhodnutí o registraci:</w:t>
      </w:r>
    </w:p>
    <w:p w14:paraId="0B022331" w14:textId="77777777" w:rsidR="00CE0DD3" w:rsidRPr="00F31ED7" w:rsidRDefault="00CE0DD3" w:rsidP="00CE0DD3">
      <w:pPr>
        <w:tabs>
          <w:tab w:val="clear" w:pos="567"/>
        </w:tabs>
        <w:spacing w:line="240" w:lineRule="auto"/>
        <w:rPr>
          <w:szCs w:val="22"/>
        </w:rPr>
      </w:pPr>
      <w:r w:rsidRPr="00F31ED7">
        <w:t xml:space="preserve">HUVEPHARMA NV </w:t>
      </w:r>
    </w:p>
    <w:p w14:paraId="6C0CBC5B" w14:textId="3B85E80D" w:rsidR="00CE0DD3" w:rsidRPr="00F31ED7" w:rsidRDefault="00CE0DD3" w:rsidP="00CE0DD3">
      <w:pPr>
        <w:tabs>
          <w:tab w:val="clear" w:pos="567"/>
        </w:tabs>
        <w:spacing w:line="240" w:lineRule="auto"/>
        <w:rPr>
          <w:szCs w:val="22"/>
        </w:rPr>
      </w:pPr>
      <w:bookmarkStart w:id="0" w:name="_Hlk103269313"/>
      <w:r w:rsidRPr="00F31ED7">
        <w:t>UITBREIDINGSTRAAT 80</w:t>
      </w:r>
      <w:r w:rsidRPr="00F31ED7">
        <w:br/>
        <w:t>2600 ANTWERP</w:t>
      </w:r>
      <w:r w:rsidR="00290284">
        <w:t>EN</w:t>
      </w:r>
      <w:bookmarkStart w:id="1" w:name="_GoBack"/>
      <w:bookmarkEnd w:id="1"/>
      <w:r w:rsidRPr="00F31ED7">
        <w:br/>
        <w:t>BELGIE</w:t>
      </w:r>
    </w:p>
    <w:bookmarkEnd w:id="0"/>
    <w:p w14:paraId="78FA7F8B" w14:textId="4C4D4FEF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FE6E7DE" w14:textId="0D940D63" w:rsidR="00CE0DD3" w:rsidRPr="00F31ED7" w:rsidRDefault="00CE0DD3" w:rsidP="00CE0DD3">
      <w:pPr>
        <w:tabs>
          <w:tab w:val="clear" w:pos="567"/>
          <w:tab w:val="left" w:pos="708"/>
        </w:tabs>
        <w:spacing w:line="240" w:lineRule="auto"/>
        <w:rPr>
          <w:bCs/>
          <w:szCs w:val="22"/>
          <w:u w:val="single"/>
        </w:rPr>
      </w:pPr>
      <w:r w:rsidRPr="00F31ED7">
        <w:rPr>
          <w:u w:val="single"/>
        </w:rPr>
        <w:t>Výrobce odpovědný za uvolnění šarže</w:t>
      </w:r>
      <w:r w:rsidRPr="00F31ED7">
        <w:t>:</w:t>
      </w:r>
    </w:p>
    <w:p w14:paraId="4D0064B5" w14:textId="3DF24E7E" w:rsidR="00CE0DD3" w:rsidRPr="00F31ED7" w:rsidRDefault="00CE0DD3" w:rsidP="003C7700">
      <w:pPr>
        <w:tabs>
          <w:tab w:val="clear" w:pos="567"/>
        </w:tabs>
        <w:spacing w:line="240" w:lineRule="auto"/>
        <w:rPr>
          <w:szCs w:val="22"/>
        </w:rPr>
      </w:pPr>
      <w:r w:rsidRPr="00F31ED7">
        <w:t>HUVEPHARMA SA</w:t>
      </w:r>
    </w:p>
    <w:p w14:paraId="13BA1044" w14:textId="13F9D5C2" w:rsidR="00CE0DD3" w:rsidRPr="00F31ED7" w:rsidRDefault="00CE0DD3" w:rsidP="003C7700">
      <w:pPr>
        <w:tabs>
          <w:tab w:val="clear" w:pos="567"/>
        </w:tabs>
        <w:spacing w:line="240" w:lineRule="auto"/>
        <w:rPr>
          <w:szCs w:val="22"/>
        </w:rPr>
      </w:pPr>
      <w:r w:rsidRPr="00F31ED7">
        <w:t>34 rue Jean Monnet</w:t>
      </w:r>
    </w:p>
    <w:p w14:paraId="728A3E67" w14:textId="6273D8E8" w:rsidR="00CE0DD3" w:rsidRPr="00F31ED7" w:rsidRDefault="00CE0DD3" w:rsidP="003C7700">
      <w:pPr>
        <w:tabs>
          <w:tab w:val="clear" w:pos="567"/>
        </w:tabs>
        <w:spacing w:line="240" w:lineRule="auto"/>
        <w:rPr>
          <w:szCs w:val="22"/>
        </w:rPr>
      </w:pPr>
      <w:r w:rsidRPr="00F31ED7">
        <w:t>ZI d’Etriché</w:t>
      </w:r>
    </w:p>
    <w:p w14:paraId="115525EF" w14:textId="2350C1DE" w:rsidR="00CE0DD3" w:rsidRPr="00F31ED7" w:rsidRDefault="00CE0DD3" w:rsidP="003C7700">
      <w:pPr>
        <w:tabs>
          <w:tab w:val="clear" w:pos="567"/>
        </w:tabs>
        <w:spacing w:line="240" w:lineRule="auto"/>
        <w:rPr>
          <w:szCs w:val="22"/>
        </w:rPr>
      </w:pPr>
      <w:r w:rsidRPr="00F31ED7">
        <w:t>Segré</w:t>
      </w:r>
    </w:p>
    <w:p w14:paraId="6C2A15B9" w14:textId="3BA9AAE5" w:rsidR="00CE0DD3" w:rsidRPr="00F31ED7" w:rsidRDefault="00CE0DD3" w:rsidP="003C7700">
      <w:pPr>
        <w:tabs>
          <w:tab w:val="clear" w:pos="567"/>
        </w:tabs>
        <w:spacing w:line="240" w:lineRule="auto"/>
        <w:rPr>
          <w:szCs w:val="22"/>
        </w:rPr>
      </w:pPr>
      <w:r w:rsidRPr="00F31ED7">
        <w:t>49500 Segré-en-Anjou Bleu</w:t>
      </w:r>
    </w:p>
    <w:p w14:paraId="770DF964" w14:textId="1AE1AE03" w:rsidR="00CE0DD3" w:rsidRPr="00F31ED7" w:rsidRDefault="00CE0DD3" w:rsidP="003C7700">
      <w:pPr>
        <w:tabs>
          <w:tab w:val="clear" w:pos="567"/>
        </w:tabs>
        <w:spacing w:line="240" w:lineRule="auto"/>
        <w:rPr>
          <w:szCs w:val="22"/>
        </w:rPr>
      </w:pPr>
      <w:r w:rsidRPr="00F31ED7">
        <w:t>FRANCIE</w:t>
      </w:r>
    </w:p>
    <w:p w14:paraId="277495B5" w14:textId="3EA007A3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1C51CB9D" w14:textId="77777777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69AB58A" w14:textId="79A8AA2E" w:rsidR="003C7700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  <w:r w:rsidRPr="00F31ED7">
        <w:rPr>
          <w:b/>
        </w:rPr>
        <w:t>2.</w:t>
      </w:r>
      <w:r w:rsidRPr="00F31ED7">
        <w:rPr>
          <w:b/>
        </w:rPr>
        <w:tab/>
      </w:r>
      <w:r w:rsidRPr="00F31ED7">
        <w:rPr>
          <w:b/>
          <w:caps/>
        </w:rPr>
        <w:t>Název veterinárního léčivého přípravku</w:t>
      </w:r>
    </w:p>
    <w:p w14:paraId="6833485F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C39A8C5" w14:textId="1DA5696F" w:rsidR="00AF613A" w:rsidRPr="00F31ED7" w:rsidRDefault="00AF613A" w:rsidP="00AF613A">
      <w:pPr>
        <w:rPr>
          <w:rFonts w:cs="Arial"/>
          <w:szCs w:val="22"/>
        </w:rPr>
      </w:pPr>
      <w:r w:rsidRPr="00F31ED7">
        <w:t xml:space="preserve">HUVACILLIN 800 mg/g </w:t>
      </w:r>
      <w:r w:rsidRPr="00976557">
        <w:rPr>
          <w:bCs/>
        </w:rPr>
        <w:t xml:space="preserve">prášek pro podání v pitné </w:t>
      </w:r>
      <w:r w:rsidR="008C0BAA">
        <w:rPr>
          <w:bCs/>
        </w:rPr>
        <w:t xml:space="preserve">vodě </w:t>
      </w:r>
      <w:r w:rsidRPr="00976557">
        <w:rPr>
          <w:bCs/>
        </w:rPr>
        <w:t>pro kura domácího a prasata.</w:t>
      </w:r>
    </w:p>
    <w:p w14:paraId="4A03DFDF" w14:textId="2D2273AB" w:rsidR="00765CC3" w:rsidRPr="00F31ED7" w:rsidRDefault="00765CC3" w:rsidP="00765CC3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</w:p>
    <w:p w14:paraId="147FBF45" w14:textId="77777777" w:rsidR="00765CC3" w:rsidRPr="00F31ED7" w:rsidRDefault="00765CC3" w:rsidP="00765CC3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 w:rsidRPr="00F31ED7">
        <w:rPr>
          <w:b/>
        </w:rPr>
        <w:t>3.</w:t>
      </w:r>
      <w:r w:rsidRPr="00F31ED7">
        <w:rPr>
          <w:b/>
        </w:rPr>
        <w:tab/>
        <w:t>OBSAH LÉČIVÝCH A OSTATNÍCH LÁTEK</w:t>
      </w:r>
    </w:p>
    <w:p w14:paraId="1D0CE8F2" w14:textId="1DBC3367" w:rsidR="003C7700" w:rsidRPr="00F31ED7" w:rsidRDefault="003C7700" w:rsidP="003C7700">
      <w:pPr>
        <w:tabs>
          <w:tab w:val="clear" w:pos="567"/>
        </w:tabs>
        <w:spacing w:line="240" w:lineRule="auto"/>
        <w:rPr>
          <w:b/>
          <w:szCs w:val="22"/>
        </w:rPr>
      </w:pPr>
    </w:p>
    <w:p w14:paraId="313E56E1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  <w:r w:rsidRPr="00F31ED7">
        <w:t>Každý g (gram) obsahuje:</w:t>
      </w:r>
    </w:p>
    <w:p w14:paraId="3F97B44E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9ECE183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b/>
          <w:szCs w:val="22"/>
        </w:rPr>
      </w:pPr>
      <w:r w:rsidRPr="00F31ED7">
        <w:rPr>
          <w:b/>
        </w:rPr>
        <w:t>Léčivá látka:</w:t>
      </w:r>
    </w:p>
    <w:p w14:paraId="4F943BE0" w14:textId="77777777" w:rsidR="003C7700" w:rsidRPr="00F31ED7" w:rsidRDefault="003C7700" w:rsidP="007879D8">
      <w:pPr>
        <w:tabs>
          <w:tab w:val="clear" w:pos="567"/>
        </w:tabs>
        <w:spacing w:line="240" w:lineRule="auto"/>
        <w:ind w:firstLine="708"/>
        <w:rPr>
          <w:iCs/>
          <w:szCs w:val="22"/>
        </w:rPr>
      </w:pPr>
    </w:p>
    <w:p w14:paraId="04C9DFB0" w14:textId="77777777" w:rsidR="007879D8" w:rsidRPr="00F31ED7" w:rsidRDefault="007879D8" w:rsidP="007879D8">
      <w:pPr>
        <w:rPr>
          <w:rFonts w:eastAsia="Calibri" w:cs="Arial"/>
          <w:bCs/>
          <w:szCs w:val="22"/>
        </w:rPr>
      </w:pPr>
      <w:r w:rsidRPr="00F31ED7">
        <w:t>Amoxicillinum………………………………697 mg</w:t>
      </w:r>
    </w:p>
    <w:p w14:paraId="4F971836" w14:textId="77777777" w:rsidR="007879D8" w:rsidRPr="00F31ED7" w:rsidRDefault="007879D8" w:rsidP="007879D8">
      <w:pPr>
        <w:rPr>
          <w:rFonts w:eastAsia="Calibri" w:cs="Arial"/>
          <w:szCs w:val="22"/>
        </w:rPr>
      </w:pPr>
      <w:r w:rsidRPr="00F31ED7">
        <w:t>(odpovídá 800 mg amoxicillinum trihydricum).</w:t>
      </w:r>
    </w:p>
    <w:p w14:paraId="7288AF13" w14:textId="77777777" w:rsidR="007879D8" w:rsidRPr="00F31ED7" w:rsidRDefault="007879D8" w:rsidP="007879D8">
      <w:pPr>
        <w:tabs>
          <w:tab w:val="clear" w:pos="567"/>
        </w:tabs>
        <w:spacing w:line="240" w:lineRule="auto"/>
        <w:ind w:firstLine="708"/>
        <w:rPr>
          <w:iCs/>
          <w:szCs w:val="22"/>
        </w:rPr>
      </w:pPr>
    </w:p>
    <w:p w14:paraId="6D949DAE" w14:textId="0A88442C" w:rsidR="00AF613A" w:rsidRDefault="00AF613A" w:rsidP="00AF613A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bCs/>
        </w:rPr>
        <w:t>Prášek pro podání v</w:t>
      </w:r>
      <w:r w:rsidR="008C0BAA">
        <w:rPr>
          <w:bCs/>
        </w:rPr>
        <w:t> </w:t>
      </w:r>
      <w:r>
        <w:rPr>
          <w:bCs/>
        </w:rPr>
        <w:t>pitné</w:t>
      </w:r>
      <w:r w:rsidR="008C0BAA">
        <w:rPr>
          <w:bCs/>
        </w:rPr>
        <w:t xml:space="preserve"> vodě.</w:t>
      </w:r>
    </w:p>
    <w:p w14:paraId="2E29009D" w14:textId="77777777" w:rsidR="007879D8" w:rsidRPr="00F31ED7" w:rsidRDefault="003424BE" w:rsidP="003424BE">
      <w:pPr>
        <w:tabs>
          <w:tab w:val="clear" w:pos="567"/>
        </w:tabs>
        <w:spacing w:line="240" w:lineRule="auto"/>
        <w:rPr>
          <w:iCs/>
          <w:szCs w:val="22"/>
        </w:rPr>
      </w:pPr>
      <w:r w:rsidRPr="00F31ED7">
        <w:t>Bílý až nažloutlý prášek.</w:t>
      </w:r>
    </w:p>
    <w:p w14:paraId="760951F6" w14:textId="7A9ED360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A200163" w14:textId="40E59D34" w:rsidR="00B73D46" w:rsidRPr="00F31ED7" w:rsidRDefault="00B73D46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60DE5C1" w14:textId="77777777" w:rsidR="00765CC3" w:rsidRPr="00F31ED7" w:rsidRDefault="00765CC3" w:rsidP="00765CC3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 w:rsidRPr="00F31ED7">
        <w:rPr>
          <w:b/>
        </w:rPr>
        <w:t>4.</w:t>
      </w:r>
      <w:r w:rsidRPr="00F31ED7">
        <w:rPr>
          <w:b/>
        </w:rPr>
        <w:tab/>
        <w:t>INDIKACE</w:t>
      </w:r>
    </w:p>
    <w:p w14:paraId="43CCA437" w14:textId="0386441A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7586C0E" w14:textId="77777777" w:rsidR="00CE0DD3" w:rsidRPr="00F31ED7" w:rsidRDefault="00CE0DD3" w:rsidP="00CE0DD3">
      <w:pPr>
        <w:spacing w:line="240" w:lineRule="auto"/>
        <w:rPr>
          <w:color w:val="000000"/>
          <w:szCs w:val="22"/>
        </w:rPr>
      </w:pPr>
      <w:r w:rsidRPr="00F31ED7">
        <w:rPr>
          <w:color w:val="000000"/>
        </w:rPr>
        <w:t>Kur domácí:</w:t>
      </w:r>
    </w:p>
    <w:p w14:paraId="66361CB7" w14:textId="77777777" w:rsidR="00CE0DD3" w:rsidRPr="00F31ED7" w:rsidRDefault="00CE0DD3" w:rsidP="00CE0DD3">
      <w:pPr>
        <w:tabs>
          <w:tab w:val="clear" w:pos="567"/>
        </w:tabs>
        <w:spacing w:after="120" w:line="240" w:lineRule="auto"/>
        <w:rPr>
          <w:color w:val="000000"/>
          <w:szCs w:val="22"/>
        </w:rPr>
      </w:pPr>
      <w:r w:rsidRPr="00F31ED7">
        <w:rPr>
          <w:color w:val="000000"/>
        </w:rPr>
        <w:t>Léčba infekcí dýchacích cest a gastrointestinálního traktu.</w:t>
      </w:r>
    </w:p>
    <w:p w14:paraId="44F88B32" w14:textId="77777777" w:rsidR="00CE0DD3" w:rsidRPr="00F31ED7" w:rsidRDefault="00CE0DD3" w:rsidP="00CE0DD3">
      <w:pPr>
        <w:spacing w:line="240" w:lineRule="auto"/>
        <w:rPr>
          <w:color w:val="000000"/>
          <w:szCs w:val="22"/>
        </w:rPr>
      </w:pPr>
      <w:r w:rsidRPr="00F31ED7">
        <w:rPr>
          <w:color w:val="000000"/>
        </w:rPr>
        <w:t>Prasata:</w:t>
      </w:r>
    </w:p>
    <w:p w14:paraId="0E00DA87" w14:textId="28AC02AF" w:rsidR="00CE0DD3" w:rsidRPr="00F31ED7" w:rsidRDefault="00CE0DD3" w:rsidP="00770A25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 w:rsidRPr="00F31ED7">
        <w:rPr>
          <w:color w:val="000000"/>
        </w:rPr>
        <w:t>Léčba infekcí dýchacích cest, gastrointestinálního traktu a urogenitálních infekcí, sekundárních infekcí po virových onemocněních a septikémi</w:t>
      </w:r>
      <w:r w:rsidR="00F748CB">
        <w:rPr>
          <w:color w:val="000000"/>
        </w:rPr>
        <w:t>e</w:t>
      </w:r>
      <w:r w:rsidRPr="00F31ED7">
        <w:rPr>
          <w:color w:val="000000"/>
        </w:rPr>
        <w:t>.</w:t>
      </w:r>
    </w:p>
    <w:p w14:paraId="50EF4C8C" w14:textId="77777777" w:rsidR="00CE0DD3" w:rsidRPr="00F31ED7" w:rsidRDefault="00CE0DD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5FDDF95" w14:textId="677731B7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1707AFB" w14:textId="77777777" w:rsidR="00765CC3" w:rsidRPr="00F31ED7" w:rsidRDefault="00765CC3" w:rsidP="00765CC3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 w:rsidRPr="00F31ED7">
        <w:rPr>
          <w:b/>
        </w:rPr>
        <w:t>5.</w:t>
      </w:r>
      <w:r w:rsidRPr="00F31ED7">
        <w:rPr>
          <w:b/>
        </w:rPr>
        <w:tab/>
        <w:t>KONTRAINDIKACE</w:t>
      </w:r>
    </w:p>
    <w:p w14:paraId="62BB2A78" w14:textId="14B222C4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B65261C" w14:textId="15ACC7DC" w:rsidR="00765CC3" w:rsidRPr="00F31ED7" w:rsidRDefault="00765CC3" w:rsidP="00765CC3">
      <w:pPr>
        <w:tabs>
          <w:tab w:val="clear" w:pos="567"/>
        </w:tabs>
        <w:spacing w:line="260" w:lineRule="atLeast"/>
        <w:rPr>
          <w:kern w:val="14"/>
          <w:szCs w:val="22"/>
        </w:rPr>
      </w:pPr>
      <w:r w:rsidRPr="00F31ED7">
        <w:t xml:space="preserve">Nepoužívat u koní, králíků, morčat, křečků, pískomilů ani žádného jiného malého býložravce vzhledem k tomu, že amoxicilin, stejně jako všechny aminopeniciliny, má nepříznivý účinek na bakterie céka.  </w:t>
      </w:r>
    </w:p>
    <w:p w14:paraId="5273F6DC" w14:textId="77777777" w:rsidR="00765CC3" w:rsidRPr="00F31ED7" w:rsidRDefault="00765CC3" w:rsidP="00765CC3">
      <w:pPr>
        <w:tabs>
          <w:tab w:val="clear" w:pos="567"/>
        </w:tabs>
        <w:spacing w:line="260" w:lineRule="atLeast"/>
        <w:rPr>
          <w:kern w:val="14"/>
          <w:szCs w:val="22"/>
        </w:rPr>
      </w:pPr>
      <w:r w:rsidRPr="00F31ED7">
        <w:t>Nepoužívat u přežvýkavců.</w:t>
      </w:r>
    </w:p>
    <w:p w14:paraId="45D224F9" w14:textId="69EFBDFA" w:rsidR="00765CC3" w:rsidRPr="00F31ED7" w:rsidRDefault="00765CC3" w:rsidP="00765CC3">
      <w:pPr>
        <w:tabs>
          <w:tab w:val="clear" w:pos="567"/>
        </w:tabs>
        <w:spacing w:line="260" w:lineRule="atLeast"/>
        <w:rPr>
          <w:kern w:val="14"/>
          <w:szCs w:val="22"/>
        </w:rPr>
      </w:pPr>
      <w:r w:rsidRPr="00F31ED7">
        <w:t xml:space="preserve">Nepoužívat u zvířat se známou přecitlivělostí na peniciliny nebo jiná </w:t>
      </w:r>
      <w:r w:rsidR="00AD5347">
        <w:t>beta</w:t>
      </w:r>
      <w:r w:rsidRPr="00F31ED7">
        <w:t>-</w:t>
      </w:r>
      <w:proofErr w:type="spellStart"/>
      <w:r w:rsidRPr="00F31ED7">
        <w:t>laktamová</w:t>
      </w:r>
      <w:proofErr w:type="spellEnd"/>
      <w:r w:rsidRPr="00F31ED7">
        <w:t xml:space="preserve"> antibiotika nebo na některou z pomocných látek.</w:t>
      </w:r>
    </w:p>
    <w:p w14:paraId="29E13023" w14:textId="77777777" w:rsidR="00765CC3" w:rsidRPr="00F31ED7" w:rsidRDefault="00765CC3" w:rsidP="00765CC3">
      <w:pPr>
        <w:tabs>
          <w:tab w:val="clear" w:pos="567"/>
        </w:tabs>
        <w:spacing w:line="260" w:lineRule="atLeast"/>
        <w:rPr>
          <w:kern w:val="14"/>
          <w:szCs w:val="22"/>
        </w:rPr>
      </w:pPr>
      <w:r w:rsidRPr="00F31ED7">
        <w:lastRenderedPageBreak/>
        <w:t>Nepodávat zvířatům s onemocněním ledvin včetně anurie nebo oligurie.</w:t>
      </w:r>
    </w:p>
    <w:p w14:paraId="3F0073B9" w14:textId="2D5807D2" w:rsidR="00765CC3" w:rsidRPr="00F31ED7" w:rsidRDefault="00765CC3" w:rsidP="00765CC3">
      <w:pPr>
        <w:tabs>
          <w:tab w:val="clear" w:pos="567"/>
        </w:tabs>
        <w:spacing w:line="260" w:lineRule="atLeast"/>
        <w:rPr>
          <w:kern w:val="14"/>
          <w:szCs w:val="22"/>
        </w:rPr>
      </w:pPr>
      <w:r w:rsidRPr="00F31ED7">
        <w:t xml:space="preserve">Nepoužívat v přítomnosti bakterií produkujících </w:t>
      </w:r>
      <w:r w:rsidR="00800242">
        <w:t>beta</w:t>
      </w:r>
      <w:r w:rsidRPr="00F31ED7">
        <w:t>-</w:t>
      </w:r>
      <w:proofErr w:type="spellStart"/>
      <w:r w:rsidRPr="00F31ED7">
        <w:t>laktamázu</w:t>
      </w:r>
      <w:proofErr w:type="spellEnd"/>
      <w:r w:rsidRPr="00F31ED7">
        <w:t>, protože tento veterinární léčivý přípravek na ně nemá žádný účinek.</w:t>
      </w:r>
    </w:p>
    <w:p w14:paraId="10EC7C31" w14:textId="77777777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CF81CD9" w14:textId="357789D9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8DD3383" w14:textId="77777777" w:rsidR="00765CC3" w:rsidRPr="00F31ED7" w:rsidRDefault="00765CC3" w:rsidP="00765CC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F31ED7">
        <w:rPr>
          <w:b/>
        </w:rPr>
        <w:t>6.</w:t>
      </w:r>
      <w:r w:rsidRPr="00F31ED7">
        <w:rPr>
          <w:b/>
        </w:rPr>
        <w:tab/>
        <w:t>NEŽÁDOUCÍ ÚČINKY</w:t>
      </w:r>
    </w:p>
    <w:p w14:paraId="45F01B94" w14:textId="1BAA92E8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2F91D9D9" w14:textId="15935A3A" w:rsidR="00072A44" w:rsidRPr="00F31ED7" w:rsidRDefault="00765CC3" w:rsidP="003C4EB3">
      <w:pPr>
        <w:tabs>
          <w:tab w:val="clear" w:pos="567"/>
          <w:tab w:val="left" w:pos="540"/>
        </w:tabs>
        <w:spacing w:line="260" w:lineRule="atLeast"/>
        <w:ind w:left="284" w:hanging="142"/>
        <w:rPr>
          <w:kern w:val="14"/>
          <w:szCs w:val="22"/>
        </w:rPr>
      </w:pPr>
      <w:r w:rsidRPr="00F31ED7">
        <w:t xml:space="preserve">- </w:t>
      </w:r>
      <w:r w:rsidR="00072A44" w:rsidRPr="00072A44">
        <w:t>Reakce přecitlivělosti</w:t>
      </w:r>
      <w:r w:rsidRPr="00F31ED7">
        <w:t>, přičemž jej</w:t>
      </w:r>
      <w:r w:rsidR="00072A44">
        <w:t>ich</w:t>
      </w:r>
      <w:r w:rsidRPr="00F31ED7">
        <w:t xml:space="preserve"> závažnost se pohybuje od kožní vyrážky až po anafylaktický šok. V takové případě okamžitě přestaňte přípravek podávat.</w:t>
      </w:r>
    </w:p>
    <w:p w14:paraId="3954A7B5" w14:textId="50F92169" w:rsidR="00765CC3" w:rsidRPr="00F31ED7" w:rsidRDefault="00072A44" w:rsidP="00770A25">
      <w:pPr>
        <w:tabs>
          <w:tab w:val="clear" w:pos="567"/>
          <w:tab w:val="left" w:pos="540"/>
        </w:tabs>
        <w:spacing w:line="260" w:lineRule="atLeast"/>
        <w:ind w:left="284" w:hanging="142"/>
        <w:rPr>
          <w:kern w:val="14"/>
          <w:szCs w:val="22"/>
        </w:rPr>
      </w:pPr>
      <w:r>
        <w:t>- G</w:t>
      </w:r>
      <w:r w:rsidR="00765CC3" w:rsidRPr="00F31ED7">
        <w:t>astrointestinální příznaky (zvracení, průjem).</w:t>
      </w:r>
    </w:p>
    <w:p w14:paraId="00FFC850" w14:textId="77777777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</w:p>
    <w:p w14:paraId="2631B14B" w14:textId="77777777" w:rsidR="00CE0DD3" w:rsidRPr="00F31ED7" w:rsidRDefault="00CE0DD3" w:rsidP="00CE0DD3">
      <w:pPr>
        <w:tabs>
          <w:tab w:val="clear" w:pos="567"/>
          <w:tab w:val="left" w:pos="708"/>
        </w:tabs>
        <w:spacing w:line="240" w:lineRule="auto"/>
      </w:pPr>
      <w:r w:rsidRPr="00F31ED7"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14:paraId="2EAD1A6B" w14:textId="008397C8" w:rsidR="00B964BA" w:rsidRDefault="00CE0DD3" w:rsidP="00B964BA">
      <w:r w:rsidRPr="00F31ED7">
        <w:t>Můžete také hlásit prostřednictvím národního systému hlášení nežádoucích účinků</w:t>
      </w:r>
      <w:r w:rsidR="00B964BA">
        <w:t xml:space="preserve">. Nežádoucí účinky můžete hlásit prostřednictvím formuláře na webových stránkách ÚSKVBL elektronicky, nebo také přímo na adresu: </w:t>
      </w:r>
    </w:p>
    <w:p w14:paraId="41DB365D" w14:textId="77777777" w:rsidR="00B964BA" w:rsidRDefault="00B964BA" w:rsidP="00B964BA">
      <w:r>
        <w:t xml:space="preserve">Ústav pro státní kontrolu veterinárních biopreparátů a léčiv </w:t>
      </w:r>
    </w:p>
    <w:p w14:paraId="11C1702B" w14:textId="77777777" w:rsidR="00B964BA" w:rsidRDefault="00B964BA" w:rsidP="00B964BA">
      <w:r>
        <w:t xml:space="preserve">Hudcova </w:t>
      </w:r>
      <w:proofErr w:type="gramStart"/>
      <w:r>
        <w:t>56a</w:t>
      </w:r>
      <w:proofErr w:type="gramEnd"/>
    </w:p>
    <w:p w14:paraId="44F8E80E" w14:textId="77777777" w:rsidR="00B964BA" w:rsidRDefault="00B964BA" w:rsidP="00B964BA">
      <w:r>
        <w:t>621 00 Brno </w:t>
      </w:r>
    </w:p>
    <w:p w14:paraId="1BEB3109" w14:textId="77777777" w:rsidR="00B964BA" w:rsidRDefault="00B964BA" w:rsidP="00B964BA">
      <w:r>
        <w:t xml:space="preserve">Mail: </w:t>
      </w:r>
      <w:hyperlink r:id="rId8" w:history="1">
        <w:r>
          <w:rPr>
            <w:rStyle w:val="Hypertextovodkaz"/>
          </w:rPr>
          <w:t>adr@uskvbl.cz</w:t>
        </w:r>
      </w:hyperlink>
    </w:p>
    <w:p w14:paraId="2500B87B" w14:textId="084579BE" w:rsidR="00765CC3" w:rsidRPr="00F31ED7" w:rsidRDefault="00B964BA" w:rsidP="00B964BA">
      <w:pPr>
        <w:tabs>
          <w:tab w:val="clear" w:pos="567"/>
        </w:tabs>
        <w:spacing w:line="240" w:lineRule="auto"/>
        <w:rPr>
          <w:szCs w:val="22"/>
        </w:rPr>
      </w:pPr>
      <w:r>
        <w:t xml:space="preserve">Webové stránky: </w:t>
      </w:r>
      <w:hyperlink r:id="rId9" w:history="1">
        <w:r>
          <w:rPr>
            <w:rStyle w:val="Hypertextovodkaz"/>
          </w:rPr>
          <w:t>http://www.uskvbl.cz/cs/farmakovigilance</w:t>
        </w:r>
      </w:hyperlink>
    </w:p>
    <w:p w14:paraId="7201E6A0" w14:textId="77777777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27698981" w14:textId="77777777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53201B6" w14:textId="580CB43C" w:rsidR="00C560E3" w:rsidRPr="00F31ED7" w:rsidRDefault="00765CC3" w:rsidP="00C560E3">
      <w:pPr>
        <w:tabs>
          <w:tab w:val="clear" w:pos="567"/>
        </w:tabs>
        <w:spacing w:line="240" w:lineRule="auto"/>
        <w:rPr>
          <w:caps/>
          <w:szCs w:val="22"/>
        </w:rPr>
      </w:pPr>
      <w:r w:rsidRPr="00F31ED7">
        <w:rPr>
          <w:b/>
        </w:rPr>
        <w:t>7.</w:t>
      </w:r>
      <w:r w:rsidRPr="00F31ED7">
        <w:rPr>
          <w:b/>
        </w:rPr>
        <w:tab/>
      </w:r>
      <w:r w:rsidRPr="00F31ED7">
        <w:rPr>
          <w:b/>
          <w:caps/>
        </w:rPr>
        <w:t>Cílový druh zvířat</w:t>
      </w:r>
    </w:p>
    <w:p w14:paraId="5A786FA8" w14:textId="77777777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</w:p>
    <w:p w14:paraId="59605BA1" w14:textId="6C5C12F6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  <w:r w:rsidRPr="00F31ED7">
        <w:t>Kur domácí (brojleři, kuřice, chovn</w:t>
      </w:r>
      <w:r w:rsidR="00DF1BBA">
        <w:t>í jedinci</w:t>
      </w:r>
      <w:r w:rsidRPr="00F31ED7">
        <w:t>) a prasata.</w:t>
      </w:r>
    </w:p>
    <w:p w14:paraId="07D8F5E9" w14:textId="4626BCCF" w:rsidR="00C560E3" w:rsidRPr="00F31ED7" w:rsidRDefault="00C560E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7262305" w14:textId="6D1A5E24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66D1F4F" w14:textId="77777777" w:rsidR="00765CC3" w:rsidRPr="00F31ED7" w:rsidRDefault="00765CC3" w:rsidP="00765CC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F31ED7">
        <w:rPr>
          <w:b/>
        </w:rPr>
        <w:t>8.</w:t>
      </w:r>
      <w:r w:rsidRPr="00F31ED7">
        <w:rPr>
          <w:b/>
        </w:rPr>
        <w:tab/>
        <w:t>DÁVKOVÁNÍ PRO KAŽDÝ DRUH, CESTA(Y) A ZPŮSOB PODÁNÍ</w:t>
      </w:r>
    </w:p>
    <w:p w14:paraId="279A776D" w14:textId="338A3B46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E7B062B" w14:textId="5F46F465" w:rsidR="00765CC3" w:rsidRPr="00F31ED7" w:rsidRDefault="00765CC3" w:rsidP="00765CC3">
      <w:pPr>
        <w:spacing w:line="240" w:lineRule="auto"/>
        <w:rPr>
          <w:color w:val="000000"/>
          <w:szCs w:val="22"/>
        </w:rPr>
      </w:pPr>
      <w:r w:rsidRPr="00F31ED7">
        <w:rPr>
          <w:color w:val="000000"/>
        </w:rPr>
        <w:t>P</w:t>
      </w:r>
      <w:r w:rsidR="00D178BA">
        <w:rPr>
          <w:color w:val="000000"/>
        </w:rPr>
        <w:t>erorální p</w:t>
      </w:r>
      <w:r w:rsidRPr="00F31ED7">
        <w:rPr>
          <w:color w:val="000000"/>
        </w:rPr>
        <w:t>odání v pitné vodě, určeno pro kura domácího a prasata.</w:t>
      </w:r>
    </w:p>
    <w:p w14:paraId="287C8A3C" w14:textId="77777777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</w:p>
    <w:p w14:paraId="4CCFDA04" w14:textId="77777777" w:rsidR="00765CC3" w:rsidRPr="00F31ED7" w:rsidRDefault="00765CC3" w:rsidP="00765CC3">
      <w:pPr>
        <w:spacing w:line="240" w:lineRule="auto"/>
        <w:rPr>
          <w:color w:val="000000"/>
          <w:szCs w:val="22"/>
          <w:u w:val="single"/>
        </w:rPr>
      </w:pPr>
      <w:r w:rsidRPr="00F31ED7">
        <w:rPr>
          <w:color w:val="000000"/>
          <w:u w:val="single"/>
        </w:rPr>
        <w:t>Kur domácí:</w:t>
      </w:r>
    </w:p>
    <w:p w14:paraId="5CEBAA76" w14:textId="7F59B124" w:rsidR="00765CC3" w:rsidRPr="00F31ED7" w:rsidRDefault="00765CC3" w:rsidP="00765CC3">
      <w:pPr>
        <w:rPr>
          <w:szCs w:val="22"/>
        </w:rPr>
      </w:pPr>
      <w:r w:rsidRPr="00F31ED7">
        <w:t xml:space="preserve">Doporučená dávka je 23,0 mg amoxicilin </w:t>
      </w:r>
      <w:proofErr w:type="spellStart"/>
      <w:r w:rsidR="00DD79DC" w:rsidRPr="00F31ED7">
        <w:t>trihydrátu</w:t>
      </w:r>
      <w:proofErr w:type="spellEnd"/>
      <w:r w:rsidR="00DD79DC" w:rsidRPr="00F31ED7">
        <w:t xml:space="preserve"> </w:t>
      </w:r>
      <w:r w:rsidRPr="00F31ED7">
        <w:t xml:space="preserve">na kg živé hmotnosti </w:t>
      </w:r>
      <w:r w:rsidR="00DD79DC">
        <w:t xml:space="preserve">a </w:t>
      </w:r>
      <w:r w:rsidRPr="00F31ED7">
        <w:t xml:space="preserve">den, což odpovídá 20 mg amoxicilinu na kg živé hmotnosti </w:t>
      </w:r>
      <w:r w:rsidR="00DD79DC">
        <w:t xml:space="preserve">a </w:t>
      </w:r>
      <w:r w:rsidRPr="00F31ED7">
        <w:t xml:space="preserve">den (což odpovídá 28,8 mg přípravku na kg živé hmotnosti </w:t>
      </w:r>
      <w:r w:rsidR="00DD79DC">
        <w:t xml:space="preserve">a </w:t>
      </w:r>
      <w:r w:rsidRPr="00F31ED7">
        <w:t>den), a to po dobu 3 až 5 po sobě jdoucích dnů.</w:t>
      </w:r>
    </w:p>
    <w:p w14:paraId="57F756FE" w14:textId="77777777" w:rsidR="00765CC3" w:rsidRPr="00F31ED7" w:rsidRDefault="00765CC3" w:rsidP="00765CC3">
      <w:pPr>
        <w:tabs>
          <w:tab w:val="clear" w:pos="567"/>
          <w:tab w:val="left" w:pos="426"/>
        </w:tabs>
        <w:spacing w:line="240" w:lineRule="auto"/>
        <w:ind w:left="426" w:hanging="426"/>
        <w:rPr>
          <w:color w:val="000000"/>
          <w:szCs w:val="22"/>
          <w:u w:val="single"/>
        </w:rPr>
      </w:pPr>
      <w:r w:rsidRPr="00F31ED7">
        <w:rPr>
          <w:color w:val="000000"/>
          <w:u w:val="single"/>
        </w:rPr>
        <w:t>Prasata:</w:t>
      </w:r>
    </w:p>
    <w:p w14:paraId="46D13E37" w14:textId="7628AAE9" w:rsidR="00765CC3" w:rsidRPr="00F31ED7" w:rsidRDefault="00765CC3" w:rsidP="00765CC3">
      <w:pPr>
        <w:rPr>
          <w:szCs w:val="22"/>
        </w:rPr>
      </w:pPr>
      <w:r w:rsidRPr="00F31ED7">
        <w:t xml:space="preserve">Doporučená dávka je 12,9 mg amoxicilin </w:t>
      </w:r>
      <w:proofErr w:type="spellStart"/>
      <w:r w:rsidR="00DD79DC" w:rsidRPr="00F31ED7">
        <w:t>trihydrátu</w:t>
      </w:r>
      <w:proofErr w:type="spellEnd"/>
      <w:r w:rsidR="00DD79DC" w:rsidRPr="00F31ED7">
        <w:t xml:space="preserve"> </w:t>
      </w:r>
      <w:r w:rsidRPr="00F31ED7">
        <w:t xml:space="preserve">na kg živé hmotnosti </w:t>
      </w:r>
      <w:r w:rsidR="00DD79DC">
        <w:t xml:space="preserve">a </w:t>
      </w:r>
      <w:r w:rsidRPr="00F31ED7">
        <w:t xml:space="preserve">den, tj. 11,2 mg amoxicilinu na kg živé hmotnosti </w:t>
      </w:r>
      <w:r w:rsidR="00DD79DC">
        <w:t xml:space="preserve">a </w:t>
      </w:r>
      <w:r w:rsidRPr="00F31ED7">
        <w:t xml:space="preserve">den (což odpovídá 16,1 mg přípravku na kg živé hmotnosti </w:t>
      </w:r>
      <w:r w:rsidR="00DD79DC">
        <w:t xml:space="preserve">a </w:t>
      </w:r>
      <w:r w:rsidRPr="00F31ED7">
        <w:t>den), a to po dobu 3 až 5 po sobě jdoucích dnů.</w:t>
      </w:r>
    </w:p>
    <w:p w14:paraId="5910B9C1" w14:textId="644CAC0E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6C717A63" w14:textId="77777777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00301C65" w14:textId="77777777" w:rsidR="00765CC3" w:rsidRPr="00F31ED7" w:rsidRDefault="00765CC3" w:rsidP="00765CC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F31ED7">
        <w:rPr>
          <w:b/>
        </w:rPr>
        <w:t>9.</w:t>
      </w:r>
      <w:r w:rsidRPr="00F31ED7">
        <w:rPr>
          <w:b/>
        </w:rPr>
        <w:tab/>
        <w:t>POKYNY PRO SPRÁVNÉ PODÁNÍ</w:t>
      </w:r>
    </w:p>
    <w:p w14:paraId="7CED164E" w14:textId="10F3D16A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1798AC8" w14:textId="77777777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31ED7">
        <w:rPr>
          <w:u w:val="single"/>
        </w:rPr>
        <w:t>Podání v pitné vodě:</w:t>
      </w:r>
    </w:p>
    <w:p w14:paraId="6ECDF11F" w14:textId="36513A27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  <w:r w:rsidRPr="00F31ED7">
        <w:t xml:space="preserve">Při přípravě </w:t>
      </w:r>
      <w:proofErr w:type="spellStart"/>
      <w:r w:rsidR="00E935E4">
        <w:t>medikované</w:t>
      </w:r>
      <w:proofErr w:type="spellEnd"/>
      <w:r w:rsidR="00E935E4">
        <w:t xml:space="preserve"> </w:t>
      </w:r>
      <w:r w:rsidRPr="00F31ED7">
        <w:t xml:space="preserve">vody je třeba vzít v úvahu živou hmotnost léčených zvířat a jejich skutečnou denní spotřebu vody. Spotřeba se může lišit v závislosti na faktorech, jako je druh, věk, zdravotní stav, </w:t>
      </w:r>
      <w:r w:rsidR="00E935E4">
        <w:t xml:space="preserve">plemeno a </w:t>
      </w:r>
      <w:r w:rsidRPr="00F31ED7">
        <w:t>systém chovu (např. různá teplota, různé světelné režimy). K dosažení správného dávkování je třeba odpovídajícím způsobem upravit koncentraci amoxicilinu.</w:t>
      </w:r>
    </w:p>
    <w:p w14:paraId="6DA823A0" w14:textId="77777777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  <w:r w:rsidRPr="00F31ED7">
        <w:t>K výpočtu požadovaného množství veterinárního léčivého přípravku v mg na litr pitné vody lze použít tento vzorec:</w:t>
      </w:r>
    </w:p>
    <w:p w14:paraId="666BAA95" w14:textId="77777777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  <w:lang w:eastAsia="it-IT"/>
        </w:rPr>
      </w:pPr>
    </w:p>
    <w:tbl>
      <w:tblPr>
        <w:tblW w:w="8719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344"/>
        <w:gridCol w:w="2723"/>
      </w:tblGrid>
      <w:tr w:rsidR="00765CC3" w:rsidRPr="00F31ED7" w14:paraId="252CB886" w14:textId="77777777" w:rsidTr="00770A25">
        <w:trPr>
          <w:jc w:val="center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7C00E7" w14:textId="77777777" w:rsidR="00765CC3" w:rsidRPr="00F31ED7" w:rsidRDefault="00765CC3" w:rsidP="00770A2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F31ED7">
              <w:t>x mg přípravku na kg živé hmotnosti za den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B7189" w14:textId="77777777" w:rsidR="00765CC3" w:rsidRPr="00F31ED7" w:rsidRDefault="00765CC3" w:rsidP="00770A2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it-IT"/>
              </w:rPr>
            </w:pPr>
          </w:p>
          <w:p w14:paraId="567F89E2" w14:textId="53D00E30" w:rsidR="00765CC3" w:rsidRPr="00F31ED7" w:rsidRDefault="00765CC3" w:rsidP="00770A2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F31ED7">
              <w:t>X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D97957" w14:textId="77777777" w:rsidR="00765CC3" w:rsidRPr="00F31ED7" w:rsidRDefault="00765CC3" w:rsidP="00770A2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F31ED7">
              <w:t>průměrná živá hmotnost (kg) léčených zvířat</w:t>
            </w:r>
          </w:p>
        </w:tc>
        <w:tc>
          <w:tcPr>
            <w:tcW w:w="2723" w:type="dxa"/>
            <w:vMerge w:val="restart"/>
          </w:tcPr>
          <w:p w14:paraId="3311016E" w14:textId="77777777" w:rsidR="00765CC3" w:rsidRPr="00F31ED7" w:rsidRDefault="00765CC3" w:rsidP="00770A2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it-IT"/>
              </w:rPr>
            </w:pPr>
          </w:p>
          <w:p w14:paraId="468728E5" w14:textId="77777777" w:rsidR="00E935E4" w:rsidRDefault="00E935E4" w:rsidP="00E935E4">
            <w:pPr>
              <w:tabs>
                <w:tab w:val="clear" w:pos="567"/>
              </w:tabs>
              <w:spacing w:line="240" w:lineRule="auto"/>
              <w:jc w:val="center"/>
            </w:pPr>
          </w:p>
          <w:p w14:paraId="2E70B87F" w14:textId="6FBD26D2" w:rsidR="00765CC3" w:rsidRPr="00F31ED7" w:rsidRDefault="00765CC3" w:rsidP="00770A2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F31ED7">
              <w:t>= x mg přípravku na litr</w:t>
            </w:r>
          </w:p>
          <w:p w14:paraId="3562AA51" w14:textId="77777777" w:rsidR="00765CC3" w:rsidRPr="00F31ED7" w:rsidRDefault="00765CC3" w:rsidP="00770A2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F31ED7">
              <w:t>pitné vody</w:t>
            </w:r>
          </w:p>
        </w:tc>
      </w:tr>
      <w:tr w:rsidR="00765CC3" w:rsidRPr="00F31ED7" w14:paraId="31B1E5AE" w14:textId="77777777" w:rsidTr="00770A25">
        <w:trPr>
          <w:jc w:val="center"/>
        </w:trPr>
        <w:tc>
          <w:tcPr>
            <w:tcW w:w="5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AFB104" w14:textId="77777777" w:rsidR="00765CC3" w:rsidRPr="00F31ED7" w:rsidRDefault="00765CC3" w:rsidP="00770A2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</w:rPr>
            </w:pPr>
            <w:r w:rsidRPr="00F31ED7">
              <w:t>průměrná denní spotřeba vody (l) na zvíře</w:t>
            </w:r>
          </w:p>
        </w:tc>
        <w:tc>
          <w:tcPr>
            <w:tcW w:w="2723" w:type="dxa"/>
            <w:vMerge/>
            <w:vAlign w:val="center"/>
            <w:hideMark/>
          </w:tcPr>
          <w:p w14:paraId="5226B31B" w14:textId="77777777" w:rsidR="00765CC3" w:rsidRPr="00F31ED7" w:rsidRDefault="00765CC3" w:rsidP="00770A25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it-IT"/>
              </w:rPr>
            </w:pPr>
          </w:p>
        </w:tc>
      </w:tr>
    </w:tbl>
    <w:p w14:paraId="10C51A02" w14:textId="77777777" w:rsidR="00765CC3" w:rsidRPr="00F31ED7" w:rsidRDefault="00765CC3" w:rsidP="00770A25">
      <w:pPr>
        <w:tabs>
          <w:tab w:val="clear" w:pos="567"/>
        </w:tabs>
        <w:spacing w:line="240" w:lineRule="auto"/>
        <w:jc w:val="center"/>
        <w:rPr>
          <w:szCs w:val="22"/>
          <w:lang w:eastAsia="it-IT"/>
        </w:rPr>
      </w:pPr>
    </w:p>
    <w:p w14:paraId="74837160" w14:textId="1B18AFAF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  <w:r w:rsidRPr="00F31ED7">
        <w:t xml:space="preserve">Pro zajištění správného dávkování by měla být živá hmotnost stanovena co nejpřesněji, aby nedošlo k </w:t>
      </w:r>
      <w:proofErr w:type="spellStart"/>
      <w:r w:rsidR="002F1017">
        <w:t>poddávkování</w:t>
      </w:r>
      <w:proofErr w:type="spellEnd"/>
      <w:r w:rsidRPr="00F31ED7">
        <w:t>.</w:t>
      </w:r>
    </w:p>
    <w:p w14:paraId="360943D5" w14:textId="77777777" w:rsidR="00CE0DD3" w:rsidRPr="00F31ED7" w:rsidRDefault="00CE0DD3" w:rsidP="00CE0DD3">
      <w:pPr>
        <w:tabs>
          <w:tab w:val="clear" w:pos="567"/>
        </w:tabs>
        <w:spacing w:line="240" w:lineRule="auto"/>
        <w:rPr>
          <w:szCs w:val="22"/>
        </w:rPr>
      </w:pPr>
      <w:r w:rsidRPr="00F31ED7">
        <w:t>Požadované množství přípravku by mělo být zváženo co nejpřesněji pomocí vhodné kalibrované váhy.</w:t>
      </w:r>
    </w:p>
    <w:p w14:paraId="71A167FB" w14:textId="32958FB0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  <w:r w:rsidRPr="00F31ED7">
        <w:t>Všechna zvířata, která mají být léčena, by měla mít dostatečný přístup k</w:t>
      </w:r>
      <w:r w:rsidR="005F500C">
        <w:t> napájecímu systému</w:t>
      </w:r>
      <w:r w:rsidRPr="00F31ED7">
        <w:t xml:space="preserve">, aby byl zajištěn adekvátní </w:t>
      </w:r>
      <w:r w:rsidR="005F500C">
        <w:t xml:space="preserve">příjem </w:t>
      </w:r>
      <w:proofErr w:type="spellStart"/>
      <w:r w:rsidR="005F500C">
        <w:t>medikované</w:t>
      </w:r>
      <w:proofErr w:type="spellEnd"/>
      <w:r w:rsidR="005F500C" w:rsidRPr="00F31ED7">
        <w:t xml:space="preserve"> </w:t>
      </w:r>
      <w:r w:rsidRPr="00F31ED7">
        <w:t xml:space="preserve">pitné vody. </w:t>
      </w:r>
    </w:p>
    <w:p w14:paraId="581F0EFA" w14:textId="4C2B8879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  <w:r w:rsidRPr="00F31ED7">
        <w:t xml:space="preserve">Aby byl zajištěn </w:t>
      </w:r>
      <w:r w:rsidR="005F500C">
        <w:t xml:space="preserve">příjem </w:t>
      </w:r>
      <w:proofErr w:type="spellStart"/>
      <w:r w:rsidR="005F500C">
        <w:t>medikované</w:t>
      </w:r>
      <w:proofErr w:type="spellEnd"/>
      <w:r w:rsidR="005F500C" w:rsidRPr="00F31ED7">
        <w:t xml:space="preserve"> </w:t>
      </w:r>
      <w:r w:rsidRPr="00F31ED7">
        <w:t>vody, neměla by mít zvířata během léčby přístup k jin</w:t>
      </w:r>
      <w:r w:rsidR="005F500C">
        <w:t>ým</w:t>
      </w:r>
      <w:r w:rsidRPr="00F31ED7">
        <w:t xml:space="preserve"> zdroj</w:t>
      </w:r>
      <w:r w:rsidR="005F500C">
        <w:t>ům</w:t>
      </w:r>
      <w:r w:rsidRPr="00F31ED7">
        <w:t xml:space="preserve"> vody.</w:t>
      </w:r>
    </w:p>
    <w:p w14:paraId="3A8E8455" w14:textId="77777777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  <w:r w:rsidRPr="00F31ED7">
        <w:t>Roztok připravte s čerstvou pitnou vodou.</w:t>
      </w:r>
    </w:p>
    <w:p w14:paraId="08777FDB" w14:textId="4E26920A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  <w:r w:rsidRPr="00F31ED7">
        <w:t xml:space="preserve">Úplné rozpuštění přípravku by mělo být zajištěno jemným mícháním přípravku až do úplného rozpuštění. Během podávání zvířatům musí být zachována homogenita </w:t>
      </w:r>
      <w:proofErr w:type="spellStart"/>
      <w:r w:rsidR="005F500C">
        <w:t>medikované</w:t>
      </w:r>
      <w:proofErr w:type="spellEnd"/>
      <w:r w:rsidR="005F500C">
        <w:t xml:space="preserve"> </w:t>
      </w:r>
      <w:r w:rsidRPr="00F31ED7">
        <w:t xml:space="preserve">pitné vody. Veškerá </w:t>
      </w:r>
      <w:proofErr w:type="spellStart"/>
      <w:r w:rsidR="00041963">
        <w:t>medikovaná</w:t>
      </w:r>
      <w:proofErr w:type="spellEnd"/>
      <w:r w:rsidR="00041963">
        <w:t xml:space="preserve"> </w:t>
      </w:r>
      <w:r w:rsidRPr="00F31ED7">
        <w:t xml:space="preserve">voda, která se nespotřebuje do 24 hodin, musí být zlikvidována a </w:t>
      </w:r>
      <w:proofErr w:type="spellStart"/>
      <w:r w:rsidR="00041963">
        <w:t>medikovaná</w:t>
      </w:r>
      <w:proofErr w:type="spellEnd"/>
      <w:r w:rsidR="00041963">
        <w:t xml:space="preserve"> </w:t>
      </w:r>
      <w:r w:rsidRPr="00F31ED7">
        <w:t xml:space="preserve">pitná voda znovu doplněna. </w:t>
      </w:r>
    </w:p>
    <w:p w14:paraId="6B70B944" w14:textId="57330CE2" w:rsidR="00765CC3" w:rsidRPr="00F31ED7" w:rsidRDefault="00765CC3" w:rsidP="00765CC3">
      <w:pPr>
        <w:tabs>
          <w:tab w:val="clear" w:pos="567"/>
        </w:tabs>
        <w:spacing w:line="240" w:lineRule="auto"/>
        <w:rPr>
          <w:iCs/>
          <w:szCs w:val="22"/>
        </w:rPr>
      </w:pPr>
      <w:r w:rsidRPr="00F31ED7">
        <w:t>Po ukončení léčby je nutné pečlivě vyčistit systém přívodu vod</w:t>
      </w:r>
      <w:r w:rsidR="00177A90">
        <w:t>y</w:t>
      </w:r>
      <w:r w:rsidRPr="00F31ED7">
        <w:t>, aby nedocházelo k</w:t>
      </w:r>
      <w:r w:rsidR="00177A90">
        <w:t xml:space="preserve"> příjmu </w:t>
      </w:r>
      <w:proofErr w:type="spellStart"/>
      <w:r w:rsidRPr="00F31ED7">
        <w:t>subterapeutických</w:t>
      </w:r>
      <w:proofErr w:type="spellEnd"/>
      <w:r w:rsidRPr="00F31ED7">
        <w:t xml:space="preserve"> dávek léčivé látky</w:t>
      </w:r>
      <w:r w:rsidR="00972CD3">
        <w:t xml:space="preserve"> zvířaty</w:t>
      </w:r>
      <w:r w:rsidRPr="00F31ED7">
        <w:t>.</w:t>
      </w:r>
    </w:p>
    <w:p w14:paraId="5E805532" w14:textId="77777777" w:rsidR="00765CC3" w:rsidRPr="00F31ED7" w:rsidRDefault="00765CC3" w:rsidP="00765CC3">
      <w:pPr>
        <w:jc w:val="both"/>
        <w:rPr>
          <w:bCs/>
          <w:szCs w:val="22"/>
        </w:rPr>
      </w:pPr>
      <w:r w:rsidRPr="00F31ED7">
        <w:t>Při použití zásobníku vody se doporučuje připravit zásobní roztok a pak jej naředit na konečnou cílovou koncentraci. Vypněte přívod vody do zásobníku, dokud nebude spotřebován všechen roztok s obsahem přípravku.</w:t>
      </w:r>
    </w:p>
    <w:p w14:paraId="7C5143CA" w14:textId="77777777" w:rsidR="00765CC3" w:rsidRPr="00F31ED7" w:rsidRDefault="00765CC3" w:rsidP="00765CC3">
      <w:pPr>
        <w:jc w:val="both"/>
        <w:rPr>
          <w:bCs/>
          <w:szCs w:val="22"/>
        </w:rPr>
      </w:pPr>
      <w:r w:rsidRPr="00F31ED7">
        <w:t xml:space="preserve">U zásobních roztoků dbejte na to, aby nedošlo k překročení maximální rozpustnosti přípravku, tj. 3 g/ l měkké/tvrdé vody při 5 °C a 8 g/l při 20 °C.  </w:t>
      </w:r>
    </w:p>
    <w:p w14:paraId="54A29A69" w14:textId="77777777" w:rsidR="00765CC3" w:rsidRPr="00F31ED7" w:rsidRDefault="00765CC3" w:rsidP="00765CC3">
      <w:pPr>
        <w:jc w:val="both"/>
        <w:rPr>
          <w:bCs/>
          <w:szCs w:val="22"/>
        </w:rPr>
      </w:pPr>
      <w:r w:rsidRPr="00F31ED7">
        <w:t>V případě použití dávkovače upravte nastavení průtoku dávkovacího čerpadla podle koncentrace zásobního roztoku a příjmu vody léčených zvířat.</w:t>
      </w:r>
    </w:p>
    <w:p w14:paraId="7D0A9C10" w14:textId="5C821EBB" w:rsidR="00765CC3" w:rsidRPr="00F31ED7" w:rsidRDefault="00765CC3" w:rsidP="00765CC3">
      <w:pPr>
        <w:tabs>
          <w:tab w:val="clear" w:pos="567"/>
        </w:tabs>
        <w:spacing w:line="240" w:lineRule="auto"/>
        <w:rPr>
          <w:bCs/>
          <w:szCs w:val="22"/>
        </w:rPr>
      </w:pPr>
      <w:r w:rsidRPr="00F31ED7">
        <w:t xml:space="preserve">Je nezbytné zajistit, aby byla </w:t>
      </w:r>
      <w:r w:rsidR="006E09CC" w:rsidRPr="006E09CC">
        <w:t>určená dávka zvířaty kompletně spotřebována.</w:t>
      </w:r>
    </w:p>
    <w:p w14:paraId="1B11FD90" w14:textId="77777777" w:rsidR="00765CC3" w:rsidRPr="00F31ED7" w:rsidRDefault="00765CC3" w:rsidP="00765CC3">
      <w:pPr>
        <w:tabs>
          <w:tab w:val="clear" w:pos="567"/>
        </w:tabs>
        <w:spacing w:line="240" w:lineRule="auto"/>
        <w:rPr>
          <w:szCs w:val="22"/>
        </w:rPr>
      </w:pPr>
    </w:p>
    <w:p w14:paraId="74B58EF8" w14:textId="743ABA86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69B4826A" w14:textId="7FE5A63A" w:rsidR="00765CC3" w:rsidRPr="00F31ED7" w:rsidRDefault="00765CC3" w:rsidP="00765CC3">
      <w:pPr>
        <w:tabs>
          <w:tab w:val="clear" w:pos="567"/>
        </w:tabs>
        <w:spacing w:line="240" w:lineRule="auto"/>
        <w:rPr>
          <w:caps/>
          <w:szCs w:val="22"/>
        </w:rPr>
      </w:pPr>
      <w:r w:rsidRPr="00F31ED7">
        <w:rPr>
          <w:b/>
        </w:rPr>
        <w:t>10.</w:t>
      </w:r>
      <w:r w:rsidRPr="00F31ED7">
        <w:rPr>
          <w:b/>
        </w:rPr>
        <w:tab/>
      </w:r>
      <w:r w:rsidRPr="00F31ED7">
        <w:rPr>
          <w:b/>
          <w:caps/>
        </w:rPr>
        <w:t>Ochrann</w:t>
      </w:r>
      <w:r w:rsidR="00A8452F">
        <w:rPr>
          <w:b/>
          <w:caps/>
        </w:rPr>
        <w:t>Á(</w:t>
      </w:r>
      <w:r w:rsidRPr="00F31ED7">
        <w:rPr>
          <w:b/>
          <w:caps/>
        </w:rPr>
        <w:t>é</w:t>
      </w:r>
      <w:r w:rsidR="00A8452F">
        <w:rPr>
          <w:b/>
          <w:caps/>
        </w:rPr>
        <w:t>)</w:t>
      </w:r>
      <w:r w:rsidRPr="00F31ED7">
        <w:rPr>
          <w:b/>
          <w:caps/>
        </w:rPr>
        <w:t xml:space="preserve"> lhůt</w:t>
      </w:r>
      <w:r w:rsidR="00A8452F">
        <w:rPr>
          <w:b/>
          <w:caps/>
        </w:rPr>
        <w:t>A(</w:t>
      </w:r>
      <w:r w:rsidRPr="00F31ED7">
        <w:rPr>
          <w:b/>
          <w:caps/>
        </w:rPr>
        <w:t>y</w:t>
      </w:r>
      <w:r w:rsidR="00A8452F">
        <w:rPr>
          <w:b/>
          <w:caps/>
        </w:rPr>
        <w:t>)</w:t>
      </w:r>
    </w:p>
    <w:p w14:paraId="7238A897" w14:textId="77777777" w:rsidR="000C6F6E" w:rsidRPr="00F31ED7" w:rsidRDefault="000C6F6E" w:rsidP="00765CC3">
      <w:pPr>
        <w:spacing w:line="240" w:lineRule="auto"/>
        <w:rPr>
          <w:color w:val="000000"/>
          <w:szCs w:val="22"/>
          <w:lang w:eastAsia="en-GB"/>
        </w:rPr>
      </w:pPr>
    </w:p>
    <w:p w14:paraId="4CFC1DC2" w14:textId="105D9C0F" w:rsidR="00765CC3" w:rsidRPr="00F31ED7" w:rsidRDefault="00765CC3" w:rsidP="00765CC3">
      <w:pPr>
        <w:spacing w:line="240" w:lineRule="auto"/>
        <w:rPr>
          <w:color w:val="000000"/>
          <w:szCs w:val="22"/>
        </w:rPr>
      </w:pPr>
      <w:r w:rsidRPr="00F31ED7">
        <w:rPr>
          <w:color w:val="000000"/>
        </w:rPr>
        <w:t>Kur domácí: maso: 1 den;</w:t>
      </w:r>
    </w:p>
    <w:p w14:paraId="7F0E81FA" w14:textId="77777777" w:rsidR="00765CC3" w:rsidRPr="00F31ED7" w:rsidRDefault="00765CC3" w:rsidP="00765CC3">
      <w:pPr>
        <w:spacing w:line="240" w:lineRule="auto"/>
        <w:rPr>
          <w:color w:val="000000"/>
          <w:szCs w:val="22"/>
        </w:rPr>
      </w:pPr>
      <w:r w:rsidRPr="00F31ED7">
        <w:rPr>
          <w:color w:val="000000"/>
        </w:rPr>
        <w:t>Prasata: maso: 2 dny.</w:t>
      </w:r>
    </w:p>
    <w:p w14:paraId="6A9D403D" w14:textId="2DB65E12" w:rsidR="00765CC3" w:rsidRPr="00F31ED7" w:rsidRDefault="00765CC3" w:rsidP="00765CC3">
      <w:pPr>
        <w:tabs>
          <w:tab w:val="clear" w:pos="567"/>
        </w:tabs>
        <w:spacing w:line="260" w:lineRule="atLeast"/>
        <w:rPr>
          <w:kern w:val="14"/>
          <w:szCs w:val="22"/>
        </w:rPr>
      </w:pPr>
      <w:r w:rsidRPr="00F31ED7">
        <w:t xml:space="preserve">Nepoužívat u nosnic snášejících nebo určených ke snášce vajec pro lidskou spotřebu. </w:t>
      </w:r>
    </w:p>
    <w:p w14:paraId="2C948B20" w14:textId="59AA084A" w:rsidR="00765CC3" w:rsidRPr="00F31ED7" w:rsidRDefault="00765CC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67FF555F" w14:textId="77777777" w:rsidR="00CE0DD3" w:rsidRPr="00F31ED7" w:rsidRDefault="00CE0DD3" w:rsidP="00CE0DD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7B036A" w14:textId="77777777" w:rsidR="00CE0DD3" w:rsidRPr="00F31ED7" w:rsidRDefault="00CE0DD3" w:rsidP="00CE0DD3">
      <w:pPr>
        <w:tabs>
          <w:tab w:val="clear" w:pos="567"/>
        </w:tabs>
        <w:spacing w:line="240" w:lineRule="auto"/>
        <w:rPr>
          <w:szCs w:val="22"/>
        </w:rPr>
      </w:pPr>
      <w:r w:rsidRPr="00F31ED7">
        <w:rPr>
          <w:b/>
        </w:rPr>
        <w:t>11.</w:t>
      </w:r>
      <w:r w:rsidRPr="00F31ED7">
        <w:rPr>
          <w:b/>
        </w:rPr>
        <w:tab/>
      </w:r>
      <w:r w:rsidRPr="00F31ED7">
        <w:rPr>
          <w:b/>
          <w:caps/>
        </w:rPr>
        <w:t>Zvláštní opatření pro uchovávání</w:t>
      </w:r>
    </w:p>
    <w:p w14:paraId="16ECA9EE" w14:textId="77777777" w:rsidR="000C6F6E" w:rsidRPr="00F31ED7" w:rsidRDefault="000C6F6E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F3ED48D" w14:textId="02A88B17" w:rsidR="00CE0DD3" w:rsidRPr="00F31ED7" w:rsidRDefault="00CE0DD3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31ED7">
        <w:t>Uchovávat mimo dohled a dosah dětí.</w:t>
      </w:r>
    </w:p>
    <w:p w14:paraId="786CCCEE" w14:textId="77777777" w:rsidR="00CE0DD3" w:rsidRPr="00F31ED7" w:rsidRDefault="00CE0DD3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31ED7">
        <w:t>Chraňte před chladem nebo mrazem.</w:t>
      </w:r>
    </w:p>
    <w:p w14:paraId="00FED102" w14:textId="06E1C39A" w:rsidR="00CE0DD3" w:rsidRPr="00F31ED7" w:rsidRDefault="008C0BAA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31ED7">
        <w:t>Uchovávejte</w:t>
      </w:r>
      <w:r w:rsidR="00CE0DD3" w:rsidRPr="00F31ED7">
        <w:t xml:space="preserve"> v původním obalu, aby byl přípravek chráněn před světlem a vlhkostí.</w:t>
      </w:r>
    </w:p>
    <w:p w14:paraId="4AA4E7A8" w14:textId="42FBB716" w:rsidR="00CE0DD3" w:rsidRPr="00F31ED7" w:rsidRDefault="00CE0DD3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31ED7">
        <w:t>Uchovávejte v dobře uzavřeném obalu, aby byl přípravek chráněn před vlhkostí.</w:t>
      </w:r>
    </w:p>
    <w:p w14:paraId="3357FF23" w14:textId="77777777" w:rsidR="00CE0DD3" w:rsidRPr="00F31ED7" w:rsidRDefault="00CE0DD3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31ED7">
        <w:t>Uchovávejte v suchu.</w:t>
      </w:r>
    </w:p>
    <w:p w14:paraId="51E39E42" w14:textId="77777777" w:rsidR="00CE0DD3" w:rsidRPr="00F31ED7" w:rsidRDefault="00CE0DD3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43B1AD4" w14:textId="2F08B7BC" w:rsidR="00CE0DD3" w:rsidRPr="00F31ED7" w:rsidRDefault="00CE0DD3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31ED7">
        <w:t>Nepoužívejte tento veterinární léčivý přípravek po uplynutí doby použitelnost</w:t>
      </w:r>
      <w:r w:rsidR="008C0BAA">
        <w:t>i</w:t>
      </w:r>
      <w:r w:rsidRPr="00F31ED7">
        <w:t xml:space="preserve"> uvedené na etiketě. Doba použitelnosti končí posledním dnem v uvedeném měsíci.</w:t>
      </w:r>
    </w:p>
    <w:p w14:paraId="0A80EA1F" w14:textId="77777777" w:rsidR="00CE0DD3" w:rsidRPr="00F31ED7" w:rsidRDefault="00CE0DD3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EA25618" w14:textId="77777777" w:rsidR="00CE0DD3" w:rsidRPr="00F31ED7" w:rsidRDefault="00CE0DD3" w:rsidP="00CE0D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F31ED7">
        <w:t>Doba použitelnosti po prvním otevření vnitřního obalu: 6 měsíců</w:t>
      </w:r>
    </w:p>
    <w:p w14:paraId="04CD9E5B" w14:textId="1E19B25B" w:rsidR="00CE0DD3" w:rsidRPr="00F31ED7" w:rsidRDefault="00CE0DD3" w:rsidP="00CE0DD3">
      <w:pPr>
        <w:tabs>
          <w:tab w:val="clear" w:pos="567"/>
        </w:tabs>
        <w:spacing w:line="240" w:lineRule="auto"/>
        <w:rPr>
          <w:szCs w:val="22"/>
        </w:rPr>
      </w:pPr>
      <w:r w:rsidRPr="00F31ED7">
        <w:t xml:space="preserve">Doba použitelnosti po rozpuštění v pitné vodě podle </w:t>
      </w:r>
      <w:r w:rsidR="008C0BAA">
        <w:t>návodu</w:t>
      </w:r>
      <w:r w:rsidRPr="00F31ED7">
        <w:t>: 24 hodin</w:t>
      </w:r>
    </w:p>
    <w:p w14:paraId="3978BD34" w14:textId="77777777" w:rsidR="00CE0DD3" w:rsidRPr="00F31ED7" w:rsidRDefault="00CE0DD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7C28A10C" w14:textId="77777777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</w:p>
    <w:p w14:paraId="3DB74CDC" w14:textId="4DABA1BB" w:rsidR="00C560E3" w:rsidRPr="00F31ED7" w:rsidRDefault="00755DE5" w:rsidP="00C560E3">
      <w:pPr>
        <w:tabs>
          <w:tab w:val="clear" w:pos="567"/>
        </w:tabs>
        <w:spacing w:line="240" w:lineRule="auto"/>
        <w:rPr>
          <w:b/>
          <w:szCs w:val="22"/>
        </w:rPr>
      </w:pPr>
      <w:r w:rsidRPr="00F31ED7">
        <w:rPr>
          <w:b/>
        </w:rPr>
        <w:t>12.</w:t>
      </w:r>
      <w:r w:rsidRPr="00F31ED7">
        <w:rPr>
          <w:b/>
        </w:rPr>
        <w:tab/>
      </w:r>
      <w:r w:rsidRPr="00F31ED7">
        <w:rPr>
          <w:b/>
          <w:caps/>
        </w:rPr>
        <w:t>Zvláštní upozornění</w:t>
      </w:r>
    </w:p>
    <w:p w14:paraId="3C0C655F" w14:textId="77777777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</w:p>
    <w:p w14:paraId="4299B1FF" w14:textId="13A6D8A0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  <w:r w:rsidRPr="00F31ED7">
        <w:rPr>
          <w:u w:val="single"/>
        </w:rPr>
        <w:t>Zvláštní upozornění</w:t>
      </w:r>
      <w:r w:rsidR="009A0E77">
        <w:rPr>
          <w:u w:val="single"/>
        </w:rPr>
        <w:t xml:space="preserve"> pro každý cílový druh</w:t>
      </w:r>
      <w:r w:rsidRPr="00F31ED7">
        <w:rPr>
          <w:u w:val="single"/>
        </w:rPr>
        <w:t>:</w:t>
      </w:r>
    </w:p>
    <w:p w14:paraId="7B401F2D" w14:textId="77777777" w:rsidR="00755DE5" w:rsidRPr="00F31ED7" w:rsidRDefault="00755DE5" w:rsidP="00755DE5">
      <w:pPr>
        <w:spacing w:line="240" w:lineRule="auto"/>
        <w:jc w:val="both"/>
      </w:pPr>
      <w:bookmarkStart w:id="2" w:name="_Hlk99438199"/>
      <w:r w:rsidRPr="00F31ED7">
        <w:t>Příjem léků zvířaty může být změněn v důsledku nemoci. V případě nedostatečného příjmu vody/krmiva by měla být zvířata ošetřena parenterálně s využitím vhodného injekčního přípravku předepsaného veterinárním lékařem.</w:t>
      </w:r>
      <w:bookmarkEnd w:id="2"/>
    </w:p>
    <w:p w14:paraId="6281A1B2" w14:textId="139C166F" w:rsidR="00C560E3" w:rsidRPr="00F31ED7" w:rsidRDefault="00C560E3" w:rsidP="00C560E3">
      <w:pPr>
        <w:spacing w:line="240" w:lineRule="auto"/>
        <w:jc w:val="both"/>
      </w:pPr>
      <w:r w:rsidRPr="00F31ED7">
        <w:t>Byla prokázána úplná zkřížená rezistence mezi amoxicilinem a jinými peniciliny, zejména amino-peniciliny. Použití přípravku/amoxicilinu je třeba pečlivě zvážit, pokud testování antimikrobiální citlivosti prokázalo rezistenci na peniciliny, protože může být snížena jeho účinnost.</w:t>
      </w:r>
    </w:p>
    <w:p w14:paraId="22252692" w14:textId="77777777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</w:p>
    <w:p w14:paraId="33731EFE" w14:textId="3BE234F5" w:rsidR="00C560E3" w:rsidRPr="00F31ED7" w:rsidRDefault="00C560E3" w:rsidP="00770A25">
      <w:pPr>
        <w:keepNext/>
        <w:tabs>
          <w:tab w:val="clear" w:pos="567"/>
        </w:tabs>
        <w:spacing w:line="240" w:lineRule="auto"/>
        <w:rPr>
          <w:szCs w:val="22"/>
        </w:rPr>
      </w:pPr>
      <w:r w:rsidRPr="00F31ED7">
        <w:rPr>
          <w:u w:val="single"/>
        </w:rPr>
        <w:lastRenderedPageBreak/>
        <w:t>Zvláštní opatření pro použití u zvířat:</w:t>
      </w:r>
    </w:p>
    <w:p w14:paraId="698810E4" w14:textId="77777777" w:rsidR="0061417E" w:rsidRPr="0061417E" w:rsidRDefault="0061417E" w:rsidP="0061417E">
      <w:pPr>
        <w:tabs>
          <w:tab w:val="clear" w:pos="567"/>
          <w:tab w:val="left" w:pos="0"/>
        </w:tabs>
        <w:spacing w:line="240" w:lineRule="auto"/>
        <w:jc w:val="both"/>
      </w:pPr>
      <w:r w:rsidRPr="0061417E">
        <w:t xml:space="preserve">Použití přípravku by mělo být založeno na kultivaci a stanovení citlivosti mikroorganizmů pocházejících ze zvířete. Pokud to není možné, je nutné založit terapii na místních (regionální, na úrovni farmy) </w:t>
      </w:r>
      <w:proofErr w:type="spellStart"/>
      <w:r w:rsidRPr="0061417E">
        <w:t>epizootologických</w:t>
      </w:r>
      <w:proofErr w:type="spellEnd"/>
      <w:r w:rsidRPr="0061417E">
        <w:t xml:space="preserve"> informacích o citlivosti cílové bakterie.</w:t>
      </w:r>
      <w:r w:rsidRPr="0061417E" w:rsidDel="00403B83">
        <w:t xml:space="preserve"> </w:t>
      </w:r>
    </w:p>
    <w:p w14:paraId="4B9ECAB4" w14:textId="77777777" w:rsidR="00C560E3" w:rsidRPr="00F31ED7" w:rsidRDefault="00C560E3" w:rsidP="00C560E3">
      <w:pPr>
        <w:tabs>
          <w:tab w:val="clear" w:pos="567"/>
          <w:tab w:val="left" w:pos="0"/>
        </w:tabs>
        <w:spacing w:line="240" w:lineRule="auto"/>
        <w:jc w:val="both"/>
      </w:pPr>
      <w:r w:rsidRPr="00F31ED7">
        <w:t>Při použití tohoto přípravku je nutno zohlednit oficiální celostátní a místní pravidla antibiotické politiky.</w:t>
      </w:r>
    </w:p>
    <w:p w14:paraId="25D33FA6" w14:textId="743845D4" w:rsidR="00C560E3" w:rsidRPr="00F31ED7" w:rsidRDefault="00C560E3" w:rsidP="00C560E3">
      <w:pPr>
        <w:tabs>
          <w:tab w:val="clear" w:pos="567"/>
        </w:tabs>
        <w:spacing w:line="240" w:lineRule="auto"/>
        <w:jc w:val="both"/>
      </w:pPr>
      <w:r w:rsidRPr="00F31ED7">
        <w:t>Použití přípravku, které je odlišné od pokynů uvedených v této příbalové informaci, může zvýšit prevalenci bakterií rezistentních na amoxicilin a snížit účinnost léčby jinými peniciliny z důvodu možné zkřížené rezistence.</w:t>
      </w:r>
    </w:p>
    <w:p w14:paraId="35366600" w14:textId="761C91F0" w:rsidR="00C560E3" w:rsidRPr="00F31ED7" w:rsidRDefault="00C560E3" w:rsidP="002D1C2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 xml:space="preserve">Pro </w:t>
      </w:r>
      <w:r w:rsidR="002D1C2B" w:rsidRPr="002D1C2B">
        <w:t>léčbu první volby</w:t>
      </w:r>
      <w:r w:rsidRPr="00F31ED7">
        <w:t xml:space="preserve">, kdy testování citlivosti naznačuje pravděpodobnou účinnost tohoto přístupu, by se měla uplatnit antibakteriální terapie </w:t>
      </w:r>
      <w:r w:rsidR="002D1C2B" w:rsidRPr="002D1C2B">
        <w:t>s úzkým spektrem s nižším rizikem selekce rezistence.</w:t>
      </w:r>
      <w:r w:rsidR="002D1C2B">
        <w:t xml:space="preserve"> </w:t>
      </w:r>
      <w:r w:rsidRPr="00F31ED7">
        <w:t>Nenechávejte vodu s obsahem přípravku k dispozici jiným zvířatům.</w:t>
      </w:r>
    </w:p>
    <w:p w14:paraId="71C8EBF9" w14:textId="5EAD3C2C" w:rsidR="002D1C2B" w:rsidRPr="00F31ED7" w:rsidRDefault="00C560E3" w:rsidP="00C560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 xml:space="preserve">Je třeba se vyhnout opakovanému a </w:t>
      </w:r>
      <w:r w:rsidR="002D1C2B">
        <w:t>prodlouženému</w:t>
      </w:r>
      <w:r w:rsidR="002D1C2B" w:rsidRPr="00F31ED7">
        <w:t xml:space="preserve"> </w:t>
      </w:r>
      <w:r w:rsidR="002D1C2B">
        <w:t>podávání</w:t>
      </w:r>
      <w:r w:rsidRPr="00F31ED7">
        <w:t xml:space="preserve">, a to zlepšením </w:t>
      </w:r>
      <w:r w:rsidR="002D1C2B" w:rsidRPr="002D1C2B">
        <w:t>managementu chovu udržováním čistoty a dezinfekcí.</w:t>
      </w:r>
      <w:r w:rsidR="002D1C2B">
        <w:t xml:space="preserve"> </w:t>
      </w:r>
    </w:p>
    <w:p w14:paraId="032D2075" w14:textId="6D088AAD" w:rsidR="00755DE5" w:rsidRPr="00F31ED7" w:rsidRDefault="00755DE5" w:rsidP="002D1C2B">
      <w:pPr>
        <w:tabs>
          <w:tab w:val="clear" w:pos="567"/>
        </w:tabs>
        <w:spacing w:line="240" w:lineRule="auto"/>
        <w:jc w:val="both"/>
      </w:pPr>
      <w:bookmarkStart w:id="3" w:name="_Hlk100049869"/>
      <w:r w:rsidRPr="00F31ED7">
        <w:t xml:space="preserve">Dlouhodobé </w:t>
      </w:r>
      <w:r w:rsidR="002D1C2B">
        <w:t>podávání</w:t>
      </w:r>
      <w:r w:rsidR="002D1C2B" w:rsidRPr="00F31ED7">
        <w:t xml:space="preserve"> </w:t>
      </w:r>
      <w:r w:rsidRPr="00F31ED7">
        <w:t>přípravku může způsobit změn</w:t>
      </w:r>
      <w:r w:rsidR="002D1C2B">
        <w:t>y</w:t>
      </w:r>
      <w:r w:rsidRPr="00F31ED7">
        <w:t xml:space="preserve"> </w:t>
      </w:r>
      <w:r w:rsidR="002D1C2B">
        <w:t xml:space="preserve">ve složení </w:t>
      </w:r>
      <w:r w:rsidRPr="00F31ED7">
        <w:t xml:space="preserve">střevní bakteriální flóry a podpořit </w:t>
      </w:r>
      <w:r w:rsidR="002D1C2B">
        <w:t>vývoj</w:t>
      </w:r>
      <w:r w:rsidR="002D1C2B" w:rsidRPr="00F31ED7">
        <w:t xml:space="preserve"> </w:t>
      </w:r>
      <w:r w:rsidRPr="00F31ED7">
        <w:t>necitlivých mikroorganismů.</w:t>
      </w:r>
    </w:p>
    <w:bookmarkEnd w:id="3"/>
    <w:p w14:paraId="759BE49F" w14:textId="77777777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</w:p>
    <w:p w14:paraId="789E977A" w14:textId="77777777" w:rsidR="00C560E3" w:rsidRPr="00F31ED7" w:rsidRDefault="00C560E3" w:rsidP="00770A25">
      <w:pPr>
        <w:keepNext/>
        <w:tabs>
          <w:tab w:val="clear" w:pos="567"/>
        </w:tabs>
        <w:spacing w:line="240" w:lineRule="auto"/>
        <w:rPr>
          <w:szCs w:val="22"/>
        </w:rPr>
      </w:pPr>
      <w:r w:rsidRPr="00F31ED7">
        <w:rPr>
          <w:u w:val="single"/>
        </w:rPr>
        <w:t>Zvláštní opatření určené osobám, které podávají veterinární léčivý přípravek zvířatům</w:t>
      </w:r>
      <w:r w:rsidRPr="00F31ED7">
        <w:t>:</w:t>
      </w:r>
    </w:p>
    <w:p w14:paraId="77261CED" w14:textId="77777777" w:rsidR="00C560E3" w:rsidRPr="00F31ED7" w:rsidRDefault="00C560E3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>Peniciliny a cefalosporiny mohou po injekci, inhalaci, požití nebo kontaktu s kůží vyvolat přecitlivělost (alergii). Přecitlivělost na peniciliny může vést ke zkříženým reakcím s cefalosporiny a naopak. Alergické reakce na tyto látky mohou být v některých případech vážné.</w:t>
      </w:r>
    </w:p>
    <w:p w14:paraId="0C30A8D0" w14:textId="77777777" w:rsidR="00C560E3" w:rsidRPr="00F31ED7" w:rsidRDefault="00C560E3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>Tento přípravek může dráždit dýchací cesty.</w:t>
      </w:r>
    </w:p>
    <w:p w14:paraId="41C8D8A7" w14:textId="150DDEBC" w:rsidR="00C560E3" w:rsidRPr="00F31ED7" w:rsidRDefault="00C560E3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>Lidé se známou přecitlivělostí na beta-</w:t>
      </w:r>
      <w:proofErr w:type="spellStart"/>
      <w:r w:rsidRPr="00F31ED7">
        <w:t>laktamová</w:t>
      </w:r>
      <w:proofErr w:type="spellEnd"/>
      <w:r w:rsidRPr="00F31ED7">
        <w:t xml:space="preserve"> antibiotika by se měli vyhnout manipulaci s</w:t>
      </w:r>
      <w:r w:rsidR="009F65E2">
        <w:t> </w:t>
      </w:r>
      <w:r w:rsidRPr="00F31ED7">
        <w:t>přípravkem.</w:t>
      </w:r>
    </w:p>
    <w:p w14:paraId="512C5522" w14:textId="61336C03" w:rsidR="00C560E3" w:rsidRPr="00F31ED7" w:rsidRDefault="009F65E2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3709D">
        <w:rPr>
          <w:lang w:bidi="cs-CZ"/>
        </w:rPr>
        <w:t>Při manipulaci s veterinárním léčivým přípravkem buďte maximálně obezřetní, aby nedošlo k expozici a dodržujte všechna doporučená bezpečnostní opatření.</w:t>
      </w:r>
    </w:p>
    <w:p w14:paraId="2CCAEAB8" w14:textId="77777777" w:rsidR="00C560E3" w:rsidRPr="00F31ED7" w:rsidRDefault="00C560E3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>Zabraňte vdechování prachu. Použijte buď jednorázový respirátor s polomaskou vyhovující evropské normě EN149, nebo respirátor pro více použití podle evropské normy EN140 s filtrem podle normy EN143.</w:t>
      </w:r>
    </w:p>
    <w:p w14:paraId="7F9B67DC" w14:textId="0CC3A003" w:rsidR="00C560E3" w:rsidRPr="00F31ED7" w:rsidRDefault="00C560E3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 xml:space="preserve">Během manipulace s přípravkem nebo </w:t>
      </w:r>
      <w:proofErr w:type="spellStart"/>
      <w:r w:rsidR="00740F4F">
        <w:t>medikovanou</w:t>
      </w:r>
      <w:proofErr w:type="spellEnd"/>
      <w:r w:rsidR="00740F4F">
        <w:t xml:space="preserve"> </w:t>
      </w:r>
      <w:r w:rsidRPr="00F31ED7">
        <w:t>vodou noste rukavice.</w:t>
      </w:r>
    </w:p>
    <w:p w14:paraId="07EC6D05" w14:textId="47DE3C4D" w:rsidR="00C560E3" w:rsidRPr="00F31ED7" w:rsidRDefault="00C560E3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 xml:space="preserve">Po použití si umyjte ruce. Po manipulaci s přípravkem nebo </w:t>
      </w:r>
      <w:proofErr w:type="spellStart"/>
      <w:r w:rsidR="00196076">
        <w:t>medikovanou</w:t>
      </w:r>
      <w:proofErr w:type="spellEnd"/>
      <w:r w:rsidR="00196076">
        <w:t xml:space="preserve"> </w:t>
      </w:r>
      <w:r w:rsidRPr="00F31ED7">
        <w:t>vodou omyjte veškerou exponovanou pokožku.</w:t>
      </w:r>
    </w:p>
    <w:p w14:paraId="141F034E" w14:textId="77777777" w:rsidR="00C560E3" w:rsidRPr="00F31ED7" w:rsidRDefault="00C560E3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>V případě zasažení očí nebo kontaktu s pokožkou opláchněte postižené místo velkým množstvím čisté vody.</w:t>
      </w:r>
    </w:p>
    <w:p w14:paraId="04CE7A71" w14:textId="77777777" w:rsidR="00C560E3" w:rsidRPr="00F31ED7" w:rsidRDefault="00C560E3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>Při manipulaci s přípravkem nekuřte, nejezte a nepijte. V případě náhodného požití ihned vypláchněte ústa vodou a vyhledejte lékařskou pomoc.</w:t>
      </w:r>
    </w:p>
    <w:p w14:paraId="003BEFE3" w14:textId="2AC9F710" w:rsidR="00C560E3" w:rsidRPr="00F31ED7" w:rsidRDefault="00C560E3" w:rsidP="00770A2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t xml:space="preserve">Pokud se u vás </w:t>
      </w:r>
      <w:r w:rsidR="00740F4F" w:rsidRPr="00F31ED7">
        <w:t xml:space="preserve">objeví </w:t>
      </w:r>
      <w:proofErr w:type="spellStart"/>
      <w:r w:rsidRPr="00F31ED7">
        <w:t>po</w:t>
      </w:r>
      <w:r w:rsidR="00740F4F">
        <w:t>st</w:t>
      </w:r>
      <w:r w:rsidRPr="00F31ED7">
        <w:t>expozi</w:t>
      </w:r>
      <w:r w:rsidR="00740F4F">
        <w:t>ční</w:t>
      </w:r>
      <w:proofErr w:type="spellEnd"/>
      <w:r w:rsidR="00740F4F">
        <w:t xml:space="preserve"> </w:t>
      </w:r>
      <w:r w:rsidRPr="00F31ED7">
        <w:t xml:space="preserve">příznaky, jako </w:t>
      </w:r>
      <w:r w:rsidR="00740F4F">
        <w:t xml:space="preserve">např. </w:t>
      </w:r>
      <w:r w:rsidRPr="00F31ED7">
        <w:t>kožní vyrážka, vyhledejte lékařskou pomoc a</w:t>
      </w:r>
      <w:r w:rsidR="00740F4F">
        <w:t> </w:t>
      </w:r>
      <w:r w:rsidRPr="00F31ED7">
        <w:t>ukažte lékaři toto varování. Otok obličeje, rtů, očí nebo potíže s dýcháním jsou vážné příznaky a</w:t>
      </w:r>
      <w:r w:rsidR="00740F4F">
        <w:t> </w:t>
      </w:r>
      <w:r w:rsidRPr="00F31ED7">
        <w:t>vyžadují okamžitou lékařskou pomoc.</w:t>
      </w:r>
    </w:p>
    <w:p w14:paraId="166E78BC" w14:textId="77777777" w:rsidR="00C560E3" w:rsidRPr="00F31ED7" w:rsidRDefault="00C560E3" w:rsidP="00770A2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71A90A7" w14:textId="77777777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31ED7">
        <w:rPr>
          <w:u w:val="single"/>
        </w:rPr>
        <w:t>Březost, laktace a snáška:</w:t>
      </w:r>
    </w:p>
    <w:p w14:paraId="412C1C08" w14:textId="77777777" w:rsidR="00C560E3" w:rsidRPr="00F31ED7" w:rsidRDefault="00C560E3" w:rsidP="00C560E3">
      <w:pPr>
        <w:spacing w:line="240" w:lineRule="auto"/>
      </w:pPr>
      <w:r w:rsidRPr="00F31ED7">
        <w:t>Nebyla stanovena bezpečnost veterinárního léčivého přípravku pro použití během březosti a laktace.</w:t>
      </w:r>
    </w:p>
    <w:p w14:paraId="543C4841" w14:textId="77777777" w:rsidR="00C560E3" w:rsidRPr="00F31ED7" w:rsidRDefault="00C560E3" w:rsidP="00C560E3">
      <w:pPr>
        <w:spacing w:line="240" w:lineRule="auto"/>
        <w:jc w:val="both"/>
      </w:pPr>
      <w:r w:rsidRPr="00F31ED7">
        <w:t>Použít pouze po zvážení terapeutického prospěchu a rizika příslušným veterinárním lékařem.</w:t>
      </w:r>
    </w:p>
    <w:p w14:paraId="2B72BD35" w14:textId="643E071E" w:rsidR="00C560E3" w:rsidRPr="00F31ED7" w:rsidRDefault="00C560E3" w:rsidP="00C00BF0">
      <w:pPr>
        <w:tabs>
          <w:tab w:val="clear" w:pos="567"/>
        </w:tabs>
        <w:spacing w:line="260" w:lineRule="atLeast"/>
        <w:jc w:val="both"/>
        <w:rPr>
          <w:kern w:val="14"/>
          <w:szCs w:val="22"/>
        </w:rPr>
      </w:pPr>
      <w:r w:rsidRPr="00F31ED7">
        <w:t>Laboratorní studie na potkanech neprokázaly teratogenní účinek způsobený podáváním amoxicilinu.</w:t>
      </w:r>
    </w:p>
    <w:p w14:paraId="6BD1694D" w14:textId="77777777" w:rsidR="00C560E3" w:rsidRPr="00F31ED7" w:rsidRDefault="00C560E3" w:rsidP="00C560E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4ADB9D" w14:textId="77777777" w:rsidR="00C560E3" w:rsidRPr="00F31ED7" w:rsidRDefault="00C560E3" w:rsidP="00C560E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31ED7">
        <w:rPr>
          <w:u w:val="single"/>
        </w:rPr>
        <w:t>Interakce s dalšími léčivými přípravky a další formy interakce:</w:t>
      </w:r>
    </w:p>
    <w:p w14:paraId="08D7E29E" w14:textId="77777777" w:rsidR="00C560E3" w:rsidRPr="00F31ED7" w:rsidRDefault="00C560E3" w:rsidP="00C560E3">
      <w:pPr>
        <w:spacing w:line="240" w:lineRule="auto"/>
      </w:pPr>
      <w:r w:rsidRPr="00F31ED7">
        <w:t>Přípravek by neměl být podáván s antibiotiky s bakteriostatickým účinkem.</w:t>
      </w:r>
    </w:p>
    <w:p w14:paraId="5D1D6CF0" w14:textId="77777777" w:rsidR="00C560E3" w:rsidRPr="00F31ED7" w:rsidRDefault="00C560E3" w:rsidP="00C560E3">
      <w:pPr>
        <w:spacing w:line="240" w:lineRule="auto"/>
        <w:jc w:val="both"/>
      </w:pPr>
      <w:r w:rsidRPr="00F31ED7">
        <w:t>Může se objevit synergismus s jinými beta-laktamovými antibiotiky a aminoglykosidy.</w:t>
      </w:r>
    </w:p>
    <w:p w14:paraId="4CE90D1A" w14:textId="2D0F2BD6" w:rsidR="00C560E3" w:rsidRPr="00F31ED7" w:rsidRDefault="00CD0C7F" w:rsidP="00C560E3">
      <w:pPr>
        <w:tabs>
          <w:tab w:val="clear" w:pos="567"/>
          <w:tab w:val="left" w:pos="540"/>
        </w:tabs>
        <w:spacing w:line="260" w:lineRule="atLeast"/>
        <w:jc w:val="both"/>
        <w:rPr>
          <w:kern w:val="14"/>
          <w:szCs w:val="22"/>
        </w:rPr>
      </w:pPr>
      <w:r w:rsidRPr="00F31ED7">
        <w:t>Nepo</w:t>
      </w:r>
      <w:r>
        <w:t>dávejte</w:t>
      </w:r>
      <w:r w:rsidRPr="00F31ED7">
        <w:t xml:space="preserve"> </w:t>
      </w:r>
      <w:r w:rsidR="00C560E3" w:rsidRPr="00F31ED7">
        <w:t xml:space="preserve">současně s neomycinem, protože blokuje absorpci </w:t>
      </w:r>
      <w:r w:rsidRPr="00F31ED7">
        <w:t>peroráln</w:t>
      </w:r>
      <w:r>
        <w:t>ě podávaných</w:t>
      </w:r>
      <w:r w:rsidRPr="00F31ED7">
        <w:t xml:space="preserve"> </w:t>
      </w:r>
      <w:r w:rsidR="00C560E3" w:rsidRPr="00F31ED7">
        <w:t>penicilinů.</w:t>
      </w:r>
    </w:p>
    <w:p w14:paraId="23A87716" w14:textId="77777777" w:rsidR="00C560E3" w:rsidRPr="00F31ED7" w:rsidRDefault="00C560E3" w:rsidP="00C560E3">
      <w:pPr>
        <w:spacing w:line="240" w:lineRule="auto"/>
        <w:jc w:val="both"/>
      </w:pPr>
      <w:r w:rsidRPr="00F31ED7">
        <w:t>Nepoužívejte společně s antibiotiky, která inhibují syntézu bakteriálních proteinů, protože mohou antagonizovat baktericidní účinek penicilinů.</w:t>
      </w:r>
    </w:p>
    <w:p w14:paraId="7CF944F0" w14:textId="77777777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</w:p>
    <w:p w14:paraId="01D699C9" w14:textId="1241B855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  <w:r w:rsidRPr="00F31ED7">
        <w:rPr>
          <w:u w:val="single"/>
        </w:rPr>
        <w:t>Předávkování (symptomy, první pomoc, antidota)</w:t>
      </w:r>
      <w:r w:rsidRPr="00F31ED7">
        <w:t>:</w:t>
      </w:r>
    </w:p>
    <w:p w14:paraId="20D66B65" w14:textId="3A118350" w:rsidR="00C560E3" w:rsidRPr="00F31ED7" w:rsidRDefault="00C560E3" w:rsidP="00C560E3">
      <w:pPr>
        <w:tabs>
          <w:tab w:val="clear" w:pos="567"/>
        </w:tabs>
        <w:spacing w:line="240" w:lineRule="auto"/>
        <w:rPr>
          <w:rFonts w:eastAsia="Calibri"/>
          <w:szCs w:val="22"/>
        </w:rPr>
      </w:pPr>
      <w:r w:rsidRPr="00F31ED7">
        <w:t>Nejsou známy žádné jiné nežádoucí účinky než ty, které jsou uvedeny v bodě 6.</w:t>
      </w:r>
    </w:p>
    <w:p w14:paraId="5CE2BE16" w14:textId="4CE77458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  <w:r w:rsidRPr="00F31ED7">
        <w:t>Amoxicilin má širok</w:t>
      </w:r>
      <w:r w:rsidR="00C74C2F">
        <w:t xml:space="preserve">ou mez </w:t>
      </w:r>
      <w:r w:rsidRPr="00F31ED7">
        <w:t>bezpečnosti. V případě předávkování by měla být léčba symptomatická. Není k dispozici žádné specifické antidotum.</w:t>
      </w:r>
    </w:p>
    <w:p w14:paraId="01A32BE9" w14:textId="77777777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</w:p>
    <w:p w14:paraId="6BD83BEB" w14:textId="701667F4" w:rsidR="00C560E3" w:rsidRPr="00F31ED7" w:rsidRDefault="00755DE5" w:rsidP="00C560E3">
      <w:pPr>
        <w:tabs>
          <w:tab w:val="clear" w:pos="567"/>
        </w:tabs>
        <w:spacing w:line="240" w:lineRule="auto"/>
        <w:rPr>
          <w:szCs w:val="22"/>
        </w:rPr>
      </w:pPr>
      <w:r w:rsidRPr="00F31ED7">
        <w:rPr>
          <w:u w:val="single"/>
        </w:rPr>
        <w:t>Inkompatibility</w:t>
      </w:r>
      <w:r w:rsidRPr="00F31ED7">
        <w:t>:</w:t>
      </w:r>
    </w:p>
    <w:p w14:paraId="617FA201" w14:textId="77777777" w:rsidR="00C560E3" w:rsidRPr="00F31ED7" w:rsidRDefault="00C560E3" w:rsidP="00C560E3">
      <w:pPr>
        <w:tabs>
          <w:tab w:val="clear" w:pos="567"/>
        </w:tabs>
        <w:spacing w:line="240" w:lineRule="auto"/>
        <w:rPr>
          <w:szCs w:val="22"/>
        </w:rPr>
      </w:pPr>
      <w:r w:rsidRPr="00F31ED7">
        <w:lastRenderedPageBreak/>
        <w:t>Studie kompatibility nejsou k dispozici, a proto tento veterinární léčivý přípravek nesmí být mísen s žádnými dalšími veterinárními léčivými přípravky.</w:t>
      </w:r>
    </w:p>
    <w:p w14:paraId="380530E3" w14:textId="3002A3DD" w:rsidR="004A6061" w:rsidRPr="00F31ED7" w:rsidRDefault="004A6061" w:rsidP="003C7700">
      <w:pPr>
        <w:tabs>
          <w:tab w:val="clear" w:pos="567"/>
        </w:tabs>
        <w:spacing w:line="240" w:lineRule="auto"/>
        <w:rPr>
          <w:szCs w:val="22"/>
        </w:rPr>
      </w:pPr>
    </w:p>
    <w:p w14:paraId="66F7BEAC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95AB0D0" w14:textId="21ADF4D8" w:rsidR="003C7700" w:rsidRPr="00F31ED7" w:rsidRDefault="00755DE5" w:rsidP="003C7700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F31ED7">
        <w:rPr>
          <w:b/>
        </w:rPr>
        <w:t>13.</w:t>
      </w:r>
      <w:r w:rsidRPr="00F31ED7">
        <w:rPr>
          <w:b/>
        </w:rPr>
        <w:tab/>
      </w:r>
      <w:r w:rsidRPr="00F31ED7">
        <w:rPr>
          <w:b/>
          <w:caps/>
        </w:rPr>
        <w:t>Zvláštní opatření pro zneškodňování NEPOUŽIT</w:t>
      </w:r>
      <w:r w:rsidR="00C2206D">
        <w:rPr>
          <w:b/>
          <w:caps/>
        </w:rPr>
        <w:t>ÝCH</w:t>
      </w:r>
      <w:r w:rsidRPr="00F31ED7">
        <w:rPr>
          <w:b/>
          <w:caps/>
        </w:rPr>
        <w:t xml:space="preserve"> </w:t>
      </w:r>
      <w:r w:rsidR="00C2206D" w:rsidRPr="00F31ED7">
        <w:rPr>
          <w:b/>
          <w:caps/>
        </w:rPr>
        <w:t>PŘÍPRAVK</w:t>
      </w:r>
      <w:r w:rsidR="00C2206D">
        <w:rPr>
          <w:b/>
          <w:caps/>
        </w:rPr>
        <w:t>Ů</w:t>
      </w:r>
      <w:r w:rsidR="00C2206D" w:rsidRPr="00F31ED7">
        <w:rPr>
          <w:b/>
          <w:caps/>
        </w:rPr>
        <w:t xml:space="preserve"> </w:t>
      </w:r>
      <w:r w:rsidRPr="00F31ED7">
        <w:rPr>
          <w:b/>
          <w:caps/>
        </w:rPr>
        <w:t>NEBO ODPADU, POKUD JE JICH TŘEBA</w:t>
      </w:r>
    </w:p>
    <w:p w14:paraId="373DFDB8" w14:textId="77777777" w:rsidR="003C7700" w:rsidRPr="00F31ED7" w:rsidRDefault="003C7700" w:rsidP="00770A2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134E0D2" w14:textId="77777777" w:rsidR="00063675" w:rsidRPr="00F31ED7" w:rsidRDefault="00063675" w:rsidP="00063675">
      <w:pPr>
        <w:tabs>
          <w:tab w:val="clear" w:pos="567"/>
        </w:tabs>
        <w:spacing w:line="240" w:lineRule="auto"/>
        <w:rPr>
          <w:i/>
          <w:szCs w:val="22"/>
        </w:rPr>
      </w:pPr>
      <w:r w:rsidRPr="00F31ED7">
        <w:t>Všechen nepoužitý veterinární léčivý přípravek nebo odpad, který pochází z tohoto přípravku, musí být likvidován podle místních právních předpisů.</w:t>
      </w:r>
    </w:p>
    <w:p w14:paraId="5817451E" w14:textId="078969A5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DA686BB" w14:textId="1F7AED0A" w:rsidR="00755DE5" w:rsidRPr="00F31ED7" w:rsidRDefault="00755DE5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9705B80" w14:textId="28DDAADC" w:rsidR="00755DE5" w:rsidRPr="00F31ED7" w:rsidRDefault="00755DE5" w:rsidP="00755DE5">
      <w:pPr>
        <w:tabs>
          <w:tab w:val="clear" w:pos="567"/>
        </w:tabs>
        <w:spacing w:line="240" w:lineRule="auto"/>
        <w:rPr>
          <w:szCs w:val="22"/>
        </w:rPr>
      </w:pPr>
      <w:r w:rsidRPr="00F31ED7">
        <w:rPr>
          <w:b/>
        </w:rPr>
        <w:t>14.</w:t>
      </w:r>
      <w:r w:rsidRPr="00F31ED7">
        <w:rPr>
          <w:b/>
        </w:rPr>
        <w:tab/>
      </w:r>
      <w:r w:rsidRPr="00F31ED7">
        <w:rPr>
          <w:b/>
          <w:caps/>
        </w:rPr>
        <w:t>DATUM POSLEDNÍ REVIZE PŘÍBALOVÉ INFORMACE</w:t>
      </w:r>
    </w:p>
    <w:p w14:paraId="7F33B6CB" w14:textId="77777777" w:rsidR="00DC06B3" w:rsidRPr="00F31ED7" w:rsidRDefault="00DC06B3" w:rsidP="009E4363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1BEB1A7C" w14:textId="5E2E6D37" w:rsidR="009E4363" w:rsidRDefault="00B433B7" w:rsidP="009E436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Srpen </w:t>
      </w:r>
      <w:r w:rsidR="00130A58">
        <w:rPr>
          <w:szCs w:val="22"/>
        </w:rPr>
        <w:t>2022</w:t>
      </w:r>
    </w:p>
    <w:p w14:paraId="317EC953" w14:textId="77777777" w:rsidR="00130A58" w:rsidRPr="00F31ED7" w:rsidRDefault="00130A58" w:rsidP="009E4363">
      <w:p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2563CF81" w14:textId="668F04C0" w:rsidR="009E4363" w:rsidRPr="00F31ED7" w:rsidRDefault="00755DE5" w:rsidP="009E4363">
      <w:pPr>
        <w:tabs>
          <w:tab w:val="clear" w:pos="567"/>
          <w:tab w:val="left" w:pos="708"/>
        </w:tabs>
        <w:spacing w:line="240" w:lineRule="auto"/>
        <w:rPr>
          <w:b/>
          <w:szCs w:val="22"/>
        </w:rPr>
      </w:pPr>
      <w:r w:rsidRPr="00F31ED7">
        <w:rPr>
          <w:b/>
        </w:rPr>
        <w:t>15.</w:t>
      </w:r>
      <w:r w:rsidRPr="00F31ED7">
        <w:rPr>
          <w:b/>
        </w:rPr>
        <w:tab/>
        <w:t>DALŠÍ INFORMACE</w:t>
      </w:r>
    </w:p>
    <w:p w14:paraId="75D92C5E" w14:textId="69719300" w:rsidR="009E4363" w:rsidRPr="00F31ED7" w:rsidRDefault="009E436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7B4CB5A5" w14:textId="12C2DFDF" w:rsidR="001832B6" w:rsidRDefault="001832B6" w:rsidP="009E4363">
      <w:pPr>
        <w:tabs>
          <w:tab w:val="clear" w:pos="567"/>
        </w:tabs>
        <w:spacing w:line="240" w:lineRule="auto"/>
      </w:pPr>
      <w:r w:rsidRPr="001832B6">
        <w:t>Pouze pro zvířata.</w:t>
      </w:r>
    </w:p>
    <w:p w14:paraId="1F9415B1" w14:textId="3A737B44" w:rsidR="00130A58" w:rsidRDefault="00130A58" w:rsidP="009E4363">
      <w:pPr>
        <w:tabs>
          <w:tab w:val="clear" w:pos="567"/>
        </w:tabs>
        <w:spacing w:line="240" w:lineRule="auto"/>
      </w:pPr>
      <w:r>
        <w:t>Veterinární léčivý přípravek je vydáván pouze na předpis.</w:t>
      </w:r>
    </w:p>
    <w:p w14:paraId="14D5CC0D" w14:textId="77777777" w:rsidR="00130A58" w:rsidRDefault="00130A58" w:rsidP="009E4363">
      <w:pPr>
        <w:tabs>
          <w:tab w:val="clear" w:pos="567"/>
        </w:tabs>
        <w:spacing w:line="240" w:lineRule="auto"/>
      </w:pPr>
    </w:p>
    <w:p w14:paraId="12CDBB99" w14:textId="2996CA8D" w:rsidR="009E4363" w:rsidRPr="00F31ED7" w:rsidRDefault="009E4363" w:rsidP="009E4363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F31ED7">
        <w:t>100g</w:t>
      </w:r>
      <w:proofErr w:type="gramEnd"/>
      <w:r w:rsidRPr="00F31ED7">
        <w:t xml:space="preserve"> </w:t>
      </w:r>
      <w:r w:rsidR="008C0BAA">
        <w:t>kelímek</w:t>
      </w:r>
    </w:p>
    <w:p w14:paraId="79A2A21D" w14:textId="18E55306" w:rsidR="009E4363" w:rsidRPr="00F31ED7" w:rsidRDefault="009E4363" w:rsidP="009E4363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F31ED7">
        <w:t>100g</w:t>
      </w:r>
      <w:proofErr w:type="gramEnd"/>
      <w:r w:rsidRPr="00F31ED7">
        <w:t xml:space="preserve"> </w:t>
      </w:r>
      <w:r w:rsidR="008C0BAA">
        <w:t>sáček</w:t>
      </w:r>
    </w:p>
    <w:p w14:paraId="6F3221F3" w14:textId="77777777" w:rsidR="009E4363" w:rsidRPr="00F31ED7" w:rsidRDefault="009E4363" w:rsidP="009E4363">
      <w:pPr>
        <w:tabs>
          <w:tab w:val="clear" w:pos="567"/>
        </w:tabs>
        <w:spacing w:line="240" w:lineRule="auto"/>
        <w:rPr>
          <w:szCs w:val="22"/>
        </w:rPr>
      </w:pPr>
      <w:proofErr w:type="gramStart"/>
      <w:r w:rsidRPr="00F31ED7">
        <w:t>500g</w:t>
      </w:r>
      <w:proofErr w:type="gramEnd"/>
      <w:r w:rsidRPr="00F31ED7">
        <w:t xml:space="preserve"> vak</w:t>
      </w:r>
    </w:p>
    <w:p w14:paraId="714D6B60" w14:textId="77777777" w:rsidR="009E4363" w:rsidRPr="00F31ED7" w:rsidRDefault="009E4363" w:rsidP="009E4363">
      <w:pPr>
        <w:tabs>
          <w:tab w:val="clear" w:pos="567"/>
        </w:tabs>
        <w:spacing w:line="240" w:lineRule="auto"/>
        <w:rPr>
          <w:szCs w:val="22"/>
        </w:rPr>
      </w:pPr>
      <w:r w:rsidRPr="00F31ED7">
        <w:t>1kg vak</w:t>
      </w:r>
    </w:p>
    <w:p w14:paraId="421D24B5" w14:textId="77777777" w:rsidR="009E4363" w:rsidRPr="00F31ED7" w:rsidRDefault="009E4363" w:rsidP="009E4363">
      <w:pPr>
        <w:tabs>
          <w:tab w:val="clear" w:pos="567"/>
        </w:tabs>
        <w:spacing w:line="240" w:lineRule="auto"/>
        <w:rPr>
          <w:szCs w:val="22"/>
        </w:rPr>
      </w:pPr>
    </w:p>
    <w:p w14:paraId="7315FDB5" w14:textId="77777777" w:rsidR="009E4363" w:rsidRPr="00F31ED7" w:rsidRDefault="009E4363" w:rsidP="009E4363">
      <w:pPr>
        <w:tabs>
          <w:tab w:val="clear" w:pos="567"/>
        </w:tabs>
        <w:spacing w:line="240" w:lineRule="auto"/>
        <w:rPr>
          <w:szCs w:val="22"/>
        </w:rPr>
      </w:pPr>
      <w:r w:rsidRPr="00F31ED7">
        <w:t>Na trhu nemusí být všechny velikosti balení.</w:t>
      </w:r>
    </w:p>
    <w:p w14:paraId="45214855" w14:textId="71FAE324" w:rsidR="009E4363" w:rsidRPr="00F31ED7" w:rsidRDefault="009E436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40E8C188" w14:textId="1ED6D4F0" w:rsidR="009E4363" w:rsidRPr="00F31ED7" w:rsidRDefault="009E436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32B3CDD6" w14:textId="77777777" w:rsidR="009E4363" w:rsidRPr="00F31ED7" w:rsidRDefault="009E436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5948CBF9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2CFDD690" w14:textId="77777777" w:rsidR="00BC5175" w:rsidRPr="00F31ED7" w:rsidRDefault="00BC5175" w:rsidP="003C7700">
      <w:pPr>
        <w:tabs>
          <w:tab w:val="clear" w:pos="567"/>
        </w:tabs>
        <w:spacing w:line="240" w:lineRule="auto"/>
        <w:rPr>
          <w:szCs w:val="22"/>
        </w:rPr>
      </w:pPr>
    </w:p>
    <w:p w14:paraId="152EFC97" w14:textId="77777777" w:rsidR="009E4363" w:rsidRPr="00F31ED7" w:rsidRDefault="009E4363" w:rsidP="003C7700">
      <w:pPr>
        <w:tabs>
          <w:tab w:val="clear" w:pos="567"/>
        </w:tabs>
        <w:spacing w:line="240" w:lineRule="auto"/>
        <w:rPr>
          <w:szCs w:val="22"/>
        </w:rPr>
      </w:pPr>
    </w:p>
    <w:p w14:paraId="24FF8275" w14:textId="77777777" w:rsidR="003C7700" w:rsidRPr="00F31ED7" w:rsidRDefault="003C7700" w:rsidP="003C7700">
      <w:pPr>
        <w:tabs>
          <w:tab w:val="clear" w:pos="567"/>
        </w:tabs>
        <w:spacing w:line="240" w:lineRule="auto"/>
        <w:rPr>
          <w:szCs w:val="22"/>
        </w:rPr>
      </w:pPr>
    </w:p>
    <w:p w14:paraId="793C8064" w14:textId="77777777" w:rsidR="00724756" w:rsidRPr="00F31ED7" w:rsidRDefault="00724756"/>
    <w:sectPr w:rsidR="00724756" w:rsidRPr="00F31ED7" w:rsidSect="00724756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8E789" w14:textId="77777777" w:rsidR="004D7D83" w:rsidRDefault="004D7D83">
      <w:pPr>
        <w:spacing w:line="240" w:lineRule="auto"/>
      </w:pPr>
      <w:r>
        <w:separator/>
      </w:r>
    </w:p>
  </w:endnote>
  <w:endnote w:type="continuationSeparator" w:id="0">
    <w:p w14:paraId="14320740" w14:textId="77777777" w:rsidR="004D7D83" w:rsidRDefault="004D7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1BBE" w14:textId="0B8DE1DD" w:rsidR="00DB5727" w:rsidRPr="00B94A1B" w:rsidRDefault="00DB57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CA0912">
      <w:rPr>
        <w:rFonts w:ascii="Times New Roman" w:hAnsi="Times New Roman"/>
      </w:rPr>
      <w:t>7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E1E0" w14:textId="77777777" w:rsidR="00DB5727" w:rsidRDefault="00DB572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DD006" w14:textId="77777777" w:rsidR="004D7D83" w:rsidRDefault="004D7D83">
      <w:pPr>
        <w:spacing w:line="240" w:lineRule="auto"/>
      </w:pPr>
      <w:r>
        <w:separator/>
      </w:r>
    </w:p>
  </w:footnote>
  <w:footnote w:type="continuationSeparator" w:id="0">
    <w:p w14:paraId="0C982940" w14:textId="77777777" w:rsidR="004D7D83" w:rsidRDefault="004D7D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134E" w14:textId="30AED1D1" w:rsidR="00DB5727" w:rsidRDefault="00DB57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9FC"/>
    <w:multiLevelType w:val="hybridMultilevel"/>
    <w:tmpl w:val="AB9402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00"/>
    <w:rsid w:val="00005B86"/>
    <w:rsid w:val="00010559"/>
    <w:rsid w:val="00022643"/>
    <w:rsid w:val="00034A11"/>
    <w:rsid w:val="000402C0"/>
    <w:rsid w:val="00041963"/>
    <w:rsid w:val="00063675"/>
    <w:rsid w:val="00072A44"/>
    <w:rsid w:val="000B654D"/>
    <w:rsid w:val="000C6F6E"/>
    <w:rsid w:val="00102B45"/>
    <w:rsid w:val="0012406B"/>
    <w:rsid w:val="00130A58"/>
    <w:rsid w:val="00177A90"/>
    <w:rsid w:val="001832B6"/>
    <w:rsid w:val="001900B5"/>
    <w:rsid w:val="00196076"/>
    <w:rsid w:val="001B3919"/>
    <w:rsid w:val="001B58B7"/>
    <w:rsid w:val="002010EB"/>
    <w:rsid w:val="00206D37"/>
    <w:rsid w:val="002178C1"/>
    <w:rsid w:val="00254FB8"/>
    <w:rsid w:val="00285B2A"/>
    <w:rsid w:val="00290284"/>
    <w:rsid w:val="002D1C2B"/>
    <w:rsid w:val="002F1017"/>
    <w:rsid w:val="003424BE"/>
    <w:rsid w:val="00355A15"/>
    <w:rsid w:val="0036747E"/>
    <w:rsid w:val="0037439A"/>
    <w:rsid w:val="003A5120"/>
    <w:rsid w:val="003C4EB3"/>
    <w:rsid w:val="003C7700"/>
    <w:rsid w:val="003C7883"/>
    <w:rsid w:val="003E7460"/>
    <w:rsid w:val="00405AA2"/>
    <w:rsid w:val="00410876"/>
    <w:rsid w:val="00413FA3"/>
    <w:rsid w:val="0041710E"/>
    <w:rsid w:val="00452C5F"/>
    <w:rsid w:val="00457754"/>
    <w:rsid w:val="00475CA5"/>
    <w:rsid w:val="00475EC3"/>
    <w:rsid w:val="00487C82"/>
    <w:rsid w:val="00497A43"/>
    <w:rsid w:val="004A6061"/>
    <w:rsid w:val="004D1C97"/>
    <w:rsid w:val="004D2A80"/>
    <w:rsid w:val="004D4266"/>
    <w:rsid w:val="004D7D83"/>
    <w:rsid w:val="004F0DEE"/>
    <w:rsid w:val="004F2B22"/>
    <w:rsid w:val="004F59D8"/>
    <w:rsid w:val="00517607"/>
    <w:rsid w:val="00544638"/>
    <w:rsid w:val="0058296E"/>
    <w:rsid w:val="005D51FE"/>
    <w:rsid w:val="005F0CB7"/>
    <w:rsid w:val="005F500C"/>
    <w:rsid w:val="0061417E"/>
    <w:rsid w:val="00680AF5"/>
    <w:rsid w:val="006E09CC"/>
    <w:rsid w:val="00724756"/>
    <w:rsid w:val="00736622"/>
    <w:rsid w:val="00740F4F"/>
    <w:rsid w:val="00752645"/>
    <w:rsid w:val="00755DE5"/>
    <w:rsid w:val="00765CC3"/>
    <w:rsid w:val="00770A25"/>
    <w:rsid w:val="007879D8"/>
    <w:rsid w:val="007D691B"/>
    <w:rsid w:val="007D788A"/>
    <w:rsid w:val="00800242"/>
    <w:rsid w:val="00806069"/>
    <w:rsid w:val="00807399"/>
    <w:rsid w:val="00830939"/>
    <w:rsid w:val="008420BF"/>
    <w:rsid w:val="00852E8C"/>
    <w:rsid w:val="00892D00"/>
    <w:rsid w:val="008A449C"/>
    <w:rsid w:val="008C0BAA"/>
    <w:rsid w:val="008D26D8"/>
    <w:rsid w:val="008E1A04"/>
    <w:rsid w:val="008E1A39"/>
    <w:rsid w:val="0091132C"/>
    <w:rsid w:val="00936B91"/>
    <w:rsid w:val="009728D2"/>
    <w:rsid w:val="00972CD3"/>
    <w:rsid w:val="00976557"/>
    <w:rsid w:val="00992E4B"/>
    <w:rsid w:val="009A0E77"/>
    <w:rsid w:val="009C0DF7"/>
    <w:rsid w:val="009C7101"/>
    <w:rsid w:val="009D2972"/>
    <w:rsid w:val="009D6E09"/>
    <w:rsid w:val="009E4363"/>
    <w:rsid w:val="009F57DE"/>
    <w:rsid w:val="009F65E2"/>
    <w:rsid w:val="00A14606"/>
    <w:rsid w:val="00A14EBE"/>
    <w:rsid w:val="00A64574"/>
    <w:rsid w:val="00A8452F"/>
    <w:rsid w:val="00AA0953"/>
    <w:rsid w:val="00AB2ACE"/>
    <w:rsid w:val="00AD0DEE"/>
    <w:rsid w:val="00AD5347"/>
    <w:rsid w:val="00AE7341"/>
    <w:rsid w:val="00AF613A"/>
    <w:rsid w:val="00B265AA"/>
    <w:rsid w:val="00B433B7"/>
    <w:rsid w:val="00B644E8"/>
    <w:rsid w:val="00B670DB"/>
    <w:rsid w:val="00B715CB"/>
    <w:rsid w:val="00B728C4"/>
    <w:rsid w:val="00B73D46"/>
    <w:rsid w:val="00B82306"/>
    <w:rsid w:val="00B86BB7"/>
    <w:rsid w:val="00B964BA"/>
    <w:rsid w:val="00BA7816"/>
    <w:rsid w:val="00BC232B"/>
    <w:rsid w:val="00BC5175"/>
    <w:rsid w:val="00C00BF0"/>
    <w:rsid w:val="00C021B8"/>
    <w:rsid w:val="00C14658"/>
    <w:rsid w:val="00C2206D"/>
    <w:rsid w:val="00C32834"/>
    <w:rsid w:val="00C560E3"/>
    <w:rsid w:val="00C64DB4"/>
    <w:rsid w:val="00C74C2F"/>
    <w:rsid w:val="00CA0912"/>
    <w:rsid w:val="00CA0A9A"/>
    <w:rsid w:val="00CB2099"/>
    <w:rsid w:val="00CB7227"/>
    <w:rsid w:val="00CD0C7F"/>
    <w:rsid w:val="00CE0DD3"/>
    <w:rsid w:val="00CE5864"/>
    <w:rsid w:val="00CF1F51"/>
    <w:rsid w:val="00CF6BA7"/>
    <w:rsid w:val="00D0797E"/>
    <w:rsid w:val="00D178BA"/>
    <w:rsid w:val="00D363B9"/>
    <w:rsid w:val="00D55245"/>
    <w:rsid w:val="00DA05F2"/>
    <w:rsid w:val="00DB5727"/>
    <w:rsid w:val="00DC06B3"/>
    <w:rsid w:val="00DD1236"/>
    <w:rsid w:val="00DD6875"/>
    <w:rsid w:val="00DD79DC"/>
    <w:rsid w:val="00DF1BBA"/>
    <w:rsid w:val="00DF67A7"/>
    <w:rsid w:val="00E10A39"/>
    <w:rsid w:val="00E126B2"/>
    <w:rsid w:val="00E17F60"/>
    <w:rsid w:val="00E2600A"/>
    <w:rsid w:val="00E63F69"/>
    <w:rsid w:val="00E66F0B"/>
    <w:rsid w:val="00E73154"/>
    <w:rsid w:val="00E82114"/>
    <w:rsid w:val="00E827DD"/>
    <w:rsid w:val="00E935E4"/>
    <w:rsid w:val="00EE2DDA"/>
    <w:rsid w:val="00EF30E1"/>
    <w:rsid w:val="00F01C19"/>
    <w:rsid w:val="00F24396"/>
    <w:rsid w:val="00F31ED7"/>
    <w:rsid w:val="00F37A4D"/>
    <w:rsid w:val="00F4005F"/>
    <w:rsid w:val="00F7001A"/>
    <w:rsid w:val="00F70E7D"/>
    <w:rsid w:val="00F748CB"/>
    <w:rsid w:val="00FA0085"/>
    <w:rsid w:val="00FD6C3F"/>
    <w:rsid w:val="00FE1FE4"/>
    <w:rsid w:val="00FE629A"/>
    <w:rsid w:val="00FF0032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2D44"/>
  <w15:docId w15:val="{A7B42C8F-FF39-480B-9513-E91DBE1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700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C7700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3C7700"/>
    <w:rPr>
      <w:rFonts w:ascii="Helvetica" w:eastAsia="Times New Roman" w:hAnsi="Helvetica" w:cs="Times New Roman"/>
      <w:sz w:val="20"/>
      <w:szCs w:val="20"/>
      <w:lang w:val="cs-CZ"/>
    </w:rPr>
  </w:style>
  <w:style w:type="paragraph" w:styleId="Zpat">
    <w:name w:val="footer"/>
    <w:basedOn w:val="Normln"/>
    <w:link w:val="ZpatChar"/>
    <w:rsid w:val="003C770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3C7700"/>
    <w:rPr>
      <w:rFonts w:ascii="Helvetica" w:eastAsia="Times New Roman" w:hAnsi="Helvetica" w:cs="Times New Roman"/>
      <w:sz w:val="16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E4B"/>
    <w:rPr>
      <w:rFonts w:ascii="Segoe UI" w:eastAsia="Times New Roman" w:hAnsi="Segoe UI" w:cs="Segoe UI"/>
      <w:sz w:val="18"/>
      <w:szCs w:val="18"/>
      <w:lang w:val="cs-CZ"/>
    </w:rPr>
  </w:style>
  <w:style w:type="character" w:styleId="Hypertextovodkaz">
    <w:name w:val="Hyperlink"/>
    <w:semiHidden/>
    <w:unhideWhenUsed/>
    <w:rsid w:val="00C14658"/>
    <w:rPr>
      <w:color w:val="0000FF"/>
      <w:u w:val="single"/>
    </w:rPr>
  </w:style>
  <w:style w:type="paragraph" w:customStyle="1" w:styleId="HPRAMainBodyText">
    <w:name w:val="HPRA_MainBodyText"/>
    <w:basedOn w:val="Normln"/>
    <w:link w:val="HPRAMainBodyTextChar"/>
    <w:qFormat/>
    <w:rsid w:val="00DF67A7"/>
    <w:pPr>
      <w:tabs>
        <w:tab w:val="clear" w:pos="567"/>
      </w:tabs>
      <w:spacing w:line="240" w:lineRule="auto"/>
    </w:pPr>
    <w:rPr>
      <w:rFonts w:ascii="Segoe UI" w:eastAsiaTheme="minorHAnsi" w:hAnsi="Segoe UI" w:cs="Segoe UI"/>
      <w:sz w:val="20"/>
    </w:rPr>
  </w:style>
  <w:style w:type="character" w:customStyle="1" w:styleId="HPRAMainBodyTextChar">
    <w:name w:val="HPRA_MainBodyText Char"/>
    <w:basedOn w:val="Standardnpsmoodstavce"/>
    <w:link w:val="HPRAMainBodyText"/>
    <w:rsid w:val="00DF67A7"/>
    <w:rPr>
      <w:rFonts w:ascii="Segoe UI" w:hAnsi="Segoe UI" w:cs="Segoe UI"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4D1C9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76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DC9F-573A-4F26-A24E-358FDD0E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1624</Words>
  <Characters>9583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Nicolas</dc:creator>
  <cp:keywords/>
  <dc:description/>
  <cp:lastModifiedBy>Dušek Daniel</cp:lastModifiedBy>
  <cp:revision>53</cp:revision>
  <cp:lastPrinted>2022-08-04T10:32:00Z</cp:lastPrinted>
  <dcterms:created xsi:type="dcterms:W3CDTF">2022-05-19T06:25:00Z</dcterms:created>
  <dcterms:modified xsi:type="dcterms:W3CDTF">2022-08-08T09:02:00Z</dcterms:modified>
</cp:coreProperties>
</file>