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BA" w:rsidRPr="009339F5" w:rsidRDefault="00F92EBA" w:rsidP="004E7F20">
      <w:pPr>
        <w:pStyle w:val="Style2"/>
        <w:widowControl/>
        <w:shd w:val="clear" w:color="auto" w:fill="4B4B4D"/>
        <w:spacing w:before="264"/>
        <w:ind w:firstLine="4526"/>
        <w:jc w:val="both"/>
        <w:rPr>
          <w:rStyle w:val="FontStyle22"/>
          <w:rFonts w:asciiTheme="minorHAnsi" w:hAnsiTheme="minorHAnsi" w:cstheme="minorHAnsi"/>
          <w:color w:val="FFFFFF"/>
        </w:rPr>
      </w:pPr>
      <w:r w:rsidRPr="009339F5">
        <w:rPr>
          <w:rStyle w:val="FontStyle22"/>
          <w:rFonts w:asciiTheme="minorHAnsi" w:hAnsiTheme="minorHAnsi" w:cstheme="minorHAnsi"/>
          <w:color w:val="FFFFFF"/>
        </w:rPr>
        <w:t xml:space="preserve">Test </w:t>
      </w:r>
      <w:proofErr w:type="spellStart"/>
      <w:r w:rsidRPr="009339F5">
        <w:rPr>
          <w:rStyle w:val="FontStyle22"/>
          <w:rFonts w:asciiTheme="minorHAnsi" w:hAnsiTheme="minorHAnsi" w:cstheme="minorHAnsi"/>
          <w:color w:val="FFFFFF"/>
        </w:rPr>
        <w:t>RealPCR</w:t>
      </w:r>
      <w:proofErr w:type="spellEnd"/>
      <w:r w:rsidRPr="009339F5">
        <w:rPr>
          <w:rStyle w:val="FontStyle22"/>
          <w:rFonts w:asciiTheme="minorHAnsi" w:hAnsiTheme="minorHAnsi" w:cstheme="minorHAnsi"/>
          <w:color w:val="FFFFFF"/>
        </w:rPr>
        <w:t xml:space="preserve"> ASFV DNA</w:t>
      </w:r>
      <w:bookmarkStart w:id="0" w:name="_GoBack"/>
      <w:bookmarkEnd w:id="0"/>
    </w:p>
    <w:p w:rsidR="00F92EBA" w:rsidRPr="009339F5" w:rsidRDefault="00F92EBA" w:rsidP="004E7F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</w:p>
    <w:p w:rsidR="00F92EBA" w:rsidRPr="009339F5" w:rsidRDefault="00F92EBA" w:rsidP="004E7F20">
      <w:pPr>
        <w:pStyle w:val="Style3"/>
        <w:widowControl/>
        <w:spacing w:before="38"/>
        <w:jc w:val="right"/>
        <w:rPr>
          <w:rStyle w:val="FontStyle23"/>
          <w:rFonts w:asciiTheme="minorHAnsi" w:hAnsiTheme="minorHAnsi" w:cstheme="minorHAnsi"/>
          <w:sz w:val="22"/>
          <w:szCs w:val="22"/>
        </w:rPr>
      </w:pPr>
      <w:r w:rsidRPr="009339F5">
        <w:rPr>
          <w:rStyle w:val="FontStyle23"/>
          <w:rFonts w:asciiTheme="minorHAnsi" w:hAnsiTheme="minorHAnsi" w:cstheme="minorHAnsi"/>
          <w:sz w:val="22"/>
          <w:szCs w:val="22"/>
        </w:rPr>
        <w:t>Pouze pro veterinární účely.</w:t>
      </w:r>
    </w:p>
    <w:p w:rsidR="00F92EBA" w:rsidRPr="009339F5" w:rsidRDefault="00F92EBA" w:rsidP="004E7F20">
      <w:pPr>
        <w:pStyle w:val="Style4"/>
        <w:widowControl/>
        <w:rPr>
          <w:rFonts w:asciiTheme="minorHAnsi" w:hAnsiTheme="minorHAnsi" w:cstheme="minorHAnsi"/>
          <w:sz w:val="22"/>
          <w:szCs w:val="22"/>
        </w:rPr>
      </w:pPr>
    </w:p>
    <w:p w:rsidR="00F92EBA" w:rsidRPr="009339F5" w:rsidRDefault="00F92EBA" w:rsidP="004E7F20">
      <w:pPr>
        <w:pStyle w:val="Style4"/>
        <w:widowControl/>
        <w:spacing w:before="72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 xml:space="preserve">Název </w:t>
      </w:r>
      <w:r w:rsidR="006F0A7B" w:rsidRPr="009339F5">
        <w:rPr>
          <w:rStyle w:val="FontStyle30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>určené použití</w:t>
      </w:r>
    </w:p>
    <w:p w:rsidR="00F92EBA" w:rsidRPr="009339F5" w:rsidRDefault="00F92EBA" w:rsidP="004E7F20">
      <w:pPr>
        <w:pStyle w:val="Style5"/>
        <w:widowControl/>
        <w:spacing w:before="91" w:line="240" w:lineRule="auto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Test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ASFV DNA se používá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k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detekci DNA viru afrického moru prasat (ASFV) extrahované ze vzorků séra, plazmy, krve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EDTA, orálních tekutin, tkání (plíce, slezina, ledviny, kostní dřeň lymfatické uzliny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tonzily)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z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výtěrů odebraných prasatům, včetně prasat divokých. Odebrané materiály je možné testovat formou směsných vzorků sestávajících až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z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20 individuálních vzorků. Testování směsného vzorku, který zahrnuje byť jen jediný slabě pozitivní vzorek (např.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Ct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&gt; 32), může vést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k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negativnímu výsledku kvůli nesprávnému ředění při přípravě směsného vzorku.</w:t>
      </w:r>
    </w:p>
    <w:p w:rsidR="00401F09" w:rsidRPr="009339F5" w:rsidRDefault="00F92EBA" w:rsidP="004E7F20">
      <w:pPr>
        <w:pStyle w:val="Style6"/>
        <w:widowControl/>
        <w:spacing w:line="240" w:lineRule="auto"/>
        <w:ind w:right="2688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29"/>
          <w:rFonts w:asciiTheme="minorHAnsi" w:hAnsiTheme="minorHAnsi" w:cstheme="minorHAnsi"/>
          <w:sz w:val="22"/>
          <w:szCs w:val="22"/>
        </w:rPr>
        <w:t xml:space="preserve">Poznámka: 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Co se týká vzorků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z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výtěrů,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Polsku je možné používat pouze krevní vzorky.</w:t>
      </w:r>
    </w:p>
    <w:p w:rsidR="00F92EBA" w:rsidRPr="009339F5" w:rsidRDefault="00F92EBA" w:rsidP="004E7F20">
      <w:pPr>
        <w:pStyle w:val="Style6"/>
        <w:widowControl/>
        <w:spacing w:line="240" w:lineRule="auto"/>
        <w:ind w:right="2688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>Obecné informace</w:t>
      </w:r>
    </w:p>
    <w:p w:rsidR="00F92EBA" w:rsidRPr="009339F5" w:rsidRDefault="00F92EBA" w:rsidP="004E7F20">
      <w:pPr>
        <w:pStyle w:val="Style5"/>
        <w:widowControl/>
        <w:spacing w:before="115" w:line="240" w:lineRule="auto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Virus afrického moru prasat je původcem hemoragického afrického moru prasat.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ASFV je mimořádně nakažlivý patogen, který vzhledem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k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subklinickým příznakům onemocnění může způsobovat perzistentní infekci prasat bradavičnatých, štětkounů afrických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také klíšťáků rodu </w:t>
      </w:r>
      <w:proofErr w:type="spellStart"/>
      <w:r w:rsidRPr="009339F5">
        <w:rPr>
          <w:rStyle w:val="FontStyle24"/>
          <w:rFonts w:asciiTheme="minorHAnsi" w:hAnsiTheme="minorHAnsi" w:cstheme="minorHAnsi"/>
          <w:sz w:val="22"/>
          <w:szCs w:val="22"/>
        </w:rPr>
        <w:t>Onrithodoros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. ASFV způsobuje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u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prasat domácích vysokou morbiditu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mortalitu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podléhá hlášení Světové organizaci pro zdraví zvířat (OIE). Kontrola vzplanutí ASFV je založena zejména na včasné detekci viru. Test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ASFV DNA je vysoce citlivým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specifickým nástrojem detekce DNA viru.</w:t>
      </w:r>
    </w:p>
    <w:p w:rsidR="00F92EBA" w:rsidRPr="009339F5" w:rsidRDefault="00F92EBA" w:rsidP="004E7F20">
      <w:pPr>
        <w:pStyle w:val="Style5"/>
        <w:widowControl/>
        <w:spacing w:before="173" w:line="240" w:lineRule="auto"/>
        <w:jc w:val="both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IDEXX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je modulární systém,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němž jsou cílové směsi specifické pro dané onemocnění spárovány se standardizovanými směsmi vzorové DNA nebo RNA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jednou směsnou pozitivní kontrolou. Reagencie jsou baleny individuálně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prodávány zvlášť, aby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nimi bylo možné </w:t>
      </w:r>
      <w:r w:rsidR="009B37FF" w:rsidRPr="009339F5">
        <w:rPr>
          <w:rStyle w:val="FontStyle38"/>
          <w:rFonts w:asciiTheme="minorHAnsi" w:hAnsiTheme="minorHAnsi" w:cstheme="minorHAnsi"/>
          <w:sz w:val="22"/>
          <w:szCs w:val="22"/>
        </w:rPr>
        <w:t>manipulovat,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pokud možno flexibilně.</w:t>
      </w:r>
    </w:p>
    <w:p w:rsidR="00F92EBA" w:rsidRPr="009339F5" w:rsidRDefault="00F92EBA" w:rsidP="004E7F20">
      <w:pPr>
        <w:pStyle w:val="Style5"/>
        <w:widowControl/>
        <w:spacing w:before="178" w:line="240" w:lineRule="auto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Směs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ASFV DNA Mix (směs ASFV DNA Mix) obsahuje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primery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sondy pro detekci DNA ASFV při amplifikaci se směsí vzorové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DNA (DNA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MMx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). Interní kontrola testu vychází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z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průkazu sekvence genomové DNA ve vzorku, která je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u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prasat zachována. Tento genomový cíl se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tomto protokolu označuje jako interní kontrola vzorku (ISC). Průkaz endogenní DNA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testovaných vzorcích kontroluje adici, extrakci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amplifikaci vzorku. Směs ASFV DNA Mix obsahuje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primery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sondu pro průkaz interní kontroly vzorku.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K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dispozici je také volitelná interní pozitivní kontrola, jmenovitě interní pozitivní kontrola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(IPC &gt; v1.2), kterou je třeba použít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případě nízké hladiny endogenní hostitelské DNA nebo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situaci, kdy je její přítomnost po extrakci nepravděpodobná (např. vzorky krmiva). IPC obsahuje syntetickou verzi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porcinního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cíle ISC DNA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je tudíž kompatibilní se směsí ASFV DNA Mix. Viz pokyny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příbalovém letáku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k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interní pozitivní kontrole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(REF 99-56330).</w:t>
      </w:r>
    </w:p>
    <w:p w:rsidR="00F92EBA" w:rsidRPr="009339F5" w:rsidRDefault="00F92EBA" w:rsidP="004E7F20">
      <w:pPr>
        <w:pStyle w:val="Style5"/>
        <w:widowControl/>
        <w:spacing w:before="178" w:line="240" w:lineRule="auto"/>
        <w:rPr>
          <w:rStyle w:val="FontStyle38"/>
          <w:rFonts w:asciiTheme="minorHAnsi" w:hAnsiTheme="minorHAnsi" w:cstheme="minorHAnsi"/>
          <w:sz w:val="22"/>
          <w:szCs w:val="22"/>
        </w:rPr>
        <w:sectPr w:rsidR="00F92EBA" w:rsidRPr="009339F5" w:rsidSect="004E7F20">
          <w:headerReference w:type="default" r:id="rId8"/>
          <w:type w:val="continuous"/>
          <w:pgSz w:w="11905" w:h="16837" w:code="9"/>
          <w:pgMar w:top="720" w:right="720" w:bottom="720" w:left="720" w:header="708" w:footer="708" w:gutter="0"/>
          <w:cols w:space="60"/>
          <w:noEndnote/>
          <w:docGrid w:linePitch="326"/>
        </w:sectPr>
      </w:pPr>
    </w:p>
    <w:p w:rsidR="00F92EBA" w:rsidRPr="009339F5" w:rsidRDefault="00F92EBA" w:rsidP="004E7F20">
      <w:pPr>
        <w:pStyle w:val="Style4"/>
        <w:widowControl/>
        <w:jc w:val="both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lastRenderedPageBreak/>
        <w:t xml:space="preserve">Materiál </w:t>
      </w:r>
      <w:r w:rsidR="006F0A7B" w:rsidRPr="009339F5">
        <w:rPr>
          <w:rStyle w:val="FontStyle30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>uchovávání</w:t>
      </w:r>
    </w:p>
    <w:p w:rsidR="00F92EBA" w:rsidRPr="009339F5" w:rsidRDefault="00F92EBA" w:rsidP="004E7F20">
      <w:pPr>
        <w:widowControl/>
        <w:spacing w:after="4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275"/>
        <w:gridCol w:w="1418"/>
        <w:gridCol w:w="283"/>
        <w:gridCol w:w="1843"/>
        <w:gridCol w:w="2126"/>
      </w:tblGrid>
      <w:tr w:rsidR="00F92EBA" w:rsidRPr="009339F5" w:rsidTr="00263E15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92EBA" w:rsidRPr="009339F5" w:rsidRDefault="004E7F20" w:rsidP="00A16E38">
            <w:pPr>
              <w:pStyle w:val="Style12"/>
              <w:widowControl/>
              <w:spacing w:line="240" w:lineRule="auto"/>
              <w:ind w:left="350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Označení / obecné informace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92EBA" w:rsidRPr="009339F5" w:rsidRDefault="00F92EBA" w:rsidP="00A16E38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Barva uzávěru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:rsidR="00F92EBA" w:rsidRPr="009339F5" w:rsidRDefault="00F92EBA" w:rsidP="00A16E38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Množství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  <w:vAlign w:val="bottom"/>
          </w:tcPr>
          <w:p w:rsidR="00F92EBA" w:rsidRPr="009339F5" w:rsidRDefault="00F92EBA" w:rsidP="00A16E38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Uchovávání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92EBA" w:rsidRPr="009339F5" w:rsidRDefault="004E7F20" w:rsidP="00A16E38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Cykly zmrazení/rozmrazení</w:t>
            </w:r>
          </w:p>
        </w:tc>
      </w:tr>
      <w:tr w:rsidR="009C41C8" w:rsidRPr="009339F5" w:rsidTr="00263E15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92EBA" w:rsidRPr="009339F5" w:rsidRDefault="00F92EBA" w:rsidP="004E7F20">
            <w:pPr>
              <w:widowControl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92EBA" w:rsidRPr="009339F5" w:rsidRDefault="00F92EBA" w:rsidP="004E7F20">
            <w:pPr>
              <w:widowControl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100 testů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Při převzetí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Po rekonstituci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F20" w:rsidRPr="009339F5" w:rsidTr="009C41C8">
        <w:tc>
          <w:tcPr>
            <w:tcW w:w="2268" w:type="dxa"/>
            <w:vAlign w:val="center"/>
          </w:tcPr>
          <w:p w:rsidR="004E7F20" w:rsidRPr="009339F5" w:rsidRDefault="004E7F20" w:rsidP="004E7F20">
            <w:pPr>
              <w:pStyle w:val="Style10"/>
              <w:widowControl/>
              <w:spacing w:line="240" w:lineRule="auto"/>
              <w:ind w:left="5" w:hanging="5"/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Směs </w:t>
            </w:r>
            <w:proofErr w:type="spellStart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 ASFV DNA Mix (směs ASFV DNA), suchá</w:t>
            </w:r>
          </w:p>
        </w:tc>
        <w:tc>
          <w:tcPr>
            <w:tcW w:w="993" w:type="dxa"/>
          </w:tcPr>
          <w:p w:rsidR="004E7F20" w:rsidRPr="009339F5" w:rsidRDefault="004E7F20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Zelená</w:t>
            </w:r>
          </w:p>
        </w:tc>
        <w:tc>
          <w:tcPr>
            <w:tcW w:w="1275" w:type="dxa"/>
          </w:tcPr>
          <w:p w:rsidR="004E7F20" w:rsidRPr="009339F5" w:rsidRDefault="004E7F20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1 x 1,0 ml</w:t>
            </w:r>
          </w:p>
        </w:tc>
        <w:tc>
          <w:tcPr>
            <w:tcW w:w="1701" w:type="dxa"/>
            <w:gridSpan w:val="2"/>
          </w:tcPr>
          <w:p w:rsidR="004E7F20" w:rsidRPr="009339F5" w:rsidRDefault="004E7F20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-25 až 8 °C</w:t>
            </w:r>
          </w:p>
        </w:tc>
        <w:tc>
          <w:tcPr>
            <w:tcW w:w="1843" w:type="dxa"/>
          </w:tcPr>
          <w:p w:rsidR="004E7F20" w:rsidRPr="009339F5" w:rsidRDefault="004E7F20" w:rsidP="004E7F20">
            <w:pPr>
              <w:pStyle w:val="Style12"/>
              <w:spacing w:line="240" w:lineRule="auto"/>
              <w:ind w:left="179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-25 až -15 °C</w:t>
            </w:r>
          </w:p>
        </w:tc>
        <w:tc>
          <w:tcPr>
            <w:tcW w:w="2126" w:type="dxa"/>
          </w:tcPr>
          <w:p w:rsidR="004E7F20" w:rsidRPr="009339F5" w:rsidRDefault="00831919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4E7F20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F92EBA" w:rsidRPr="009339F5" w:rsidTr="004E7F20">
        <w:tc>
          <w:tcPr>
            <w:tcW w:w="10206" w:type="dxa"/>
            <w:gridSpan w:val="7"/>
          </w:tcPr>
          <w:p w:rsidR="00F92EBA" w:rsidRPr="009339F5" w:rsidRDefault="004E7F20" w:rsidP="004E7F20">
            <w:pPr>
              <w:pStyle w:val="Style12"/>
              <w:widowControl/>
              <w:spacing w:line="240" w:lineRule="auto"/>
              <w:jc w:val="left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99-56020</w:t>
            </w:r>
          </w:p>
          <w:p w:rsidR="00F92EBA" w:rsidRPr="009339F5" w:rsidRDefault="00F92EBA" w:rsidP="004E7F20">
            <w:pPr>
              <w:pStyle w:val="Style11"/>
              <w:widowControl/>
              <w:spacing w:line="240" w:lineRule="auto"/>
              <w:ind w:right="331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Rekonstituujte pomocí čištěné vody určené pro metodu PCR (PCR Grade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Water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) pro dosažení objemu 1 ml. Směs ASFV DNA Mix uchovávejte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temnu. Datum ex</w:t>
            </w:r>
            <w:r w:rsidR="00A16E38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pirace na lahvičce platí pro suchou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i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rekonstituovanou formu. Etiketa na zkumavce se směsí ASFV DNA Mix označuje verzi PC, která je kompatibilní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cílovou směsí. Příklad: PC </w:t>
            </w:r>
            <w:r w:rsidR="00DD4563" w:rsidRPr="009339F5">
              <w:rPr>
                <w:rFonts w:asciiTheme="minorHAnsi" w:hAnsiTheme="minorHAnsi" w:cstheme="minorHAnsi"/>
                <w:sz w:val="22"/>
                <w:szCs w:val="22"/>
              </w:rPr>
              <w:t>≥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v1.4 znamená, že cílovou směs je možné použít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PC verzí 1.4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novějšími verzemi.</w:t>
            </w:r>
          </w:p>
        </w:tc>
      </w:tr>
      <w:tr w:rsidR="00F92EBA" w:rsidRPr="009339F5" w:rsidTr="009C41C8">
        <w:tc>
          <w:tcPr>
            <w:tcW w:w="2268" w:type="dxa"/>
            <w:vAlign w:val="center"/>
          </w:tcPr>
          <w:p w:rsidR="00F92EBA" w:rsidRPr="009339F5" w:rsidRDefault="00F92EBA" w:rsidP="004E7F20">
            <w:pPr>
              <w:pStyle w:val="Style10"/>
              <w:widowControl/>
              <w:spacing w:line="240" w:lineRule="auto"/>
              <w:ind w:left="5" w:hanging="5"/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Vzorová směs </w:t>
            </w:r>
            <w:proofErr w:type="spellStart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 DNA Master Mix (DNA </w:t>
            </w:r>
            <w:proofErr w:type="spellStart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Fialová</w:t>
            </w:r>
          </w:p>
        </w:tc>
        <w:tc>
          <w:tcPr>
            <w:tcW w:w="1275" w:type="dxa"/>
            <w:vAlign w:val="center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1 x 1,0 ml</w:t>
            </w:r>
          </w:p>
        </w:tc>
        <w:tc>
          <w:tcPr>
            <w:tcW w:w="1418" w:type="dxa"/>
            <w:vAlign w:val="center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-25 až -15 °C (dlouhodobě)</w:t>
            </w:r>
          </w:p>
        </w:tc>
        <w:tc>
          <w:tcPr>
            <w:tcW w:w="2126" w:type="dxa"/>
            <w:gridSpan w:val="2"/>
            <w:vAlign w:val="center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="00F92EBA" w:rsidRPr="009339F5" w:rsidRDefault="00DD4563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F92EBA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F92EBA" w:rsidRPr="009339F5" w:rsidTr="004E7F20">
        <w:tc>
          <w:tcPr>
            <w:tcW w:w="10206" w:type="dxa"/>
            <w:gridSpan w:val="7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jc w:val="left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99-56250</w:t>
            </w:r>
          </w:p>
          <w:p w:rsidR="00F92EBA" w:rsidRPr="009339F5" w:rsidRDefault="00F92EBA" w:rsidP="004E7F20">
            <w:pPr>
              <w:pStyle w:val="Style11"/>
              <w:widowControl/>
              <w:spacing w:line="240" w:lineRule="auto"/>
              <w:ind w:left="5" w:hanging="5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Koncentrovaná vzorová směs, která obsahuje hot-start polymerázu pro použití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cílovými směsmi DNA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systému IDEXX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. DNA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je viskóznější než většina vzorových směsí – doporučený způsob manipulace viz část Postup testování. Pro normalizaci objemových nepřesností bylo přidáno referenční barvivo (ROX). Směs DNA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chraňte před světlem.</w:t>
            </w:r>
          </w:p>
        </w:tc>
      </w:tr>
      <w:tr w:rsidR="00F92EBA" w:rsidRPr="009339F5" w:rsidTr="009C41C8">
        <w:tc>
          <w:tcPr>
            <w:tcW w:w="2268" w:type="dxa"/>
            <w:vAlign w:val="center"/>
          </w:tcPr>
          <w:p w:rsidR="00F92EBA" w:rsidRPr="009339F5" w:rsidRDefault="00F92EBA" w:rsidP="004E7F20">
            <w:pPr>
              <w:pStyle w:val="Style10"/>
              <w:widowControl/>
              <w:spacing w:line="240" w:lineRule="auto"/>
              <w:ind w:left="5" w:hanging="5"/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Pozitivní kontrola </w:t>
            </w:r>
            <w:proofErr w:type="spellStart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, suchá (PC)</w:t>
            </w:r>
          </w:p>
        </w:tc>
        <w:tc>
          <w:tcPr>
            <w:tcW w:w="993" w:type="dxa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Modrá</w:t>
            </w:r>
          </w:p>
        </w:tc>
        <w:tc>
          <w:tcPr>
            <w:tcW w:w="1275" w:type="dxa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1 x 500 µl</w:t>
            </w:r>
          </w:p>
        </w:tc>
        <w:tc>
          <w:tcPr>
            <w:tcW w:w="1418" w:type="dxa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-25 až 8 °C</w:t>
            </w:r>
          </w:p>
        </w:tc>
        <w:tc>
          <w:tcPr>
            <w:tcW w:w="2126" w:type="dxa"/>
            <w:gridSpan w:val="2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-25 až -15 °C</w:t>
            </w:r>
          </w:p>
        </w:tc>
        <w:tc>
          <w:tcPr>
            <w:tcW w:w="2126" w:type="dxa"/>
          </w:tcPr>
          <w:p w:rsidR="00F92EBA" w:rsidRPr="009339F5" w:rsidRDefault="00DD4563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Fonts w:asciiTheme="minorHAnsi" w:hAnsiTheme="minorHAnsi" w:cstheme="minorHAnsi"/>
                <w:sz w:val="22"/>
                <w:szCs w:val="22"/>
              </w:rPr>
              <w:t>≤</w:t>
            </w:r>
            <w:r w:rsidR="00F92EBA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F92EBA" w:rsidRPr="009339F5" w:rsidTr="004E7F20">
        <w:tc>
          <w:tcPr>
            <w:tcW w:w="10206" w:type="dxa"/>
            <w:gridSpan w:val="7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jc w:val="left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99-56310</w:t>
            </w:r>
          </w:p>
          <w:p w:rsidR="00F92EBA" w:rsidRPr="009339F5" w:rsidRDefault="00F92EBA" w:rsidP="004E7F20">
            <w:pPr>
              <w:pStyle w:val="Style11"/>
              <w:widowControl/>
              <w:spacing w:line="240" w:lineRule="auto"/>
              <w:ind w:left="5" w:hanging="5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Rekonstituujte pomocí čištěné vody určené pro metodu PCR (PCR Grade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Water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) pro dosažení objemu 500 µl. PC obsahuje všechny cíle (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targets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) IDEXX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ISC (včetně cíle pro ASFV)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je určena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použití se všemi cílovými směsmi IDEXX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. Datum ex</w:t>
            </w:r>
            <w:r w:rsidR="009339F5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pirace na lahvičce platí pro suchou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i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rekonstituovanou formu. PC je označena číslem verze (např. v1.3). Jakmile jsou pro produktovou řadu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vytvořeny nové cílové směsi, cílové sekvence jsou přidány do PC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číslo verze PC se aktualizuje (např. v1.3 se zvýší na v1.4).</w:t>
            </w:r>
          </w:p>
          <w:p w:rsidR="00F92EBA" w:rsidRPr="009339F5" w:rsidRDefault="00F92EBA" w:rsidP="004E7F20">
            <w:pPr>
              <w:pStyle w:val="Style11"/>
              <w:widowControl/>
              <w:spacing w:line="240" w:lineRule="auto"/>
              <w:ind w:left="10" w:hanging="10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PC zahrnuje Signaturu IDEXX (unikátní sekvence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oligonukleotidů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). Přítomnost Signatury IDEXX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pracovním prostředí poukazuje na kontaminaci PC. Laboratoře, které chtějí monitorovat kontaminaci PC, mohou detekovat Signaturu IDEXX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použitím směsí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PC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Tracker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DNA Mix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a 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 DNA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92EBA" w:rsidRPr="009339F5" w:rsidTr="009C41C8">
        <w:tc>
          <w:tcPr>
            <w:tcW w:w="2268" w:type="dxa"/>
          </w:tcPr>
          <w:p w:rsidR="00F92EBA" w:rsidRPr="009339F5" w:rsidRDefault="00F92EBA" w:rsidP="004E7F20">
            <w:pPr>
              <w:pStyle w:val="Style10"/>
              <w:widowControl/>
              <w:spacing w:line="240" w:lineRule="auto"/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Voda </w:t>
            </w:r>
            <w:proofErr w:type="spellStart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 PCR Grade</w:t>
            </w:r>
          </w:p>
        </w:tc>
        <w:tc>
          <w:tcPr>
            <w:tcW w:w="993" w:type="dxa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Čirá</w:t>
            </w:r>
          </w:p>
        </w:tc>
        <w:tc>
          <w:tcPr>
            <w:tcW w:w="2693" w:type="dxa"/>
            <w:gridSpan w:val="2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2 x 1,0 ml</w:t>
            </w:r>
          </w:p>
        </w:tc>
        <w:tc>
          <w:tcPr>
            <w:tcW w:w="2126" w:type="dxa"/>
            <w:gridSpan w:val="2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-25 až 8 °C</w:t>
            </w:r>
          </w:p>
        </w:tc>
        <w:tc>
          <w:tcPr>
            <w:tcW w:w="2126" w:type="dxa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F92EBA" w:rsidRPr="009339F5" w:rsidTr="004E7F20">
        <w:tc>
          <w:tcPr>
            <w:tcW w:w="10206" w:type="dxa"/>
            <w:gridSpan w:val="7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jc w:val="left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>ref</w:t>
            </w:r>
            <w:proofErr w:type="spellEnd"/>
            <w:r w:rsidRPr="009339F5">
              <w:rPr>
                <w:rStyle w:val="FontStyle28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99-56350</w:t>
            </w:r>
          </w:p>
          <w:p w:rsidR="00F92EBA" w:rsidRPr="009339F5" w:rsidRDefault="00F92EBA" w:rsidP="004E7F20">
            <w:pPr>
              <w:pStyle w:val="Style11"/>
              <w:widowControl/>
              <w:spacing w:line="240" w:lineRule="auto"/>
              <w:ind w:left="5" w:hanging="5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Čištěná voda určená pro PCR metodu (PCR Grade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Water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) je kvalifikována pro použití při reverzní transkripci-PCR (RT-PCR). Používá se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rekonstituci reagencií </w:t>
            </w:r>
            <w:proofErr w:type="spellStart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. Používá se také jako PCR negativní kontrola pro každou testovací várku. Lahvičky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touto vodou nepřesunujte mezi různými pracovními oblastmi PCR. Pro každou oblast je nutné použít samostatnou lahvičku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vodou, aby nedošlo ke kontaminaci.</w:t>
            </w:r>
          </w:p>
        </w:tc>
      </w:tr>
      <w:tr w:rsidR="00F92EBA" w:rsidRPr="009339F5" w:rsidTr="004E7F20">
        <w:tc>
          <w:tcPr>
            <w:tcW w:w="10206" w:type="dxa"/>
            <w:gridSpan w:val="7"/>
          </w:tcPr>
          <w:p w:rsidR="00F92EBA" w:rsidRPr="009339F5" w:rsidRDefault="00F92EBA" w:rsidP="004E7F20">
            <w:pPr>
              <w:pStyle w:val="Style12"/>
              <w:widowControl/>
              <w:spacing w:line="240" w:lineRule="auto"/>
              <w:jc w:val="left"/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29"/>
                <w:rFonts w:asciiTheme="minorHAnsi" w:hAnsiTheme="minorHAnsi" w:cstheme="minorHAnsi"/>
                <w:sz w:val="22"/>
                <w:szCs w:val="22"/>
              </w:rPr>
              <w:t xml:space="preserve">Poznámka: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tabulce na konci tohoto dokumentu je uveden popis symbolů používaných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 xml:space="preserve">příbalové informaci </w:t>
            </w:r>
            <w:r w:rsidR="006F0A7B"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8"/>
                <w:rFonts w:asciiTheme="minorHAnsi" w:hAnsiTheme="minorHAnsi" w:cstheme="minorHAnsi"/>
                <w:sz w:val="22"/>
                <w:szCs w:val="22"/>
              </w:rPr>
              <w:t>na etiketě.</w:t>
            </w:r>
          </w:p>
        </w:tc>
      </w:tr>
    </w:tbl>
    <w:p w:rsidR="00F92EBA" w:rsidRPr="009339F5" w:rsidRDefault="00F92EBA" w:rsidP="004E7F20">
      <w:pPr>
        <w:widowControl/>
        <w:rPr>
          <w:rStyle w:val="FontStyle38"/>
          <w:rFonts w:asciiTheme="minorHAnsi" w:hAnsiTheme="minorHAnsi" w:cstheme="minorHAnsi"/>
          <w:sz w:val="22"/>
          <w:szCs w:val="22"/>
        </w:rPr>
        <w:sectPr w:rsidR="00F92EBA" w:rsidRPr="009339F5" w:rsidSect="004E7F20">
          <w:pgSz w:w="11905" w:h="16837" w:code="9"/>
          <w:pgMar w:top="720" w:right="720" w:bottom="720" w:left="720" w:header="708" w:footer="708" w:gutter="0"/>
          <w:cols w:space="60"/>
          <w:noEndnote/>
          <w:docGrid w:linePitch="326"/>
        </w:sectPr>
      </w:pPr>
    </w:p>
    <w:p w:rsidR="00F92EBA" w:rsidRPr="009339F5" w:rsidRDefault="00F92EBA" w:rsidP="004E7F20">
      <w:pPr>
        <w:pStyle w:val="Style4"/>
        <w:widowControl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lastRenderedPageBreak/>
        <w:t>Potřebné materiály, které nejsou součástí soupravy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before="10"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Komerční souprava pro extrakci DNA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Volitelné – centrifuga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rotorem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adaptéry pro destičky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více jamkami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Mikrocentrifuga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pro odstřeďování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mikrozkumavek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o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objemu 2 ml, která může dosáhnout 1500–3000 × g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Vhodné osobní ochranné pomůcky (např. rukavice, laboratorní plášť)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Hroty pipet bez nukleázy, odolné proti aerosolům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Sterilní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mikrozkumavky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pro přípravu směsi PCR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Pipety (5–1000 µl); speciální pipety pro přípravu směsi PCR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96 nebo 384jamkové PCR destičky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optické adhezivní fólie/kryty destiček</w:t>
      </w:r>
    </w:p>
    <w:p w:rsidR="00263E15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before="24" w:line="240" w:lineRule="auto"/>
        <w:ind w:left="154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Přístroj pro provádění PCR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reálném čase (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Applied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Biosystems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7500,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Applied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Biosystems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7500 Fast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System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[rychlý režim],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Applied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Biosystems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ViiA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7,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Applied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Biosystems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QuantStudio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5,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Agilent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Mx3000P,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Agilent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Mx3005P,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Agilent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AriaMx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, Bio-Rad CFX96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Touch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, Bio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Molecular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Systems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Mic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qPCR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Cycler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, QIAGEN Rotor-Gene [pouze 72jamkový rotor],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Roche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LightCycler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480 nebo podobný).</w:t>
      </w:r>
    </w:p>
    <w:p w:rsidR="00F92EBA" w:rsidRPr="009339F5" w:rsidRDefault="00F92EBA" w:rsidP="00263E15">
      <w:pPr>
        <w:pStyle w:val="Style14"/>
        <w:widowControl/>
        <w:tabs>
          <w:tab w:val="left" w:pos="154"/>
        </w:tabs>
        <w:spacing w:before="24" w:line="240" w:lineRule="auto"/>
        <w:ind w:left="154"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29"/>
          <w:rFonts w:asciiTheme="minorHAnsi" w:hAnsiTheme="minorHAnsi" w:cstheme="minorHAnsi"/>
          <w:sz w:val="22"/>
          <w:szCs w:val="22"/>
        </w:rPr>
        <w:t xml:space="preserve">Poznámka: 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přístroj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Roche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LC480 vyžaduje další kalibraci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nastavení softwaru. Informace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o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používání výše uvedených přístrojů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reagenciemi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vám poskytnou pracovníci odborné podpory IDEXX.</w:t>
      </w:r>
    </w:p>
    <w:p w:rsidR="00F92EBA" w:rsidRPr="009339F5" w:rsidRDefault="00F92EBA" w:rsidP="004E7F20">
      <w:pPr>
        <w:pStyle w:val="Style4"/>
        <w:widowControl/>
        <w:spacing w:before="211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 xml:space="preserve">Laboratorní postupy </w:t>
      </w:r>
      <w:r w:rsidR="006F0A7B" w:rsidRPr="009339F5">
        <w:rPr>
          <w:rStyle w:val="FontStyle30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>varování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before="19"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Nepoužívejte reagencie po datu </w:t>
      </w:r>
      <w:r w:rsidR="008267B9" w:rsidRPr="009339F5">
        <w:rPr>
          <w:rStyle w:val="FontStyle38"/>
          <w:rFonts w:asciiTheme="minorHAnsi" w:hAnsiTheme="minorHAnsi" w:cstheme="minorHAnsi"/>
          <w:sz w:val="22"/>
          <w:szCs w:val="22"/>
        </w:rPr>
        <w:t>exspirace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.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Celý proces je nutné provádět za nepřítomnosti nukleázy.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Při práci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reagenciemi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nukleovými kyselinami používejte rukavice bez pudru.</w:t>
      </w:r>
    </w:p>
    <w:p w:rsidR="00F92EBA" w:rsidRPr="009339F5" w:rsidRDefault="00F92EBA" w:rsidP="004E7F20">
      <w:pPr>
        <w:pStyle w:val="Style14"/>
        <w:widowControl/>
        <w:numPr>
          <w:ilvl w:val="0"/>
          <w:numId w:val="1"/>
        </w:numPr>
        <w:tabs>
          <w:tab w:val="left" w:pos="154"/>
        </w:tabs>
        <w:spacing w:before="24" w:line="240" w:lineRule="auto"/>
        <w:ind w:left="154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Pro zabránění zkřížené kontaminace provádějte veškeré příslušné činnosti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použitím hrotů pipet bez nukleázy, které jsou odolné vůči aerosolům,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fyzicky separujte pracoviště, kde dochází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k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extrakci nukleové kyseliny (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manipulaci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s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ní), nastavení PCR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provádění PCR.</w:t>
      </w:r>
    </w:p>
    <w:p w:rsidR="00F92EBA" w:rsidRPr="009339F5" w:rsidRDefault="00F92EBA" w:rsidP="004E7F20">
      <w:pPr>
        <w:pStyle w:val="Style4"/>
        <w:widowControl/>
        <w:spacing w:before="192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>Rekonstituce suchých složek</w:t>
      </w:r>
    </w:p>
    <w:p w:rsidR="00F92EBA" w:rsidRPr="009339F5" w:rsidRDefault="00F92EBA" w:rsidP="004E7F20">
      <w:pPr>
        <w:pStyle w:val="Style5"/>
        <w:widowControl/>
        <w:spacing w:before="38" w:line="240" w:lineRule="auto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Směs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ASFV DNA Mix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pozitivní kontrolu rekonstituujte pipetováním vody PCR Grade pro dosažení objemu uvedeného na etiketě příslušné složky. Roztok nechte stát po dobu nejméně 10 minut při teplotě 18 až 26 °C. Před použitím promíchejte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krátce odstřeďte pomocí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mikrocentrifugy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. Po rekonstituci směsi ASFV DNA Mix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pozitivní kontroly připravte příslušné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alikvoty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roztoky uchovávejte ve zmrazeném stavu. Zmražené složky nechte před použitím rozmrazit po dobu přibližně 15 minut při teplotě 18 až 26 °C, jemně je promíchejte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krátce odstřeďte pomocí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mikrocentrifugy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(~1 500–3 000 × g).</w:t>
      </w:r>
    </w:p>
    <w:p w:rsidR="00F92EBA" w:rsidRPr="009339F5" w:rsidRDefault="00F92EBA" w:rsidP="004E7F20">
      <w:pPr>
        <w:pStyle w:val="Style4"/>
        <w:widowControl/>
        <w:spacing w:before="211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t>Extrakce DNA</w:t>
      </w:r>
    </w:p>
    <w:p w:rsidR="00F92EBA" w:rsidRPr="009339F5" w:rsidRDefault="00F92EBA" w:rsidP="004E7F20">
      <w:pPr>
        <w:pStyle w:val="Style5"/>
        <w:widowControl/>
        <w:spacing w:before="38" w:line="240" w:lineRule="auto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Směs ASFV DNA Mix byla validována pomocí níže uvedených komerčních extrakčních metod. Je možné použít také další metody extrakce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lýzy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, pokud byly validovány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laboratoři.</w:t>
      </w:r>
    </w:p>
    <w:p w:rsidR="000D3C11" w:rsidRPr="009339F5" w:rsidRDefault="00F92EBA" w:rsidP="004E7F20">
      <w:pPr>
        <w:pStyle w:val="Style5"/>
        <w:widowControl/>
        <w:spacing w:before="91" w:line="240" w:lineRule="auto"/>
        <w:ind w:left="734" w:right="2688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Souprava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MagMAX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Pure-96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Viral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RNA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Isolation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Kit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Thermo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)</w:t>
      </w:r>
    </w:p>
    <w:p w:rsidR="000D3C11" w:rsidRPr="009339F5" w:rsidRDefault="00F92EBA" w:rsidP="004E7F20">
      <w:pPr>
        <w:pStyle w:val="Style5"/>
        <w:widowControl/>
        <w:spacing w:before="91" w:line="240" w:lineRule="auto"/>
        <w:ind w:left="734" w:right="2688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Minisouprava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QIAamp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DNA Mini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Kit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Qiagen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)</w:t>
      </w:r>
    </w:p>
    <w:p w:rsidR="00F92EBA" w:rsidRPr="009339F5" w:rsidRDefault="00F92EBA" w:rsidP="004E7F20">
      <w:pPr>
        <w:pStyle w:val="Style5"/>
        <w:widowControl/>
        <w:spacing w:before="91" w:line="240" w:lineRule="auto"/>
        <w:ind w:left="734" w:right="2688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Souprava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High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Pure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PCR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Template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Prep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Kit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Roche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)</w:t>
      </w:r>
    </w:p>
    <w:p w:rsidR="00F92EBA" w:rsidRPr="009339F5" w:rsidRDefault="00F92EBA" w:rsidP="004E7F20">
      <w:pPr>
        <w:pStyle w:val="Style5"/>
        <w:widowControl/>
        <w:spacing w:before="91" w:line="240" w:lineRule="auto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Pokud není test proveden okamžitě po extrakci DNA, uchovávejte čištěnou DNA při teplotě &lt; -15 °C. Jako vzorek by měla být zahrnuta také negativní kontrola pro extrakci (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„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mock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sample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“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).</w:t>
      </w:r>
    </w:p>
    <w:p w:rsidR="00F92EBA" w:rsidRPr="009339F5" w:rsidRDefault="00F92EBA" w:rsidP="004E7F20">
      <w:pPr>
        <w:pStyle w:val="Style5"/>
        <w:widowControl/>
        <w:spacing w:before="91" w:line="240" w:lineRule="auto"/>
        <w:rPr>
          <w:rStyle w:val="FontStyle38"/>
          <w:rFonts w:asciiTheme="minorHAnsi" w:hAnsiTheme="minorHAnsi" w:cstheme="minorHAnsi"/>
          <w:sz w:val="22"/>
          <w:szCs w:val="22"/>
        </w:rPr>
        <w:sectPr w:rsidR="00F92EBA" w:rsidRPr="009339F5" w:rsidSect="004E7F20">
          <w:pgSz w:w="11905" w:h="16837" w:code="9"/>
          <w:pgMar w:top="720" w:right="720" w:bottom="720" w:left="720" w:header="708" w:footer="708" w:gutter="0"/>
          <w:cols w:space="60"/>
          <w:noEndnote/>
          <w:docGrid w:linePitch="326"/>
        </w:sectPr>
      </w:pPr>
    </w:p>
    <w:p w:rsidR="00F92EBA" w:rsidRPr="009339F5" w:rsidRDefault="00F92EBA" w:rsidP="004E7F20">
      <w:pPr>
        <w:pStyle w:val="Style4"/>
        <w:widowControl/>
        <w:jc w:val="both"/>
        <w:rPr>
          <w:rStyle w:val="FontStyle30"/>
          <w:rFonts w:asciiTheme="minorHAnsi" w:hAnsiTheme="minorHAnsi" w:cstheme="minorHAnsi"/>
          <w:sz w:val="22"/>
          <w:szCs w:val="22"/>
        </w:rPr>
      </w:pPr>
      <w:r w:rsidRPr="009339F5">
        <w:rPr>
          <w:rStyle w:val="FontStyle30"/>
          <w:rFonts w:asciiTheme="minorHAnsi" w:hAnsiTheme="minorHAnsi" w:cstheme="minorHAnsi"/>
          <w:sz w:val="22"/>
          <w:szCs w:val="22"/>
        </w:rPr>
        <w:lastRenderedPageBreak/>
        <w:t>Postup testu</w:t>
      </w:r>
    </w:p>
    <w:p w:rsidR="00F92EBA" w:rsidRPr="009339F5" w:rsidRDefault="00F92EBA" w:rsidP="004E7F20">
      <w:pPr>
        <w:widowControl/>
        <w:spacing w:after="14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"/>
        <w:gridCol w:w="1628"/>
        <w:gridCol w:w="35"/>
        <w:gridCol w:w="1112"/>
        <w:gridCol w:w="551"/>
        <w:gridCol w:w="654"/>
        <w:gridCol w:w="86"/>
        <w:gridCol w:w="923"/>
        <w:gridCol w:w="133"/>
        <w:gridCol w:w="1531"/>
        <w:gridCol w:w="2977"/>
      </w:tblGrid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20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066" w:type="dxa"/>
            <w:gridSpan w:val="6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Příprava směsi PCR Mix.</w:t>
            </w:r>
          </w:p>
        </w:tc>
        <w:tc>
          <w:tcPr>
            <w:tcW w:w="1056" w:type="dxa"/>
            <w:gridSpan w:val="2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2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0" w:type="dxa"/>
            <w:gridSpan w:val="10"/>
          </w:tcPr>
          <w:p w:rsidR="009C41C8" w:rsidRPr="009339F5" w:rsidRDefault="009C41C8" w:rsidP="009C41C8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Rozmrazenou směs DNA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promíchejte převrácením nebo jemným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vortexováním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zkumavky.</w:t>
            </w:r>
          </w:p>
          <w:p w:rsidR="009C41C8" w:rsidRPr="009339F5" w:rsidRDefault="009C41C8" w:rsidP="009C41C8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DNA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je viskózní roztok, který je nutné pipetovat pomalu.</w:t>
            </w:r>
          </w:p>
          <w:p w:rsidR="009C41C8" w:rsidRPr="009339F5" w:rsidRDefault="009C41C8" w:rsidP="009C41C8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Směs PCR Mix připravíte aplikací 10 µl směsi ASFV DNA Mix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10 µl DNA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na každou reakci.</w:t>
            </w:r>
          </w:p>
          <w:p w:rsidR="009C41C8" w:rsidRPr="009339F5" w:rsidRDefault="009C41C8" w:rsidP="009C41C8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Při přípravě směsi PCR Mix nejprve pipetujte směs ASFV DNA Mix do zkumavky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poté přidejte směs DNA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. Propláchněte hrot pipety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 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MMx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tak, že roztok několikrát nasajete do pipety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opět vypustíte.</w:t>
            </w:r>
          </w:p>
          <w:p w:rsidR="009C41C8" w:rsidRPr="009339F5" w:rsidRDefault="009C41C8" w:rsidP="009C41C8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Důkladné promíchání jednotlivých složek zajistíte mírným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vortexováním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roztoku.</w:t>
            </w:r>
          </w:p>
          <w:p w:rsidR="00F92EBA" w:rsidRPr="009339F5" w:rsidRDefault="009C41C8" w:rsidP="009C41C8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Směs PCR Mix pomalu pipetujte na PCR destičku.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3"/>
              <w:widowControl/>
              <w:spacing w:line="276" w:lineRule="auto"/>
              <w:ind w:right="960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Směs PCR Mix je možné uchovávat po dobu 24 hodin při teplotě 2 až 8 °C nebo po dobu 2 týdnů při teplotě -25 až -15 °C. Chraňte před světlem.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20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Pipetou aplikujte 20 µl směsi PCR Mix do příslušných jamek destičky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více jamkami.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20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Do každé jamky přeneste 5 µl vzorku DNA. Konečný objem pro reakci je 25 µl.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20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Pro každou testovací várku přidejte pozitivní kontrolu (5 µl)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PCR negativní kontrolu (5 µl vody PCR Grade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Water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20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Destičku uzavřete krytem,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pokud je třeba, jemně ji odstřeďte, aby se obsah jamek usadil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odstranily se vzduchové bublinky.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9C41C8" w:rsidP="009C41C8">
            <w:pPr>
              <w:pStyle w:val="Style20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Pomocí programu IDEXX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RealPCR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Standard DNA/RNA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Cycling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Program nastavte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termocykler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C41C8" w:rsidRPr="009339F5" w:rsidTr="00F92EBA">
        <w:tc>
          <w:tcPr>
            <w:tcW w:w="293" w:type="dxa"/>
          </w:tcPr>
          <w:p w:rsidR="009C41C8" w:rsidRPr="009339F5" w:rsidRDefault="009C41C8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0" w:type="dxa"/>
            <w:gridSpan w:val="10"/>
          </w:tcPr>
          <w:p w:rsidR="009C41C8" w:rsidRPr="009339F5" w:rsidRDefault="009C41C8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Nastavení reportéru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a 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zhášeče</w:t>
            </w:r>
            <w:proofErr w:type="spellEnd"/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Cíl</w:t>
            </w:r>
          </w:p>
        </w:tc>
        <w:tc>
          <w:tcPr>
            <w:tcW w:w="1147" w:type="dxa"/>
            <w:gridSpan w:val="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Reportér</w:t>
            </w:r>
          </w:p>
        </w:tc>
        <w:tc>
          <w:tcPr>
            <w:tcW w:w="1205" w:type="dxa"/>
            <w:gridSpan w:val="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Zhášeč</w:t>
            </w:r>
            <w:proofErr w:type="spellEnd"/>
          </w:p>
        </w:tc>
        <w:tc>
          <w:tcPr>
            <w:tcW w:w="5650" w:type="dxa"/>
            <w:gridSpan w:val="5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263E15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ASFV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FAM™</w:t>
            </w:r>
          </w:p>
        </w:tc>
        <w:tc>
          <w:tcPr>
            <w:tcW w:w="1205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BHQ®</w:t>
            </w:r>
          </w:p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(není)</w:t>
            </w:r>
          </w:p>
        </w:tc>
        <w:tc>
          <w:tcPr>
            <w:tcW w:w="5650" w:type="dxa"/>
            <w:gridSpan w:val="5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9C41C8">
        <w:tc>
          <w:tcPr>
            <w:tcW w:w="9923" w:type="dxa"/>
            <w:gridSpan w:val="11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263E15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  <w:vAlign w:val="bottom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Interní kontrola</w:t>
            </w:r>
          </w:p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(ISC/IPC)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  <w:vAlign w:val="bottom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HEX™ (VIC)</w:t>
            </w:r>
          </w:p>
        </w:tc>
        <w:tc>
          <w:tcPr>
            <w:tcW w:w="1205" w:type="dxa"/>
            <w:gridSpan w:val="2"/>
            <w:shd w:val="clear" w:color="auto" w:fill="F2F2F2" w:themeFill="background1" w:themeFillShade="F2"/>
            <w:vAlign w:val="bottom"/>
          </w:tcPr>
          <w:p w:rsidR="00F92EBA" w:rsidRPr="009339F5" w:rsidRDefault="00F92EBA" w:rsidP="009C41C8">
            <w:pPr>
              <w:pStyle w:val="Style13"/>
              <w:widowControl/>
              <w:spacing w:line="276" w:lineRule="auto"/>
              <w:ind w:left="341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BHQ (není)</w:t>
            </w:r>
          </w:p>
        </w:tc>
        <w:tc>
          <w:tcPr>
            <w:tcW w:w="5650" w:type="dxa"/>
            <w:gridSpan w:val="5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9C41C8">
        <w:tc>
          <w:tcPr>
            <w:tcW w:w="9923" w:type="dxa"/>
            <w:gridSpan w:val="11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263E15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Pasivní reference</w:t>
            </w:r>
          </w:p>
        </w:tc>
        <w:tc>
          <w:tcPr>
            <w:tcW w:w="1147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ROX™</w:t>
            </w:r>
          </w:p>
        </w:tc>
        <w:tc>
          <w:tcPr>
            <w:tcW w:w="1205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5650" w:type="dxa"/>
            <w:gridSpan w:val="5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41C8" w:rsidRPr="009339F5" w:rsidTr="00F92EBA">
        <w:tc>
          <w:tcPr>
            <w:tcW w:w="293" w:type="dxa"/>
          </w:tcPr>
          <w:p w:rsidR="009C41C8" w:rsidRPr="009339F5" w:rsidRDefault="009C41C8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0" w:type="dxa"/>
            <w:gridSpan w:val="10"/>
          </w:tcPr>
          <w:p w:rsidR="009C41C8" w:rsidRPr="009339F5" w:rsidRDefault="009C41C8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Program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RealPCR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* Standard DNA/RNA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Cycling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Program</w:t>
            </w:r>
          </w:p>
        </w:tc>
      </w:tr>
      <w:tr w:rsidR="00F92EBA" w:rsidRPr="009339F5" w:rsidTr="00263E15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Teplota</w:t>
            </w:r>
          </w:p>
        </w:tc>
        <w:tc>
          <w:tcPr>
            <w:tcW w:w="1663" w:type="dxa"/>
            <w:gridSpan w:val="3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Čas</w:t>
            </w:r>
          </w:p>
        </w:tc>
        <w:tc>
          <w:tcPr>
            <w:tcW w:w="1664" w:type="dxa"/>
            <w:gridSpan w:val="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Cykly</w:t>
            </w:r>
          </w:p>
        </w:tc>
        <w:tc>
          <w:tcPr>
            <w:tcW w:w="2977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263E15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Reverzní transkripce (RT)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50 °C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15 min</w:t>
            </w:r>
          </w:p>
        </w:tc>
        <w:tc>
          <w:tcPr>
            <w:tcW w:w="1664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9C41C8">
        <w:tc>
          <w:tcPr>
            <w:tcW w:w="9923" w:type="dxa"/>
            <w:gridSpan w:val="11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263E15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Denaturace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95 °C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 min</w:t>
            </w:r>
          </w:p>
        </w:tc>
        <w:tc>
          <w:tcPr>
            <w:tcW w:w="1664" w:type="dxa"/>
            <w:gridSpan w:val="2"/>
            <w:shd w:val="clear" w:color="auto" w:fill="F2F2F2" w:themeFill="background1" w:themeFillShade="F2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9C41C8">
        <w:tc>
          <w:tcPr>
            <w:tcW w:w="9923" w:type="dxa"/>
            <w:gridSpan w:val="11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E15" w:rsidRPr="009339F5" w:rsidTr="00263E15">
        <w:tc>
          <w:tcPr>
            <w:tcW w:w="293" w:type="dxa"/>
          </w:tcPr>
          <w:p w:rsidR="00263E15" w:rsidRPr="009339F5" w:rsidRDefault="00263E15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63E15" w:rsidRPr="009339F5" w:rsidRDefault="00263E15" w:rsidP="00263E15">
            <w:pPr>
              <w:pStyle w:val="Style15"/>
              <w:widowControl/>
              <w:spacing w:line="276" w:lineRule="auto"/>
              <w:ind w:left="274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Amplifikace**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bottom"/>
          </w:tcPr>
          <w:p w:rsidR="00263E15" w:rsidRPr="009339F5" w:rsidRDefault="00263E15" w:rsidP="009C41C8">
            <w:pPr>
              <w:pStyle w:val="Style15"/>
              <w:widowControl/>
              <w:spacing w:line="276" w:lineRule="auto"/>
              <w:ind w:left="394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95 °C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bottom"/>
          </w:tcPr>
          <w:p w:rsidR="00263E15" w:rsidRPr="009339F5" w:rsidRDefault="00263E15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15 s</w:t>
            </w:r>
          </w:p>
        </w:tc>
        <w:tc>
          <w:tcPr>
            <w:tcW w:w="16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63E15" w:rsidRPr="009339F5" w:rsidRDefault="00263E15" w:rsidP="00263E15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263E15" w:rsidRPr="009339F5" w:rsidRDefault="00263E15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E15" w:rsidRPr="009339F5" w:rsidTr="00263E15">
        <w:tc>
          <w:tcPr>
            <w:tcW w:w="293" w:type="dxa"/>
          </w:tcPr>
          <w:p w:rsidR="00263E15" w:rsidRPr="009339F5" w:rsidRDefault="00263E15" w:rsidP="009C41C8">
            <w:pPr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263E15" w:rsidRPr="009339F5" w:rsidRDefault="00263E15" w:rsidP="009C41C8">
            <w:pPr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263E15" w:rsidRPr="009339F5" w:rsidRDefault="00263E15" w:rsidP="009C41C8">
            <w:pPr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:rsidR="00263E15" w:rsidRPr="009339F5" w:rsidRDefault="00263E15" w:rsidP="009C41C8">
            <w:pPr>
              <w:pStyle w:val="Style15"/>
              <w:widowControl/>
              <w:spacing w:line="276" w:lineRule="auto"/>
              <w:ind w:left="394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60 °C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</w:tcPr>
          <w:p w:rsidR="00263E15" w:rsidRPr="009339F5" w:rsidRDefault="00263E15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30 s</w:t>
            </w:r>
          </w:p>
        </w:tc>
        <w:tc>
          <w:tcPr>
            <w:tcW w:w="1664" w:type="dxa"/>
            <w:gridSpan w:val="2"/>
            <w:vMerge/>
            <w:vAlign w:val="center"/>
          </w:tcPr>
          <w:p w:rsidR="00263E15" w:rsidRPr="009339F5" w:rsidRDefault="00263E15" w:rsidP="009C41C8">
            <w:pPr>
              <w:pStyle w:val="Style15"/>
              <w:widowControl/>
              <w:spacing w:line="276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63E15" w:rsidRPr="009339F5" w:rsidRDefault="00263E15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5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**Nastavte přístroj tak, aby zaznamenával fluorescenci až po amplifikaci při 60 °C.</w:t>
            </w:r>
          </w:p>
        </w:tc>
      </w:tr>
      <w:tr w:rsidR="00F92EBA" w:rsidRPr="009339F5" w:rsidTr="009C41C8">
        <w:tc>
          <w:tcPr>
            <w:tcW w:w="293" w:type="dxa"/>
          </w:tcPr>
          <w:p w:rsidR="00F92EBA" w:rsidRPr="009339F5" w:rsidRDefault="00F92EBA" w:rsidP="009C41C8">
            <w:pPr>
              <w:pStyle w:val="Style17"/>
              <w:widowControl/>
              <w:spacing w:line="276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0" w:type="dxa"/>
            <w:gridSpan w:val="10"/>
          </w:tcPr>
          <w:p w:rsidR="00F92EBA" w:rsidRPr="009339F5" w:rsidRDefault="00F92EBA" w:rsidP="009C41C8">
            <w:pPr>
              <w:pStyle w:val="Style13"/>
              <w:widowControl/>
              <w:spacing w:line="276" w:lineRule="auto"/>
              <w:jc w:val="left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b/>
                <w:sz w:val="22"/>
                <w:szCs w:val="22"/>
              </w:rPr>
              <w:t xml:space="preserve">Poznámka: 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Pro cíle DNA je možné spustit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cyklovací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protokol bez kroku RNA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„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RT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“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. Doporučujeme nicméně krok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„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RT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“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používat rutinně, aby bylo možné testy RNA snadněji zařadit do pracovního postupu.</w:t>
            </w:r>
          </w:p>
        </w:tc>
      </w:tr>
    </w:tbl>
    <w:p w:rsidR="00F92EBA" w:rsidRPr="009339F5" w:rsidRDefault="00F92EBA" w:rsidP="004E7F20">
      <w:pPr>
        <w:widowControl/>
        <w:rPr>
          <w:rStyle w:val="FontStyle37"/>
          <w:rFonts w:asciiTheme="minorHAnsi" w:hAnsiTheme="minorHAnsi" w:cstheme="minorHAnsi"/>
          <w:sz w:val="22"/>
          <w:szCs w:val="22"/>
        </w:rPr>
        <w:sectPr w:rsidR="00F92EBA" w:rsidRPr="009339F5" w:rsidSect="004E7F20">
          <w:pgSz w:w="11905" w:h="16837" w:code="9"/>
          <w:pgMar w:top="720" w:right="720" w:bottom="720" w:left="720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1394"/>
        <w:gridCol w:w="1634"/>
        <w:gridCol w:w="1634"/>
        <w:gridCol w:w="708"/>
        <w:gridCol w:w="4253"/>
      </w:tblGrid>
      <w:tr w:rsidR="00F92EBA" w:rsidRPr="009339F5" w:rsidTr="00C474F7">
        <w:tc>
          <w:tcPr>
            <w:tcW w:w="302" w:type="dxa"/>
          </w:tcPr>
          <w:p w:rsidR="00F92EBA" w:rsidRPr="009339F5" w:rsidRDefault="00F92EBA" w:rsidP="004E7F20">
            <w:pPr>
              <w:pStyle w:val="Style20"/>
              <w:widowControl/>
              <w:ind w:right="5"/>
              <w:jc w:val="right"/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9621" w:type="dxa"/>
            <w:gridSpan w:val="5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Analýza dat</w:t>
            </w: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ind w:left="235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Při nastavování softwaru přístroje zadejte každému cíli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interní kontrole unikátní identifikátor. Příklad: Pokud jsou cíle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proofErr w:type="spellStart"/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B na téže destičce, jamky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musí být analyzovány nezávisle na jamkách B. Způsob analýzy dat je uveden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konkrétním návodu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použití daného přístroje. Pro nastavení prahu použijte funkci Auto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474F7" w:rsidRPr="009339F5" w:rsidTr="00C474F7">
        <w:trPr>
          <w:trHeight w:val="665"/>
        </w:trPr>
        <w:tc>
          <w:tcPr>
            <w:tcW w:w="9923" w:type="dxa"/>
            <w:gridSpan w:val="6"/>
          </w:tcPr>
          <w:p w:rsidR="00C474F7" w:rsidRPr="009339F5" w:rsidRDefault="00C474F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C474F7" w:rsidRPr="009339F5" w:rsidRDefault="00C474F7" w:rsidP="00C474F7">
            <w:pPr>
              <w:pStyle w:val="Style19"/>
              <w:numPr>
                <w:ilvl w:val="0"/>
                <w:numId w:val="2"/>
              </w:num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Agilent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Mx3000P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Mx3005P – pro analýzu je nutné používat metodu fluorescence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prahovou hodnotou založenou na pozadí (background-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based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threshold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fluorescence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method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C474F7" w:rsidRPr="009339F5" w:rsidTr="00C474F7">
        <w:trPr>
          <w:trHeight w:val="960"/>
        </w:trPr>
        <w:tc>
          <w:tcPr>
            <w:tcW w:w="9923" w:type="dxa"/>
            <w:gridSpan w:val="6"/>
          </w:tcPr>
          <w:p w:rsidR="00C474F7" w:rsidRPr="009339F5" w:rsidRDefault="00C474F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C474F7" w:rsidRPr="009339F5" w:rsidRDefault="00C474F7" w:rsidP="008B7C02">
            <w:pPr>
              <w:pStyle w:val="Style19"/>
              <w:widowControl/>
              <w:numPr>
                <w:ilvl w:val="0"/>
                <w:numId w:val="2"/>
              </w:num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Přístroj QIAGEN Rotor-Gene – ručně nastavte prahovou přímku nad pozadí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lineární fázi exponenciální amplifikace. To lze nejsnáze provést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„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log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“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zobrazení grafů. Tento krok je třeba opakovat pro každý reportér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cílové směsi.</w:t>
            </w: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C474F7">
            <w:pPr>
              <w:pStyle w:val="Style19"/>
              <w:widowControl/>
              <w:numPr>
                <w:ilvl w:val="0"/>
                <w:numId w:val="2"/>
              </w:num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Přístroje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Applied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Biosystems</w:t>
            </w:r>
            <w:proofErr w:type="spellEnd"/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– automatické nastavení prahů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některých situacích nepřináší uspokojivé výsledky.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takových případech je nutné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hodnoty určit ručním nastavením prahu. To lze nejsnáze provést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„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log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“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zobrazení grafů. Tento krok je třeba opakovat pro každý reportér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cílové směsi.</w:t>
            </w: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ind w:left="235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Kritéria validity</w:t>
            </w:r>
          </w:p>
        </w:tc>
      </w:tr>
      <w:tr w:rsidR="00F92EBA" w:rsidRPr="009339F5" w:rsidTr="001F1FA7">
        <w:tc>
          <w:tcPr>
            <w:tcW w:w="1694" w:type="dxa"/>
            <w:gridSpan w:val="2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Hodnota FAM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Ct</w:t>
            </w:r>
            <w:proofErr w:type="spellEnd"/>
          </w:p>
        </w:tc>
        <w:tc>
          <w:tcPr>
            <w:tcW w:w="2342" w:type="dxa"/>
            <w:gridSpan w:val="2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Hodnota HEX (VIC)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Ct</w:t>
            </w:r>
            <w:proofErr w:type="spellEnd"/>
          </w:p>
        </w:tc>
        <w:tc>
          <w:tcPr>
            <w:tcW w:w="4253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1F1FA7">
        <w:tc>
          <w:tcPr>
            <w:tcW w:w="302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Pozitivní kontrola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&lt;38</w:t>
            </w:r>
          </w:p>
        </w:tc>
        <w:tc>
          <w:tcPr>
            <w:tcW w:w="2342" w:type="dxa"/>
            <w:gridSpan w:val="2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&lt;38</w:t>
            </w:r>
          </w:p>
        </w:tc>
        <w:tc>
          <w:tcPr>
            <w:tcW w:w="4253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1F1FA7">
        <w:tc>
          <w:tcPr>
            <w:tcW w:w="302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PCR negativní kontrola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Není signál</w:t>
            </w:r>
          </w:p>
        </w:tc>
        <w:tc>
          <w:tcPr>
            <w:tcW w:w="2342" w:type="dxa"/>
            <w:gridSpan w:val="2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Není signál</w:t>
            </w:r>
          </w:p>
        </w:tc>
        <w:tc>
          <w:tcPr>
            <w:tcW w:w="4253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c>
          <w:tcPr>
            <w:tcW w:w="302" w:type="dxa"/>
          </w:tcPr>
          <w:p w:rsidR="00F92EBA" w:rsidRPr="009339F5" w:rsidRDefault="00F92EBA" w:rsidP="004E7F20">
            <w:pPr>
              <w:pStyle w:val="Style20"/>
              <w:widowControl/>
              <w:jc w:val="right"/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6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621" w:type="dxa"/>
            <w:gridSpan w:val="5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Interpretace výsledků</w:t>
            </w:r>
          </w:p>
        </w:tc>
      </w:tr>
      <w:tr w:rsidR="000E362E" w:rsidRPr="009339F5" w:rsidTr="00AF4CB9">
        <w:tc>
          <w:tcPr>
            <w:tcW w:w="300" w:type="dxa"/>
          </w:tcPr>
          <w:p w:rsidR="000E362E" w:rsidRPr="009339F5" w:rsidRDefault="000E362E" w:rsidP="004E7F20">
            <w:pPr>
              <w:pStyle w:val="Style7"/>
              <w:widowControl/>
              <w:spacing w:line="240" w:lineRule="auto"/>
              <w:ind w:left="485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0E362E" w:rsidRPr="009339F5" w:rsidRDefault="000E362E" w:rsidP="000E362E">
            <w:pPr>
              <w:pStyle w:val="Style7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394" w:type="dxa"/>
            <w:shd w:val="clear" w:color="auto" w:fill="auto"/>
          </w:tcPr>
          <w:p w:rsidR="000E362E" w:rsidRPr="009339F5" w:rsidRDefault="000E362E" w:rsidP="000E362E">
            <w:pPr>
              <w:pStyle w:val="Style7"/>
              <w:widowControl/>
              <w:spacing w:line="240" w:lineRule="auto"/>
              <w:ind w:left="185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Výsledek testu vzorku</w:t>
            </w:r>
          </w:p>
        </w:tc>
        <w:tc>
          <w:tcPr>
            <w:tcW w:w="1634" w:type="dxa"/>
            <w:shd w:val="clear" w:color="auto" w:fill="auto"/>
          </w:tcPr>
          <w:p w:rsidR="000E362E" w:rsidRPr="009339F5" w:rsidRDefault="000E362E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Signál FAM</w:t>
            </w:r>
          </w:p>
        </w:tc>
        <w:tc>
          <w:tcPr>
            <w:tcW w:w="1634" w:type="dxa"/>
            <w:shd w:val="clear" w:color="auto" w:fill="auto"/>
          </w:tcPr>
          <w:p w:rsidR="000E362E" w:rsidRPr="009339F5" w:rsidRDefault="000E362E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Signál HEX (VIC)</w:t>
            </w:r>
          </w:p>
        </w:tc>
        <w:tc>
          <w:tcPr>
            <w:tcW w:w="4961" w:type="dxa"/>
            <w:gridSpan w:val="2"/>
          </w:tcPr>
          <w:p w:rsidR="000E362E" w:rsidRPr="009339F5" w:rsidRDefault="000E362E" w:rsidP="004E7F20">
            <w:pPr>
              <w:pStyle w:val="Style7"/>
              <w:widowControl/>
              <w:spacing w:line="240" w:lineRule="auto"/>
              <w:ind w:left="922"/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u w:val="single"/>
              </w:rPr>
              <w:t>Další charakteristiky</w:t>
            </w:r>
          </w:p>
        </w:tc>
      </w:tr>
      <w:tr w:rsidR="001F1FA7" w:rsidRPr="009339F5" w:rsidTr="008B7C02">
        <w:trPr>
          <w:trHeight w:val="414"/>
        </w:trPr>
        <w:tc>
          <w:tcPr>
            <w:tcW w:w="302" w:type="dxa"/>
          </w:tcPr>
          <w:p w:rsidR="001F1FA7" w:rsidRPr="009339F5" w:rsidRDefault="001F1FA7" w:rsidP="004E7F20">
            <w:pPr>
              <w:pStyle w:val="Style17"/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  <w:shd w:val="clear" w:color="auto" w:fill="D9D9D9" w:themeFill="background1" w:themeFillShade="D9"/>
            <w:vAlign w:val="center"/>
          </w:tcPr>
          <w:p w:rsidR="001F1FA7" w:rsidRPr="009339F5" w:rsidRDefault="001F1FA7" w:rsidP="001F1FA7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Detekována DNA ASFV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:rsidR="001F1FA7" w:rsidRPr="009339F5" w:rsidRDefault="001F1FA7" w:rsidP="001F1FA7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634" w:type="dxa"/>
            <w:vMerge w:val="restart"/>
            <w:shd w:val="clear" w:color="auto" w:fill="D9D9D9" w:themeFill="background1" w:themeFillShade="D9"/>
            <w:vAlign w:val="center"/>
          </w:tcPr>
          <w:p w:rsidR="001F1FA7" w:rsidRPr="009339F5" w:rsidRDefault="001F1FA7" w:rsidP="001F1FA7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4961" w:type="dxa"/>
            <w:gridSpan w:val="2"/>
            <w:vMerge w:val="restart"/>
            <w:shd w:val="clear" w:color="auto" w:fill="D9D9D9" w:themeFill="background1" w:themeFillShade="D9"/>
          </w:tcPr>
          <w:p w:rsidR="001F1FA7" w:rsidRPr="009339F5" w:rsidRDefault="001F1FA7" w:rsidP="004E7F20">
            <w:pPr>
              <w:pStyle w:val="Style7"/>
              <w:widowControl/>
              <w:spacing w:line="240" w:lineRule="auto"/>
              <w:ind w:left="5" w:hanging="5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Pozitivní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 hodnota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charakteristická křivka amplifikace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porovnání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s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PCR negativní kontrolou.</w:t>
            </w:r>
          </w:p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1F1FA7" w:rsidRPr="009339F5" w:rsidRDefault="001F1FA7" w:rsidP="004E7F20">
            <w:p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1FA7" w:rsidRPr="009339F5" w:rsidTr="008B7C02">
        <w:trPr>
          <w:trHeight w:val="230"/>
        </w:trPr>
        <w:tc>
          <w:tcPr>
            <w:tcW w:w="302" w:type="dxa"/>
          </w:tcPr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:rsidR="001F1FA7" w:rsidRPr="009339F5" w:rsidRDefault="001F1FA7" w:rsidP="004E7F20">
            <w:p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1F1FA7" w:rsidRPr="009339F5" w:rsidRDefault="001F1FA7" w:rsidP="004E7F20">
            <w:p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1F1FA7" w:rsidRPr="009339F5" w:rsidRDefault="001F1FA7" w:rsidP="004E7F20">
            <w:pPr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shd w:val="clear" w:color="auto" w:fill="D9D9D9" w:themeFill="background1" w:themeFillShade="D9"/>
          </w:tcPr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1FA7" w:rsidRPr="009339F5" w:rsidTr="008B7C02">
        <w:trPr>
          <w:trHeight w:val="230"/>
        </w:trPr>
        <w:tc>
          <w:tcPr>
            <w:tcW w:w="302" w:type="dxa"/>
          </w:tcPr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</w:tcPr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  <w:vMerge/>
            <w:shd w:val="clear" w:color="auto" w:fill="D9D9D9" w:themeFill="background1" w:themeFillShade="D9"/>
            <w:vAlign w:val="center"/>
          </w:tcPr>
          <w:p w:rsidR="001F1FA7" w:rsidRPr="009339F5" w:rsidRDefault="001F1FA7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1F1FA7" w:rsidRPr="009339F5" w:rsidRDefault="001F1FA7" w:rsidP="004E7F20">
            <w:pPr>
              <w:pStyle w:val="Style7"/>
              <w:widowControl/>
              <w:spacing w:line="240" w:lineRule="auto"/>
              <w:ind w:left="5" w:hanging="5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Očekává se amplifikační křivka interní kontroly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kanále HEX (VIC);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u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některých silně ASFV-pozitivních vzorků DNA může dojít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negativnímu výsledku interní </w:t>
            </w:r>
            <w:proofErr w:type="gram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kontroly.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†</w:t>
            </w:r>
            <w:proofErr w:type="gramEnd"/>
          </w:p>
        </w:tc>
      </w:tr>
      <w:tr w:rsidR="00F92EBA" w:rsidRPr="009339F5" w:rsidTr="00C474F7"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8B7C02">
        <w:trPr>
          <w:trHeight w:val="414"/>
        </w:trPr>
        <w:tc>
          <w:tcPr>
            <w:tcW w:w="302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DNA ASFV</w:t>
            </w:r>
          </w:p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nedetekována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ind w:left="5" w:hanging="5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Amplifikační křivka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kanále interní kontroly HEX (VIC).</w:t>
            </w:r>
          </w:p>
        </w:tc>
      </w:tr>
      <w:tr w:rsidR="00F92EBA" w:rsidRPr="009339F5" w:rsidTr="00C474F7">
        <w:trPr>
          <w:trHeight w:val="230"/>
        </w:trPr>
        <w:tc>
          <w:tcPr>
            <w:tcW w:w="302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8B7C02">
        <w:trPr>
          <w:trHeight w:val="414"/>
        </w:trPr>
        <w:tc>
          <w:tcPr>
            <w:tcW w:w="302" w:type="dxa"/>
          </w:tcPr>
          <w:p w:rsidR="00F92EBA" w:rsidRPr="009339F5" w:rsidRDefault="00F92EBA" w:rsidP="004E7F20">
            <w:pPr>
              <w:pStyle w:val="Style17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Neplatné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>‡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jc w:val="center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ind w:left="5" w:hanging="5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Absence amplifikační křivky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v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kanálech FAM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HEX (VIC) poukazuje na neplatný výsledek.</w:t>
            </w:r>
          </w:p>
        </w:tc>
      </w:tr>
      <w:tr w:rsidR="00F92EBA" w:rsidRPr="009339F5" w:rsidTr="00C474F7">
        <w:trPr>
          <w:trHeight w:val="230"/>
        </w:trPr>
        <w:tc>
          <w:tcPr>
            <w:tcW w:w="302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2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4" w:type="dxa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pStyle w:val="Style7"/>
              <w:widowControl/>
              <w:spacing w:line="240" w:lineRule="auto"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lastRenderedPageBreak/>
              <w:t>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Cílová směs je optimalizována pro detekci ASFV DNA; silně pozitivní vzorek DNA může vést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k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potlačení detekce interní kontroly.</w:t>
            </w: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F92EBA">
            <w:pPr>
              <w:pStyle w:val="Style19"/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‡ 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Neplatný vzorek může poukazovat na nesprávnou aplikaci, extrakci a/nebo PCR vzorku. DNA by měla být zředěna pětinásobně čištěnou vodou (PCR Grade </w:t>
            </w:r>
            <w:proofErr w:type="spellStart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Water</w:t>
            </w:r>
            <w:proofErr w:type="spellEnd"/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6F0A7B"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a </w:t>
            </w:r>
            <w:r w:rsidRPr="009339F5"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  <w:t>opětovně testována; jako vzor je třeba zahrnout neředěnou DNA. Pokud je test stále neplatný, doporučujeme provést novou extrakci.</w:t>
            </w: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EBA" w:rsidRPr="009339F5" w:rsidTr="00C474F7">
        <w:trPr>
          <w:trHeight w:val="230"/>
        </w:trPr>
        <w:tc>
          <w:tcPr>
            <w:tcW w:w="9923" w:type="dxa"/>
            <w:gridSpan w:val="6"/>
          </w:tcPr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  <w:p w:rsidR="00F92EBA" w:rsidRPr="009339F5" w:rsidRDefault="00F92EBA" w:rsidP="004E7F20">
            <w:pPr>
              <w:widowControl/>
              <w:rPr>
                <w:rStyle w:val="FontStyle37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2D20" w:rsidRPr="009339F5" w:rsidRDefault="009B2D20" w:rsidP="004E7F20">
      <w:pPr>
        <w:widowControl/>
        <w:rPr>
          <w:rStyle w:val="FontStyle37"/>
          <w:rFonts w:asciiTheme="minorHAnsi" w:hAnsiTheme="minorHAnsi" w:cstheme="minorHAnsi"/>
          <w:sz w:val="22"/>
          <w:szCs w:val="22"/>
        </w:rPr>
      </w:pPr>
    </w:p>
    <w:p w:rsidR="009B2D20" w:rsidRPr="009339F5" w:rsidRDefault="009B2D20" w:rsidP="009B2D20">
      <w:pPr>
        <w:rPr>
          <w:rFonts w:asciiTheme="minorHAnsi" w:hAnsiTheme="minorHAnsi" w:cstheme="minorHAnsi"/>
          <w:sz w:val="22"/>
          <w:szCs w:val="22"/>
        </w:rPr>
      </w:pPr>
    </w:p>
    <w:p w:rsidR="009B2D20" w:rsidRPr="009339F5" w:rsidRDefault="009B2D20" w:rsidP="009B2D20">
      <w:pPr>
        <w:rPr>
          <w:rFonts w:asciiTheme="minorHAnsi" w:hAnsiTheme="minorHAnsi" w:cstheme="minorHAnsi"/>
          <w:sz w:val="22"/>
          <w:szCs w:val="22"/>
        </w:rPr>
      </w:pPr>
    </w:p>
    <w:p w:rsidR="009B2D20" w:rsidRPr="009339F5" w:rsidRDefault="009B2D20" w:rsidP="009B2D20">
      <w:pPr>
        <w:rPr>
          <w:rFonts w:asciiTheme="minorHAnsi" w:hAnsiTheme="minorHAnsi" w:cstheme="minorHAnsi"/>
          <w:sz w:val="22"/>
          <w:szCs w:val="22"/>
        </w:rPr>
      </w:pPr>
    </w:p>
    <w:p w:rsidR="00F92EBA" w:rsidRPr="009339F5" w:rsidRDefault="00F92EBA" w:rsidP="00263E15">
      <w:pPr>
        <w:pStyle w:val="Style16"/>
        <w:widowControl/>
        <w:ind w:right="400"/>
        <w:rPr>
          <w:rStyle w:val="FontStyle29"/>
          <w:rFonts w:asciiTheme="minorHAnsi" w:hAnsiTheme="minorHAnsi" w:cstheme="minorHAnsi"/>
          <w:sz w:val="22"/>
          <w:szCs w:val="22"/>
        </w:rPr>
      </w:pPr>
      <w:r w:rsidRPr="009339F5">
        <w:rPr>
          <w:rStyle w:val="FontStyle29"/>
          <w:rFonts w:asciiTheme="minorHAnsi" w:hAnsiTheme="minorHAnsi" w:cstheme="minorHAnsi"/>
          <w:sz w:val="22"/>
          <w:szCs w:val="22"/>
        </w:rPr>
        <w:t>Odbornou pomoc získáte zde:</w:t>
      </w:r>
    </w:p>
    <w:p w:rsidR="00F92EBA" w:rsidRPr="009339F5" w:rsidRDefault="00F92EBA" w:rsidP="00263E15">
      <w:pPr>
        <w:pStyle w:val="Style5"/>
        <w:widowControl/>
        <w:spacing w:line="240" w:lineRule="auto"/>
        <w:ind w:right="40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IDEXX USA Tel: +1 800 548 9997 nebo +1 207 556 4895 IDEXX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Europe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Tel: +800 727 43399</w:t>
      </w:r>
    </w:p>
    <w:p w:rsidR="00F92EBA" w:rsidRPr="009339F5" w:rsidRDefault="00F92EBA" w:rsidP="00263E15">
      <w:pPr>
        <w:pStyle w:val="Style5"/>
        <w:widowControl/>
        <w:spacing w:line="240" w:lineRule="auto"/>
        <w:ind w:right="40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Obraťte se na oblastního manažera nebo distributora IDEXX nebo navštivte naši webovou stránku: </w:t>
      </w:r>
      <w:hyperlink r:id="rId9">
        <w:r w:rsidRPr="009339F5">
          <w:rPr>
            <w:rStyle w:val="Hypertextovodkaz"/>
            <w:rFonts w:asciiTheme="minorHAnsi" w:hAnsiTheme="minorHAnsi" w:cstheme="minorHAnsi"/>
            <w:sz w:val="22"/>
            <w:szCs w:val="22"/>
          </w:rPr>
          <w:t>idexx.com/</w:t>
        </w:r>
        <w:proofErr w:type="spellStart"/>
        <w:r w:rsidRPr="009339F5">
          <w:rPr>
            <w:rStyle w:val="Hypertextovodkaz"/>
            <w:rFonts w:asciiTheme="minorHAnsi" w:hAnsiTheme="minorHAnsi" w:cstheme="minorHAnsi"/>
            <w:sz w:val="22"/>
            <w:szCs w:val="22"/>
          </w:rPr>
          <w:t>contactlpd</w:t>
        </w:r>
        <w:proofErr w:type="spellEnd"/>
      </w:hyperlink>
    </w:p>
    <w:p w:rsidR="00F92EBA" w:rsidRPr="009339F5" w:rsidRDefault="00F92EBA" w:rsidP="00263E15">
      <w:pPr>
        <w:pStyle w:val="Style5"/>
        <w:widowControl/>
        <w:spacing w:line="240" w:lineRule="auto"/>
        <w:ind w:right="400"/>
        <w:jc w:val="both"/>
        <w:rPr>
          <w:rFonts w:asciiTheme="minorHAnsi" w:hAnsiTheme="minorHAnsi" w:cstheme="minorHAnsi"/>
          <w:sz w:val="22"/>
          <w:szCs w:val="22"/>
        </w:rPr>
      </w:pPr>
    </w:p>
    <w:p w:rsidR="00F92EBA" w:rsidRPr="009339F5" w:rsidRDefault="00F92EBA" w:rsidP="00263E15">
      <w:pPr>
        <w:pStyle w:val="Style5"/>
        <w:widowControl/>
        <w:spacing w:line="240" w:lineRule="auto"/>
        <w:ind w:right="400"/>
        <w:jc w:val="both"/>
        <w:rPr>
          <w:rFonts w:asciiTheme="minorHAnsi" w:hAnsiTheme="minorHAnsi" w:cstheme="minorHAnsi"/>
          <w:sz w:val="22"/>
          <w:szCs w:val="22"/>
        </w:rPr>
      </w:pPr>
    </w:p>
    <w:p w:rsidR="00F92EBA" w:rsidRPr="009339F5" w:rsidRDefault="00F92EBA" w:rsidP="00263E15">
      <w:pPr>
        <w:pStyle w:val="Style5"/>
        <w:widowControl/>
        <w:spacing w:before="235" w:line="240" w:lineRule="auto"/>
        <w:ind w:right="400"/>
        <w:jc w:val="both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*IDEXX,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RealPCR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Test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With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Confidence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jsou ochranné známky nebo registrované ochranné známky společnosti IDEXX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Laboratories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, Inc. nebo jejích obchodních poboček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v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USA a/nebo dalších zemích. Všechny další produkty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názvy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loga společností jsou ochrannými známkami svých držitelů.</w:t>
      </w:r>
    </w:p>
    <w:p w:rsidR="00F92EBA" w:rsidRPr="009339F5" w:rsidRDefault="00F92EBA" w:rsidP="00263E15">
      <w:pPr>
        <w:pStyle w:val="Style5"/>
        <w:widowControl/>
        <w:spacing w:before="178" w:line="240" w:lineRule="auto"/>
        <w:ind w:right="40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Barviva, která jsou součástí tohoto produktu, jsou prodávána na základě licence společnosti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Biosearch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 Technologies, Inc.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jsou chráněna patenty USA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a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mezinárodními patenty, ať už byly vydány nebo je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o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ně zažádáno. Licence pokrývá veterinární aplikace. Není určeno pro IVD použití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u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člověka.</w:t>
      </w:r>
    </w:p>
    <w:p w:rsidR="00F92EBA" w:rsidRPr="009339F5" w:rsidRDefault="00F92EBA" w:rsidP="00263E15">
      <w:pPr>
        <w:pStyle w:val="Style5"/>
        <w:widowControl/>
        <w:spacing w:before="221" w:line="240" w:lineRule="auto"/>
        <w:ind w:right="40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Informace </w:t>
      </w:r>
      <w:r w:rsidR="006F0A7B" w:rsidRPr="009339F5">
        <w:rPr>
          <w:rStyle w:val="FontStyle38"/>
          <w:rFonts w:asciiTheme="minorHAnsi" w:hAnsiTheme="minorHAnsi" w:cstheme="minorHAnsi"/>
          <w:sz w:val="22"/>
          <w:szCs w:val="22"/>
        </w:rPr>
        <w:t>o </w:t>
      </w: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patentu: </w:t>
      </w:r>
      <w:hyperlink r:id="rId10">
        <w:r w:rsidRPr="009339F5">
          <w:rPr>
            <w:rStyle w:val="Hypertextovodkaz"/>
            <w:rFonts w:asciiTheme="minorHAnsi" w:hAnsiTheme="minorHAnsi" w:cstheme="minorHAnsi"/>
            <w:sz w:val="22"/>
            <w:szCs w:val="22"/>
          </w:rPr>
          <w:t>idexx.com/</w:t>
        </w:r>
        <w:proofErr w:type="spellStart"/>
        <w:r w:rsidRPr="009339F5">
          <w:rPr>
            <w:rStyle w:val="Hypertextovodkaz"/>
            <w:rFonts w:asciiTheme="minorHAnsi" w:hAnsiTheme="minorHAnsi" w:cstheme="minorHAnsi"/>
            <w:sz w:val="22"/>
            <w:szCs w:val="22"/>
          </w:rPr>
          <w:t>patents</w:t>
        </w:r>
        <w:proofErr w:type="spellEnd"/>
      </w:hyperlink>
    </w:p>
    <w:p w:rsidR="00F92EBA" w:rsidRPr="009339F5" w:rsidRDefault="00F92EBA" w:rsidP="00263E15">
      <w:pPr>
        <w:pStyle w:val="Style5"/>
        <w:widowControl/>
        <w:spacing w:before="43" w:line="240" w:lineRule="auto"/>
        <w:ind w:right="400"/>
        <w:rPr>
          <w:rStyle w:val="FontStyle38"/>
          <w:rFonts w:asciiTheme="minorHAnsi" w:hAnsiTheme="minorHAnsi" w:cstheme="minorHAnsi"/>
          <w:sz w:val="22"/>
          <w:szCs w:val="22"/>
        </w:rPr>
      </w:pPr>
      <w:r w:rsidRPr="009339F5">
        <w:rPr>
          <w:rStyle w:val="FontStyle38"/>
          <w:rFonts w:asciiTheme="minorHAnsi" w:hAnsiTheme="minorHAnsi" w:cstheme="minorHAnsi"/>
          <w:sz w:val="22"/>
          <w:szCs w:val="22"/>
        </w:rPr>
        <w:t xml:space="preserve">© 2022 IDEXX </w:t>
      </w:r>
      <w:proofErr w:type="spellStart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Laboratories</w:t>
      </w:r>
      <w:proofErr w:type="spellEnd"/>
      <w:r w:rsidRPr="009339F5">
        <w:rPr>
          <w:rStyle w:val="FontStyle38"/>
          <w:rFonts w:asciiTheme="minorHAnsi" w:hAnsiTheme="minorHAnsi" w:cstheme="minorHAnsi"/>
          <w:sz w:val="22"/>
          <w:szCs w:val="22"/>
        </w:rPr>
        <w:t>, Inc. Všechna práva vyhrazena.</w:t>
      </w:r>
    </w:p>
    <w:sectPr w:rsidR="00F92EBA" w:rsidRPr="009339F5" w:rsidSect="007E0C80">
      <w:pgSz w:w="11905" w:h="16837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6D" w:rsidRDefault="004E6E6D">
      <w:r>
        <w:separator/>
      </w:r>
    </w:p>
  </w:endnote>
  <w:endnote w:type="continuationSeparator" w:id="0">
    <w:p w:rsidR="004E6E6D" w:rsidRDefault="004E6E6D" w:rsidP="00F9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6D" w:rsidRDefault="004E6E6D">
      <w:r>
        <w:separator/>
      </w:r>
    </w:p>
  </w:footnote>
  <w:footnote w:type="continuationSeparator" w:id="0">
    <w:p w:rsidR="004E6E6D" w:rsidRDefault="004E6E6D" w:rsidP="00F9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C80" w:rsidRPr="000D12A4" w:rsidRDefault="007E0C80" w:rsidP="000A77FE">
    <w:pPr>
      <w:rPr>
        <w:rFonts w:asciiTheme="minorHAnsi" w:hAnsiTheme="minorHAnsi" w:cstheme="minorHAnsi"/>
        <w:bCs/>
        <w:sz w:val="22"/>
        <w:szCs w:val="22"/>
      </w:rPr>
    </w:pPr>
    <w:r w:rsidRPr="000D12A4">
      <w:rPr>
        <w:rFonts w:asciiTheme="minorHAnsi" w:hAnsiTheme="minorHAnsi" w:cstheme="minorHAnsi"/>
        <w:bCs/>
        <w:sz w:val="22"/>
        <w:szCs w:val="22"/>
      </w:rPr>
      <w:t xml:space="preserve">Text návodu k použití součást dokumentace schválené rozhodnutím </w:t>
    </w:r>
    <w:proofErr w:type="spellStart"/>
    <w:proofErr w:type="gramStart"/>
    <w:r w:rsidRPr="000D12A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0D12A4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0D12A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485062483"/>
        <w:placeholder>
          <w:docPart w:val="C194268DAFEF45888A98360CE241C734"/>
        </w:placeholder>
        <w:text/>
      </w:sdtPr>
      <w:sdtEndPr/>
      <w:sdtContent>
        <w:r w:rsidR="000D12A4" w:rsidRPr="000D12A4">
          <w:rPr>
            <w:rFonts w:asciiTheme="minorHAnsi" w:eastAsia="Times New Roman" w:hAnsiTheme="minorHAnsi" w:cstheme="minorHAnsi"/>
            <w:sz w:val="22"/>
            <w:szCs w:val="22"/>
          </w:rPr>
          <w:t>USKVBL/</w:t>
        </w:r>
        <w:r w:rsidR="003C5F97">
          <w:rPr>
            <w:rFonts w:asciiTheme="minorHAnsi" w:eastAsia="Times New Roman" w:hAnsiTheme="minorHAnsi" w:cstheme="minorHAnsi"/>
            <w:sz w:val="22"/>
            <w:szCs w:val="22"/>
          </w:rPr>
          <w:t>7693</w:t>
        </w:r>
        <w:r w:rsidR="000D12A4" w:rsidRPr="000D12A4">
          <w:rPr>
            <w:rFonts w:asciiTheme="minorHAnsi" w:eastAsia="Times New Roman" w:hAnsiTheme="minorHAnsi" w:cstheme="minorHAnsi"/>
            <w:sz w:val="22"/>
            <w:szCs w:val="22"/>
          </w:rPr>
          <w:t>/2022/POD</w:t>
        </w:r>
      </w:sdtContent>
    </w:sdt>
    <w:r w:rsidRPr="000D12A4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422995688"/>
        <w:placeholder>
          <w:docPart w:val="C194268DAFEF45888A98360CE241C734"/>
        </w:placeholder>
        <w:text/>
      </w:sdtPr>
      <w:sdtEndPr/>
      <w:sdtContent>
        <w:r w:rsidR="000D12A4" w:rsidRPr="000D12A4">
          <w:rPr>
            <w:rFonts w:asciiTheme="minorHAnsi" w:eastAsia="Times New Roman" w:hAnsiTheme="minorHAnsi" w:cstheme="minorHAnsi"/>
            <w:sz w:val="22"/>
            <w:szCs w:val="22"/>
          </w:rPr>
          <w:t>USKVBL/12438/2022/REG-</w:t>
        </w:r>
        <w:proofErr w:type="spellStart"/>
        <w:r w:rsidR="000D12A4" w:rsidRPr="000D12A4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0D12A4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D499D3ABFB2F4A998CC08C35B200C10B"/>
        </w:placeholder>
        <w:date w:fullDate="2022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12A4" w:rsidRPr="000D12A4">
          <w:rPr>
            <w:rFonts w:asciiTheme="minorHAnsi" w:hAnsiTheme="minorHAnsi" w:cstheme="minorHAnsi"/>
            <w:bCs/>
            <w:sz w:val="22"/>
            <w:szCs w:val="22"/>
          </w:rPr>
          <w:t>4.10.2022</w:t>
        </w:r>
      </w:sdtContent>
    </w:sdt>
    <w:r w:rsidRPr="000D12A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DD9BAD513A1C40268FE2DE1DF3045A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D12A4" w:rsidRPr="000D12A4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0D12A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id w:val="-773553566"/>
        <w:placeholder>
          <w:docPart w:val="A5D33935C2394A229061E7FB8B606325"/>
        </w:placeholder>
        <w:text/>
      </w:sdtPr>
      <w:sdtEndPr/>
      <w:sdtContent>
        <w:proofErr w:type="spellStart"/>
        <w:r w:rsidR="000D12A4" w:rsidRPr="000D12A4">
          <w:rPr>
            <w:rFonts w:asciiTheme="minorHAnsi" w:eastAsiaTheme="minorHAnsi" w:hAnsiTheme="minorHAnsi" w:cstheme="minorHAnsi"/>
            <w:sz w:val="22"/>
            <w:szCs w:val="22"/>
            <w:lang w:eastAsia="en-US" w:bidi="ar-SA"/>
          </w:rPr>
          <w:t>RealPCR</w:t>
        </w:r>
        <w:proofErr w:type="spellEnd"/>
        <w:r w:rsidR="000D12A4" w:rsidRPr="000D12A4">
          <w:rPr>
            <w:rFonts w:asciiTheme="minorHAnsi" w:eastAsiaTheme="minorHAnsi" w:hAnsiTheme="minorHAnsi" w:cstheme="minorHAnsi"/>
            <w:sz w:val="22"/>
            <w:szCs w:val="22"/>
            <w:lang w:eastAsia="en-US" w:bidi="ar-SA"/>
          </w:rPr>
          <w:t xml:space="preserve"> ASFV DNA Test</w:t>
        </w:r>
      </w:sdtContent>
    </w:sdt>
  </w:p>
  <w:p w:rsidR="007E0C80" w:rsidRDefault="007E0C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DE0A78"/>
    <w:lvl w:ilvl="0">
      <w:numFmt w:val="bullet"/>
      <w:lvlText w:val="*"/>
      <w:lvlJc w:val="left"/>
    </w:lvl>
  </w:abstractNum>
  <w:abstractNum w:abstractNumId="1" w15:restartNumberingAfterBreak="0">
    <w:nsid w:val="7025095F"/>
    <w:multiLevelType w:val="hybridMultilevel"/>
    <w:tmpl w:val="F9525AC8"/>
    <w:lvl w:ilvl="0" w:tplc="8FFEAA5A">
      <w:numFmt w:val="bullet"/>
      <w:lvlRestart w:val="0"/>
      <w:lvlText w:val="•"/>
      <w:lvlJc w:val="left"/>
      <w:pPr>
        <w:ind w:left="720" w:hanging="363"/>
      </w:pPr>
      <w:rPr>
        <w:rFonts w:asciiTheme="minorBidi" w:hAnsiTheme="minorBid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9"/>
    <w:rsid w:val="0000240C"/>
    <w:rsid w:val="000509B9"/>
    <w:rsid w:val="000D12A4"/>
    <w:rsid w:val="000D3C11"/>
    <w:rsid w:val="000E362E"/>
    <w:rsid w:val="001E6873"/>
    <w:rsid w:val="001F1FA7"/>
    <w:rsid w:val="00263E15"/>
    <w:rsid w:val="003B7202"/>
    <w:rsid w:val="003C5F97"/>
    <w:rsid w:val="00401F09"/>
    <w:rsid w:val="004C162B"/>
    <w:rsid w:val="004E6E6D"/>
    <w:rsid w:val="004E7F20"/>
    <w:rsid w:val="006B218F"/>
    <w:rsid w:val="006F0A7B"/>
    <w:rsid w:val="007A112B"/>
    <w:rsid w:val="007E0C80"/>
    <w:rsid w:val="008267B9"/>
    <w:rsid w:val="00831919"/>
    <w:rsid w:val="008B7C02"/>
    <w:rsid w:val="009070DD"/>
    <w:rsid w:val="009339F5"/>
    <w:rsid w:val="009B2D20"/>
    <w:rsid w:val="009B37FF"/>
    <w:rsid w:val="009C41C8"/>
    <w:rsid w:val="00A16E38"/>
    <w:rsid w:val="00AE33C9"/>
    <w:rsid w:val="00AF4CB9"/>
    <w:rsid w:val="00BF03B2"/>
    <w:rsid w:val="00C474F7"/>
    <w:rsid w:val="00D62F70"/>
    <w:rsid w:val="00D979B1"/>
    <w:rsid w:val="00DD4563"/>
    <w:rsid w:val="00E12B04"/>
    <w:rsid w:val="00F14EA3"/>
    <w:rsid w:val="00F55242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DC34B0-332C-4F4C-9F4A-DC17E27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62B"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4C162B"/>
  </w:style>
  <w:style w:type="paragraph" w:customStyle="1" w:styleId="Style2">
    <w:name w:val="Style2"/>
    <w:basedOn w:val="Normln"/>
    <w:uiPriority w:val="99"/>
    <w:rsid w:val="004C162B"/>
  </w:style>
  <w:style w:type="paragraph" w:customStyle="1" w:styleId="Style3">
    <w:name w:val="Style3"/>
    <w:basedOn w:val="Normln"/>
    <w:uiPriority w:val="99"/>
    <w:rsid w:val="004C162B"/>
  </w:style>
  <w:style w:type="paragraph" w:customStyle="1" w:styleId="Style4">
    <w:name w:val="Style4"/>
    <w:basedOn w:val="Normln"/>
    <w:uiPriority w:val="99"/>
    <w:rsid w:val="004C162B"/>
  </w:style>
  <w:style w:type="paragraph" w:customStyle="1" w:styleId="Style5">
    <w:name w:val="Style5"/>
    <w:basedOn w:val="Normln"/>
    <w:uiPriority w:val="99"/>
    <w:rsid w:val="004C162B"/>
    <w:pPr>
      <w:spacing w:line="210" w:lineRule="exact"/>
    </w:pPr>
  </w:style>
  <w:style w:type="paragraph" w:customStyle="1" w:styleId="Style6">
    <w:name w:val="Style6"/>
    <w:basedOn w:val="Normln"/>
    <w:uiPriority w:val="99"/>
    <w:rsid w:val="004C162B"/>
    <w:pPr>
      <w:spacing w:line="509" w:lineRule="exact"/>
    </w:pPr>
  </w:style>
  <w:style w:type="paragraph" w:customStyle="1" w:styleId="Style7">
    <w:name w:val="Style7"/>
    <w:basedOn w:val="Normln"/>
    <w:uiPriority w:val="99"/>
    <w:rsid w:val="004C162B"/>
    <w:pPr>
      <w:spacing w:line="170" w:lineRule="exact"/>
    </w:pPr>
  </w:style>
  <w:style w:type="paragraph" w:customStyle="1" w:styleId="Style8">
    <w:name w:val="Style8"/>
    <w:basedOn w:val="Normln"/>
    <w:uiPriority w:val="99"/>
    <w:rsid w:val="004C162B"/>
  </w:style>
  <w:style w:type="paragraph" w:customStyle="1" w:styleId="Style9">
    <w:name w:val="Style9"/>
    <w:basedOn w:val="Normln"/>
    <w:uiPriority w:val="99"/>
    <w:rsid w:val="004C162B"/>
  </w:style>
  <w:style w:type="paragraph" w:customStyle="1" w:styleId="Style10">
    <w:name w:val="Style10"/>
    <w:basedOn w:val="Normln"/>
    <w:uiPriority w:val="99"/>
    <w:rsid w:val="004C162B"/>
    <w:pPr>
      <w:spacing w:line="202" w:lineRule="exact"/>
    </w:pPr>
  </w:style>
  <w:style w:type="paragraph" w:customStyle="1" w:styleId="Style11">
    <w:name w:val="Style11"/>
    <w:basedOn w:val="Normln"/>
    <w:uiPriority w:val="99"/>
    <w:rsid w:val="004C162B"/>
    <w:pPr>
      <w:spacing w:line="200" w:lineRule="exact"/>
    </w:pPr>
  </w:style>
  <w:style w:type="paragraph" w:customStyle="1" w:styleId="Style12">
    <w:name w:val="Style12"/>
    <w:basedOn w:val="Normln"/>
    <w:uiPriority w:val="99"/>
    <w:rsid w:val="004C162B"/>
    <w:pPr>
      <w:spacing w:line="158" w:lineRule="exact"/>
      <w:jc w:val="center"/>
    </w:pPr>
  </w:style>
  <w:style w:type="paragraph" w:customStyle="1" w:styleId="Style13">
    <w:name w:val="Style13"/>
    <w:basedOn w:val="Normln"/>
    <w:uiPriority w:val="99"/>
    <w:rsid w:val="004C162B"/>
    <w:pPr>
      <w:spacing w:line="168" w:lineRule="exact"/>
      <w:jc w:val="center"/>
    </w:pPr>
  </w:style>
  <w:style w:type="paragraph" w:customStyle="1" w:styleId="Style14">
    <w:name w:val="Style14"/>
    <w:basedOn w:val="Normln"/>
    <w:uiPriority w:val="99"/>
    <w:rsid w:val="004C162B"/>
    <w:pPr>
      <w:spacing w:line="193" w:lineRule="exact"/>
      <w:ind w:hanging="154"/>
    </w:pPr>
  </w:style>
  <w:style w:type="paragraph" w:customStyle="1" w:styleId="Style15">
    <w:name w:val="Style15"/>
    <w:basedOn w:val="Normln"/>
    <w:uiPriority w:val="99"/>
    <w:rsid w:val="004C162B"/>
    <w:pPr>
      <w:spacing w:line="38" w:lineRule="exact"/>
    </w:pPr>
  </w:style>
  <w:style w:type="paragraph" w:customStyle="1" w:styleId="Style16">
    <w:name w:val="Style16"/>
    <w:basedOn w:val="Normln"/>
    <w:uiPriority w:val="99"/>
    <w:rsid w:val="004C162B"/>
  </w:style>
  <w:style w:type="paragraph" w:customStyle="1" w:styleId="Style17">
    <w:name w:val="Style17"/>
    <w:basedOn w:val="Normln"/>
    <w:uiPriority w:val="99"/>
    <w:rsid w:val="004C162B"/>
  </w:style>
  <w:style w:type="paragraph" w:customStyle="1" w:styleId="Style18">
    <w:name w:val="Style18"/>
    <w:basedOn w:val="Normln"/>
    <w:uiPriority w:val="99"/>
    <w:rsid w:val="004C162B"/>
  </w:style>
  <w:style w:type="paragraph" w:customStyle="1" w:styleId="Style19">
    <w:name w:val="Style19"/>
    <w:basedOn w:val="Normln"/>
    <w:uiPriority w:val="99"/>
    <w:rsid w:val="004C162B"/>
  </w:style>
  <w:style w:type="paragraph" w:customStyle="1" w:styleId="Style20">
    <w:name w:val="Style20"/>
    <w:basedOn w:val="Normln"/>
    <w:uiPriority w:val="99"/>
    <w:rsid w:val="004C162B"/>
  </w:style>
  <w:style w:type="character" w:customStyle="1" w:styleId="FontStyle22">
    <w:name w:val="Font Style22"/>
    <w:basedOn w:val="Standardnpsmoodstavce"/>
    <w:uiPriority w:val="99"/>
    <w:rsid w:val="004C162B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23">
    <w:name w:val="Font Style23"/>
    <w:basedOn w:val="Standardnpsmoodstavce"/>
    <w:uiPriority w:val="99"/>
    <w:rsid w:val="004C162B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4">
    <w:name w:val="Font Style24"/>
    <w:basedOn w:val="Standardnpsmoodstavce"/>
    <w:uiPriority w:val="99"/>
    <w:rsid w:val="004C162B"/>
    <w:rPr>
      <w:rFonts w:ascii="Arial Narrow" w:hAnsi="Arial Narrow" w:cs="Arial Narrow"/>
      <w:i/>
      <w:iCs/>
      <w:color w:val="000000"/>
      <w:sz w:val="14"/>
      <w:szCs w:val="14"/>
    </w:rPr>
  </w:style>
  <w:style w:type="character" w:customStyle="1" w:styleId="FontStyle25">
    <w:name w:val="Font Style25"/>
    <w:basedOn w:val="Standardnpsmoodstavce"/>
    <w:uiPriority w:val="99"/>
    <w:rsid w:val="004C162B"/>
    <w:rPr>
      <w:rFonts w:ascii="AngsanaUPC" w:hAnsi="AngsanaUPC" w:cs="AngsanaUPC"/>
      <w:color w:val="000000"/>
      <w:sz w:val="24"/>
      <w:szCs w:val="24"/>
    </w:rPr>
  </w:style>
  <w:style w:type="character" w:customStyle="1" w:styleId="FontStyle26">
    <w:name w:val="Font Style26"/>
    <w:basedOn w:val="Standardnpsmoodstavce"/>
    <w:uiPriority w:val="99"/>
    <w:rsid w:val="004C162B"/>
    <w:rPr>
      <w:rFonts w:ascii="Arial Unicode MS" w:eastAsia="Arial Unicode MS" w:cs="Arial Unicode MS"/>
      <w:b/>
      <w:bCs/>
      <w:color w:val="000000"/>
      <w:sz w:val="12"/>
      <w:szCs w:val="12"/>
    </w:rPr>
  </w:style>
  <w:style w:type="character" w:customStyle="1" w:styleId="FontStyle27">
    <w:name w:val="Font Style27"/>
    <w:basedOn w:val="Standardnpsmoodstavce"/>
    <w:uiPriority w:val="99"/>
    <w:rsid w:val="004C162B"/>
    <w:rPr>
      <w:rFonts w:ascii="Aharoni" w:cs="Aharoni"/>
      <w:color w:val="000000"/>
      <w:sz w:val="8"/>
      <w:szCs w:val="8"/>
    </w:rPr>
  </w:style>
  <w:style w:type="character" w:customStyle="1" w:styleId="FontStyle28">
    <w:name w:val="Font Style28"/>
    <w:basedOn w:val="Standardnpsmoodstavce"/>
    <w:uiPriority w:val="99"/>
    <w:rsid w:val="004C162B"/>
    <w:rPr>
      <w:rFonts w:ascii="Arial Narrow" w:hAnsi="Arial Narrow" w:cs="Arial Narrow"/>
      <w:b/>
      <w:bCs/>
      <w:smallCaps/>
      <w:color w:val="000000"/>
      <w:sz w:val="10"/>
      <w:szCs w:val="10"/>
    </w:rPr>
  </w:style>
  <w:style w:type="character" w:customStyle="1" w:styleId="FontStyle29">
    <w:name w:val="Font Style29"/>
    <w:basedOn w:val="Standardnpsmoodstavce"/>
    <w:uiPriority w:val="99"/>
    <w:rsid w:val="004C162B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30">
    <w:name w:val="Font Style30"/>
    <w:basedOn w:val="Standardnpsmoodstavce"/>
    <w:uiPriority w:val="99"/>
    <w:rsid w:val="004C162B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31">
    <w:name w:val="Font Style31"/>
    <w:basedOn w:val="Standardnpsmoodstavce"/>
    <w:uiPriority w:val="99"/>
    <w:rsid w:val="004C162B"/>
    <w:rPr>
      <w:rFonts w:ascii="Arial Unicode MS" w:eastAsia="Arial Unicode MS" w:cs="Arial Unicode MS"/>
      <w:b/>
      <w:bCs/>
      <w:color w:val="000000"/>
      <w:sz w:val="8"/>
      <w:szCs w:val="8"/>
    </w:rPr>
  </w:style>
  <w:style w:type="character" w:customStyle="1" w:styleId="FontStyle32">
    <w:name w:val="Font Style32"/>
    <w:basedOn w:val="Standardnpsmoodstavce"/>
    <w:uiPriority w:val="99"/>
    <w:rsid w:val="004C162B"/>
    <w:rPr>
      <w:rFonts w:ascii="Arial Narrow" w:hAnsi="Arial Narrow" w:cs="Arial Narrow"/>
      <w:b/>
      <w:bCs/>
      <w:color w:val="000000"/>
      <w:sz w:val="8"/>
      <w:szCs w:val="8"/>
    </w:rPr>
  </w:style>
  <w:style w:type="character" w:customStyle="1" w:styleId="FontStyle33">
    <w:name w:val="Font Style33"/>
    <w:basedOn w:val="Standardnpsmoodstavce"/>
    <w:uiPriority w:val="99"/>
    <w:rsid w:val="004C162B"/>
    <w:rPr>
      <w:rFonts w:ascii="Aharoni" w:cs="Aharoni"/>
      <w:i/>
      <w:iCs/>
      <w:color w:val="000000"/>
      <w:sz w:val="8"/>
      <w:szCs w:val="8"/>
    </w:rPr>
  </w:style>
  <w:style w:type="character" w:customStyle="1" w:styleId="FontStyle34">
    <w:name w:val="Font Style34"/>
    <w:basedOn w:val="Standardnpsmoodstavce"/>
    <w:uiPriority w:val="99"/>
    <w:rsid w:val="004C162B"/>
    <w:rPr>
      <w:rFonts w:ascii="Arial" w:hAnsi="Arial" w:cs="Arial"/>
      <w:color w:val="000000"/>
      <w:sz w:val="10"/>
      <w:szCs w:val="10"/>
    </w:rPr>
  </w:style>
  <w:style w:type="character" w:customStyle="1" w:styleId="FontStyle35">
    <w:name w:val="Font Style35"/>
    <w:basedOn w:val="Standardnpsmoodstavce"/>
    <w:uiPriority w:val="99"/>
    <w:rsid w:val="004C162B"/>
    <w:rPr>
      <w:rFonts w:ascii="Arial Unicode MS" w:eastAsia="Arial Unicode MS" w:cs="Arial Unicode MS"/>
      <w:color w:val="000000"/>
      <w:sz w:val="10"/>
      <w:szCs w:val="10"/>
    </w:rPr>
  </w:style>
  <w:style w:type="character" w:customStyle="1" w:styleId="FontStyle36">
    <w:name w:val="Font Style36"/>
    <w:basedOn w:val="Standardnpsmoodstavce"/>
    <w:uiPriority w:val="99"/>
    <w:rsid w:val="004C162B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37">
    <w:name w:val="Font Style37"/>
    <w:basedOn w:val="Standardnpsmoodstavce"/>
    <w:uiPriority w:val="99"/>
    <w:rsid w:val="004C162B"/>
    <w:rPr>
      <w:rFonts w:ascii="Arial Narrow" w:hAnsi="Arial Narrow" w:cs="Arial Narrow"/>
      <w:color w:val="000000"/>
      <w:sz w:val="14"/>
      <w:szCs w:val="14"/>
    </w:rPr>
  </w:style>
  <w:style w:type="character" w:customStyle="1" w:styleId="FontStyle38">
    <w:name w:val="Font Style38"/>
    <w:basedOn w:val="Standardnpsmoodstavce"/>
    <w:uiPriority w:val="99"/>
    <w:rsid w:val="004C162B"/>
    <w:rPr>
      <w:rFonts w:ascii="Arial Narrow" w:hAnsi="Arial Narrow" w:cs="Arial Narrow"/>
      <w:color w:val="000000"/>
      <w:sz w:val="14"/>
      <w:szCs w:val="14"/>
    </w:rPr>
  </w:style>
  <w:style w:type="character" w:styleId="Hypertextovodkaz">
    <w:name w:val="Hyperlink"/>
    <w:basedOn w:val="Standardnpsmoodstavce"/>
    <w:uiPriority w:val="99"/>
    <w:rsid w:val="004C162B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B37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7FF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37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7FF"/>
    <w:rPr>
      <w:rFonts w:hAnsi="Arial Narrow"/>
      <w:sz w:val="24"/>
      <w:szCs w:val="24"/>
    </w:rPr>
  </w:style>
  <w:style w:type="character" w:styleId="Zstupntext">
    <w:name w:val="Placeholder Text"/>
    <w:rsid w:val="007E0C8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09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dexx.com/pat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exx.com/contactlp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94268DAFEF45888A98360CE241C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41197-B20C-467B-8A79-EE74845C34B3}"/>
      </w:docPartPr>
      <w:docPartBody>
        <w:p w:rsidR="00526880" w:rsidRDefault="00711788" w:rsidP="00711788">
          <w:pPr>
            <w:pStyle w:val="C194268DAFEF45888A98360CE241C7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499D3ABFB2F4A998CC08C35B200C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ABB94-B633-4398-A366-1D43399BD7D4}"/>
      </w:docPartPr>
      <w:docPartBody>
        <w:p w:rsidR="00526880" w:rsidRDefault="00711788" w:rsidP="00711788">
          <w:pPr>
            <w:pStyle w:val="D499D3ABFB2F4A998CC08C35B200C10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9BAD513A1C40268FE2DE1DF3045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94389-3DBD-42E7-A540-DB0277172A64}"/>
      </w:docPartPr>
      <w:docPartBody>
        <w:p w:rsidR="00526880" w:rsidRDefault="00711788" w:rsidP="00711788">
          <w:pPr>
            <w:pStyle w:val="DD9BAD513A1C40268FE2DE1DF3045A8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D33935C2394A229061E7FB8B606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67D97-EBF6-4C2A-8C1B-F8C1C623B559}"/>
      </w:docPartPr>
      <w:docPartBody>
        <w:p w:rsidR="00526880" w:rsidRDefault="00711788" w:rsidP="00711788">
          <w:pPr>
            <w:pStyle w:val="A5D33935C2394A229061E7FB8B6063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88"/>
    <w:rsid w:val="00094B27"/>
    <w:rsid w:val="00526880"/>
    <w:rsid w:val="00711788"/>
    <w:rsid w:val="00A94C19"/>
    <w:rsid w:val="00C63DC6"/>
    <w:rsid w:val="00F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36C35"/>
  </w:style>
  <w:style w:type="paragraph" w:customStyle="1" w:styleId="C194268DAFEF45888A98360CE241C734">
    <w:name w:val="C194268DAFEF45888A98360CE241C734"/>
    <w:rsid w:val="00711788"/>
  </w:style>
  <w:style w:type="paragraph" w:customStyle="1" w:styleId="D499D3ABFB2F4A998CC08C35B200C10B">
    <w:name w:val="D499D3ABFB2F4A998CC08C35B200C10B"/>
    <w:rsid w:val="00711788"/>
  </w:style>
  <w:style w:type="paragraph" w:customStyle="1" w:styleId="DD9BAD513A1C40268FE2DE1DF3045A87">
    <w:name w:val="DD9BAD513A1C40268FE2DE1DF3045A87"/>
    <w:rsid w:val="00711788"/>
  </w:style>
  <w:style w:type="paragraph" w:customStyle="1" w:styleId="A5D33935C2394A229061E7FB8B606325">
    <w:name w:val="A5D33935C2394A229061E7FB8B606325"/>
    <w:rsid w:val="00711788"/>
  </w:style>
  <w:style w:type="paragraph" w:customStyle="1" w:styleId="924449D5BCE04D7A935AB3467853C7BC">
    <w:name w:val="924449D5BCE04D7A935AB3467853C7BC"/>
    <w:rsid w:val="00F36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13D1-E55D-46F0-9FF9-2BB0345A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1896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Podbřecká Milena</cp:lastModifiedBy>
  <cp:revision>10</cp:revision>
  <cp:lastPrinted>2022-10-12T15:29:00Z</cp:lastPrinted>
  <dcterms:created xsi:type="dcterms:W3CDTF">2022-08-19T14:09:00Z</dcterms:created>
  <dcterms:modified xsi:type="dcterms:W3CDTF">2022-10-12T15:29:00Z</dcterms:modified>
</cp:coreProperties>
</file>