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D3665" w14:textId="77777777" w:rsidR="0081655D" w:rsidRPr="00481354" w:rsidRDefault="0081655D" w:rsidP="00D63C04">
      <w:pPr>
        <w:pStyle w:val="Zkladntext"/>
        <w:widowControl/>
      </w:pPr>
    </w:p>
    <w:p w14:paraId="5B3CA2FF" w14:textId="77777777" w:rsidR="0081655D" w:rsidRPr="00481354" w:rsidRDefault="0081655D" w:rsidP="00D63C04">
      <w:pPr>
        <w:pStyle w:val="Zkladntext"/>
        <w:widowControl/>
      </w:pPr>
    </w:p>
    <w:p w14:paraId="4045F677" w14:textId="77777777" w:rsidR="0081655D" w:rsidRPr="00481354" w:rsidRDefault="0081655D" w:rsidP="00D63C04">
      <w:pPr>
        <w:pStyle w:val="Zkladntext"/>
        <w:widowControl/>
      </w:pPr>
    </w:p>
    <w:p w14:paraId="570D074D" w14:textId="77777777" w:rsidR="0081655D" w:rsidRPr="00481354" w:rsidRDefault="0081655D" w:rsidP="00D63C04">
      <w:pPr>
        <w:pStyle w:val="Zkladntext"/>
        <w:widowControl/>
      </w:pPr>
    </w:p>
    <w:p w14:paraId="29DDE72C" w14:textId="77777777" w:rsidR="0081655D" w:rsidRPr="00481354" w:rsidRDefault="0081655D" w:rsidP="00D63C04">
      <w:pPr>
        <w:pStyle w:val="Zkladntext"/>
        <w:widowControl/>
      </w:pPr>
    </w:p>
    <w:p w14:paraId="40FA406D" w14:textId="77777777" w:rsidR="0081655D" w:rsidRPr="00481354" w:rsidRDefault="0081655D" w:rsidP="00D63C04">
      <w:pPr>
        <w:pStyle w:val="Zkladntext"/>
        <w:widowControl/>
      </w:pPr>
    </w:p>
    <w:p w14:paraId="5B866D56" w14:textId="77777777" w:rsidR="0081655D" w:rsidRPr="00481354" w:rsidRDefault="0081655D" w:rsidP="00D63C04">
      <w:pPr>
        <w:pStyle w:val="Zkladntext"/>
        <w:widowControl/>
      </w:pPr>
    </w:p>
    <w:p w14:paraId="4F1D70FB" w14:textId="77777777" w:rsidR="0081655D" w:rsidRPr="00481354" w:rsidRDefault="0081655D" w:rsidP="00D63C04">
      <w:pPr>
        <w:pStyle w:val="Zkladntext"/>
        <w:widowControl/>
      </w:pPr>
    </w:p>
    <w:p w14:paraId="378426E0" w14:textId="77777777" w:rsidR="0081655D" w:rsidRPr="00481354" w:rsidRDefault="0081655D" w:rsidP="00D63C04">
      <w:pPr>
        <w:pStyle w:val="Zkladntext"/>
        <w:widowControl/>
      </w:pPr>
    </w:p>
    <w:p w14:paraId="63D4231C" w14:textId="77777777" w:rsidR="0081655D" w:rsidRPr="00481354" w:rsidRDefault="0081655D" w:rsidP="00D63C04">
      <w:pPr>
        <w:pStyle w:val="Zkladntext"/>
        <w:widowControl/>
      </w:pPr>
    </w:p>
    <w:p w14:paraId="5C53CACD" w14:textId="77777777" w:rsidR="0081655D" w:rsidRPr="00481354" w:rsidRDefault="0081655D" w:rsidP="00D63C04">
      <w:pPr>
        <w:pStyle w:val="Zkladntext"/>
        <w:widowControl/>
      </w:pPr>
    </w:p>
    <w:p w14:paraId="15980E51" w14:textId="77777777" w:rsidR="0081655D" w:rsidRPr="00481354" w:rsidRDefault="0081655D" w:rsidP="00D63C04">
      <w:pPr>
        <w:pStyle w:val="Zkladntext"/>
        <w:widowControl/>
      </w:pPr>
    </w:p>
    <w:p w14:paraId="0569E5DD" w14:textId="77777777" w:rsidR="0081655D" w:rsidRPr="00481354" w:rsidRDefault="0081655D" w:rsidP="00D63C04">
      <w:pPr>
        <w:pStyle w:val="Zkladntext"/>
        <w:widowControl/>
      </w:pPr>
    </w:p>
    <w:p w14:paraId="4AA3F7BF" w14:textId="77777777" w:rsidR="0081655D" w:rsidRPr="00481354" w:rsidRDefault="0081655D" w:rsidP="00D63C04">
      <w:pPr>
        <w:pStyle w:val="Zkladntext"/>
        <w:widowControl/>
      </w:pPr>
    </w:p>
    <w:p w14:paraId="0F643787" w14:textId="77777777" w:rsidR="0081655D" w:rsidRPr="00481354" w:rsidRDefault="0081655D" w:rsidP="00D63C04">
      <w:pPr>
        <w:pStyle w:val="Zkladntext"/>
        <w:widowControl/>
      </w:pPr>
    </w:p>
    <w:p w14:paraId="12B2E10E" w14:textId="77777777" w:rsidR="0081655D" w:rsidRPr="00481354" w:rsidRDefault="0081655D" w:rsidP="00D63C04">
      <w:pPr>
        <w:pStyle w:val="Zkladntext"/>
        <w:widowControl/>
      </w:pPr>
    </w:p>
    <w:p w14:paraId="73709399" w14:textId="77777777" w:rsidR="0081655D" w:rsidRPr="00481354" w:rsidRDefault="0081655D" w:rsidP="00D63C04">
      <w:pPr>
        <w:pStyle w:val="Zkladntext"/>
        <w:widowControl/>
      </w:pPr>
    </w:p>
    <w:p w14:paraId="40DB59A8" w14:textId="77777777" w:rsidR="0081655D" w:rsidRPr="00481354" w:rsidRDefault="0081655D" w:rsidP="00D63C04">
      <w:pPr>
        <w:pStyle w:val="Zkladntext"/>
        <w:widowControl/>
      </w:pPr>
    </w:p>
    <w:p w14:paraId="3A0B4C49" w14:textId="77777777" w:rsidR="0081655D" w:rsidRPr="00481354" w:rsidRDefault="0081655D" w:rsidP="00D63C04">
      <w:pPr>
        <w:pStyle w:val="Zkladntext"/>
        <w:widowControl/>
      </w:pPr>
    </w:p>
    <w:p w14:paraId="5E7A6695" w14:textId="77777777" w:rsidR="0081655D" w:rsidRPr="00481354" w:rsidRDefault="0081655D" w:rsidP="00D63C04">
      <w:pPr>
        <w:pStyle w:val="Zkladntext"/>
        <w:widowControl/>
      </w:pPr>
    </w:p>
    <w:p w14:paraId="18BE48B5" w14:textId="4178AF7E" w:rsidR="0081655D" w:rsidRPr="002478EC" w:rsidRDefault="002478EC" w:rsidP="00D63C04">
      <w:pPr>
        <w:widowControl/>
        <w:jc w:val="center"/>
        <w:rPr>
          <w:b/>
          <w:bCs/>
        </w:rPr>
      </w:pPr>
      <w:r>
        <w:rPr>
          <w:b/>
          <w:bCs/>
        </w:rPr>
        <w:t xml:space="preserve">B. </w:t>
      </w:r>
      <w:r w:rsidRPr="002478EC">
        <w:rPr>
          <w:b/>
          <w:bCs/>
        </w:rPr>
        <w:t>PŘÍBALOVÁ INFORMACE</w:t>
      </w:r>
    </w:p>
    <w:p w14:paraId="1AAE9E2A" w14:textId="77777777" w:rsidR="00481354" w:rsidRPr="00481354" w:rsidRDefault="00481354" w:rsidP="00D63C04">
      <w:pPr>
        <w:widowControl/>
      </w:pPr>
    </w:p>
    <w:p w14:paraId="06420C02" w14:textId="77777777" w:rsidR="0081655D" w:rsidRPr="00481354" w:rsidRDefault="00105B17" w:rsidP="00D63C04">
      <w:pPr>
        <w:pageBreakBefore/>
        <w:widowControl/>
        <w:jc w:val="center"/>
        <w:rPr>
          <w:b/>
        </w:rPr>
      </w:pPr>
      <w:r w:rsidRPr="00481354">
        <w:rPr>
          <w:b/>
        </w:rPr>
        <w:lastRenderedPageBreak/>
        <w:t>PŘÍBALOVÁ INFORMACE:</w:t>
      </w:r>
    </w:p>
    <w:p w14:paraId="2ED369EA" w14:textId="1B317D03" w:rsidR="0081655D" w:rsidRPr="00481354" w:rsidRDefault="00E156B8" w:rsidP="00D63C04">
      <w:pPr>
        <w:widowControl/>
        <w:jc w:val="center"/>
        <w:rPr>
          <w:b/>
        </w:rPr>
      </w:pPr>
      <w:proofErr w:type="spellStart"/>
      <w:r>
        <w:rPr>
          <w:b/>
        </w:rPr>
        <w:t>Metaxx</w:t>
      </w:r>
      <w:proofErr w:type="spellEnd"/>
      <w:r>
        <w:rPr>
          <w:b/>
        </w:rPr>
        <w:t xml:space="preserve"> </w:t>
      </w:r>
      <w:r w:rsidR="00105B17" w:rsidRPr="00481354">
        <w:rPr>
          <w:b/>
        </w:rPr>
        <w:t>20 mg/ml injekční roztok pro skot, prasata a koně</w:t>
      </w:r>
    </w:p>
    <w:p w14:paraId="7F9310E4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47FC07B1" w14:textId="789107CC" w:rsidR="0081655D" w:rsidRPr="00683230" w:rsidRDefault="00683230" w:rsidP="00D63C04">
      <w:pPr>
        <w:pStyle w:val="Num"/>
        <w:widowControl/>
      </w:pPr>
      <w:r w:rsidRPr="00683230">
        <w:rPr>
          <w:shd w:val="clear" w:color="auto" w:fill="D9D9D9" w:themeFill="background1" w:themeFillShade="D9"/>
        </w:rPr>
        <w:t>1.</w:t>
      </w:r>
      <w:r>
        <w:tab/>
      </w:r>
      <w:r w:rsidRPr="00683230">
        <w:t>JMÉNO A ADRESA DRŽITELE ROZHODNUTÍ O REGISTRACI A DRŽITELE POVOLENÍ K VÝROBĚ ODPOVĚDNÉHO ZA UVOLNĚNÍ ŠARŽE, POKUD SE NESHODUJE</w:t>
      </w:r>
    </w:p>
    <w:p w14:paraId="2ABFFDB9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84D832E" w14:textId="1383DF65" w:rsidR="00683230" w:rsidRDefault="00105B17" w:rsidP="00D63C04">
      <w:pPr>
        <w:pStyle w:val="Zkladntext"/>
        <w:widowControl/>
      </w:pPr>
      <w:r w:rsidRPr="00481354">
        <w:rPr>
          <w:u w:val="single"/>
        </w:rPr>
        <w:t>Držitel rozhodnutí o registraci</w:t>
      </w:r>
      <w:r w:rsidR="00DA7C73">
        <w:t>:</w:t>
      </w:r>
      <w:r w:rsidRPr="00481354">
        <w:t xml:space="preserve"> </w:t>
      </w:r>
    </w:p>
    <w:p w14:paraId="515F903E" w14:textId="77777777" w:rsidR="00E156B8" w:rsidRPr="00CF5E95" w:rsidRDefault="00E156B8" w:rsidP="00D63C04">
      <w:pPr>
        <w:widowControl/>
        <w:rPr>
          <w:iCs/>
          <w:lang w:val="nl-NL"/>
        </w:rPr>
      </w:pPr>
      <w:r w:rsidRPr="00CF5E95">
        <w:rPr>
          <w:iCs/>
          <w:lang w:val="nl-NL"/>
        </w:rPr>
        <w:t>Alfasan Nederland B.V.</w:t>
      </w:r>
    </w:p>
    <w:p w14:paraId="5A2D6992" w14:textId="77777777" w:rsidR="00E156B8" w:rsidRPr="00CF5E95" w:rsidRDefault="00E156B8" w:rsidP="00D63C04">
      <w:pPr>
        <w:widowControl/>
        <w:rPr>
          <w:iCs/>
          <w:lang w:val="nl-NL"/>
        </w:rPr>
      </w:pPr>
      <w:r w:rsidRPr="00CF5E95">
        <w:rPr>
          <w:iCs/>
          <w:lang w:val="nl-NL"/>
        </w:rPr>
        <w:t>Kuipersweg 9</w:t>
      </w:r>
    </w:p>
    <w:p w14:paraId="1B37F815" w14:textId="77777777" w:rsidR="00E156B8" w:rsidRPr="00D63C04" w:rsidRDefault="00E156B8" w:rsidP="00D63C04">
      <w:pPr>
        <w:widowControl/>
        <w:rPr>
          <w:iCs/>
        </w:rPr>
      </w:pPr>
      <w:r w:rsidRPr="00D63C04">
        <w:rPr>
          <w:iCs/>
        </w:rPr>
        <w:t xml:space="preserve">3449 JA </w:t>
      </w:r>
      <w:proofErr w:type="spellStart"/>
      <w:r w:rsidRPr="00D63C04">
        <w:rPr>
          <w:iCs/>
        </w:rPr>
        <w:t>Woerden</w:t>
      </w:r>
      <w:proofErr w:type="spellEnd"/>
    </w:p>
    <w:p w14:paraId="0F305507" w14:textId="6D9381A3" w:rsidR="0081655D" w:rsidRPr="00481354" w:rsidRDefault="00E156B8" w:rsidP="00D63C04">
      <w:pPr>
        <w:pStyle w:val="Zkladntext"/>
        <w:widowControl/>
      </w:pPr>
      <w:r>
        <w:t>Nizozemsko</w:t>
      </w:r>
    </w:p>
    <w:p w14:paraId="4C3AA597" w14:textId="77777777" w:rsidR="0081655D" w:rsidRPr="00481354" w:rsidRDefault="0081655D" w:rsidP="00D63C04">
      <w:pPr>
        <w:pStyle w:val="Zkladntext"/>
        <w:widowControl/>
      </w:pPr>
    </w:p>
    <w:p w14:paraId="25D066BA" w14:textId="451DEEF9" w:rsidR="00683230" w:rsidRDefault="00105B17" w:rsidP="00D63C04">
      <w:pPr>
        <w:pStyle w:val="Zkladntext"/>
        <w:widowControl/>
      </w:pPr>
      <w:r w:rsidRPr="00481354">
        <w:rPr>
          <w:u w:val="single"/>
        </w:rPr>
        <w:t>Výrobce odpovědn</w:t>
      </w:r>
      <w:r w:rsidRPr="00481354">
        <w:rPr>
          <w:color w:val="232323"/>
          <w:u w:val="single" w:color="000000"/>
        </w:rPr>
        <w:t>ý</w:t>
      </w:r>
      <w:r w:rsidRPr="00481354">
        <w:rPr>
          <w:u w:val="single"/>
        </w:rPr>
        <w:t xml:space="preserve"> za uvolnění šarže</w:t>
      </w:r>
      <w:r w:rsidR="00DA7C73">
        <w:t>:</w:t>
      </w:r>
      <w:r w:rsidRPr="00481354">
        <w:t xml:space="preserve"> </w:t>
      </w:r>
    </w:p>
    <w:p w14:paraId="1E9347E7" w14:textId="77777777" w:rsidR="00E156B8" w:rsidRPr="00CF5E95" w:rsidRDefault="00E156B8" w:rsidP="00D63C04">
      <w:pPr>
        <w:widowControl/>
        <w:rPr>
          <w:lang w:val="nl-NL"/>
        </w:rPr>
      </w:pPr>
      <w:r w:rsidRPr="00CF5E95">
        <w:rPr>
          <w:lang w:val="nl-NL"/>
        </w:rPr>
        <w:t>Produlab Pharma B.V.</w:t>
      </w:r>
    </w:p>
    <w:p w14:paraId="133A36EC" w14:textId="77777777" w:rsidR="00E156B8" w:rsidRPr="00A13759" w:rsidRDefault="00E156B8" w:rsidP="00D63C04">
      <w:pPr>
        <w:widowControl/>
        <w:rPr>
          <w:lang w:val="nl-NL"/>
        </w:rPr>
      </w:pPr>
      <w:r w:rsidRPr="00A13759">
        <w:rPr>
          <w:lang w:val="nl-NL"/>
        </w:rPr>
        <w:t>Forellenweg 16</w:t>
      </w:r>
    </w:p>
    <w:p w14:paraId="3B59B295" w14:textId="77777777" w:rsidR="00E156B8" w:rsidRPr="00405094" w:rsidRDefault="00E156B8" w:rsidP="00D63C04">
      <w:pPr>
        <w:widowControl/>
        <w:rPr>
          <w:lang w:val="nl-NL"/>
        </w:rPr>
      </w:pPr>
      <w:r w:rsidRPr="00405094">
        <w:rPr>
          <w:lang w:val="nl-NL"/>
        </w:rPr>
        <w:t>4941 SJ Raamsdonksveer</w:t>
      </w:r>
    </w:p>
    <w:p w14:paraId="7B24D677" w14:textId="114B293F" w:rsidR="00E156B8" w:rsidRPr="00405094" w:rsidRDefault="00E156B8" w:rsidP="00D63C04">
      <w:pPr>
        <w:widowControl/>
        <w:rPr>
          <w:lang w:val="nl-NL"/>
        </w:rPr>
      </w:pPr>
      <w:r>
        <w:rPr>
          <w:lang w:val="nl-NL"/>
        </w:rPr>
        <w:t>Nizozemsko</w:t>
      </w:r>
    </w:p>
    <w:p w14:paraId="4F44995A" w14:textId="77777777" w:rsidR="00E156B8" w:rsidRPr="00405094" w:rsidRDefault="00E156B8" w:rsidP="00D63C04">
      <w:pPr>
        <w:widowControl/>
        <w:rPr>
          <w:lang w:val="nl-NL"/>
        </w:rPr>
      </w:pPr>
    </w:p>
    <w:p w14:paraId="15BBF0EF" w14:textId="6C45A2C2" w:rsidR="00E156B8" w:rsidRPr="00405094" w:rsidRDefault="00E156B8" w:rsidP="00D63C04">
      <w:pPr>
        <w:widowControl/>
        <w:rPr>
          <w:lang w:val="nl-NL"/>
        </w:rPr>
      </w:pPr>
      <w:r>
        <w:rPr>
          <w:lang w:val="nl-NL"/>
        </w:rPr>
        <w:t>nebo</w:t>
      </w:r>
      <w:r w:rsidRPr="00405094">
        <w:rPr>
          <w:lang w:val="nl-NL"/>
        </w:rPr>
        <w:t xml:space="preserve"> </w:t>
      </w:r>
    </w:p>
    <w:p w14:paraId="6616AF21" w14:textId="77777777" w:rsidR="00E156B8" w:rsidRPr="00405094" w:rsidRDefault="00E156B8" w:rsidP="00D63C04">
      <w:pPr>
        <w:widowControl/>
        <w:rPr>
          <w:lang w:val="nl-NL"/>
        </w:rPr>
      </w:pPr>
    </w:p>
    <w:p w14:paraId="0F496892" w14:textId="77777777" w:rsidR="00E156B8" w:rsidRPr="00A13759" w:rsidRDefault="00E156B8" w:rsidP="00D63C04">
      <w:pPr>
        <w:widowControl/>
        <w:rPr>
          <w:iCs/>
          <w:lang w:val="nl-NL"/>
        </w:rPr>
      </w:pPr>
      <w:r w:rsidRPr="00A13759">
        <w:rPr>
          <w:iCs/>
          <w:lang w:val="nl-NL"/>
        </w:rPr>
        <w:t>Alfasan Nederland B.V.</w:t>
      </w:r>
    </w:p>
    <w:p w14:paraId="0E3D6BE1" w14:textId="77777777" w:rsidR="00E156B8" w:rsidRPr="00A13759" w:rsidRDefault="00E156B8" w:rsidP="00D63C04">
      <w:pPr>
        <w:widowControl/>
        <w:rPr>
          <w:iCs/>
          <w:lang w:val="nl-NL"/>
        </w:rPr>
      </w:pPr>
      <w:r w:rsidRPr="00A13759">
        <w:rPr>
          <w:iCs/>
          <w:lang w:val="nl-NL"/>
        </w:rPr>
        <w:t>Kuipersweg 9</w:t>
      </w:r>
    </w:p>
    <w:p w14:paraId="65604B1C" w14:textId="77777777" w:rsidR="00E156B8" w:rsidRPr="00A13759" w:rsidRDefault="00E156B8" w:rsidP="00D63C04">
      <w:pPr>
        <w:widowControl/>
        <w:rPr>
          <w:iCs/>
          <w:lang w:val="nl-NL"/>
        </w:rPr>
      </w:pPr>
      <w:r w:rsidRPr="00A13759">
        <w:rPr>
          <w:iCs/>
          <w:lang w:val="nl-NL"/>
        </w:rPr>
        <w:t>3449 JA Woerden</w:t>
      </w:r>
    </w:p>
    <w:p w14:paraId="5D6C6511" w14:textId="5495A1D9" w:rsidR="0081655D" w:rsidRPr="00481354" w:rsidRDefault="00E156B8" w:rsidP="00915505">
      <w:pPr>
        <w:widowControl/>
      </w:pPr>
      <w:r>
        <w:rPr>
          <w:lang w:val="nl-NL"/>
        </w:rPr>
        <w:t>Nizozemsko</w:t>
      </w:r>
    </w:p>
    <w:p w14:paraId="226E23E8" w14:textId="77777777" w:rsidR="0081655D" w:rsidRPr="00481354" w:rsidRDefault="0081655D" w:rsidP="00D63C04">
      <w:pPr>
        <w:pStyle w:val="Zkladntext"/>
        <w:widowControl/>
      </w:pPr>
    </w:p>
    <w:p w14:paraId="76642FE1" w14:textId="77777777" w:rsidR="0081655D" w:rsidRPr="00481354" w:rsidRDefault="0081655D" w:rsidP="00D63C04">
      <w:pPr>
        <w:pStyle w:val="Zkladntext"/>
        <w:widowControl/>
      </w:pPr>
    </w:p>
    <w:p w14:paraId="7C8DB835" w14:textId="25340DC7" w:rsidR="0081655D" w:rsidRPr="00481354" w:rsidRDefault="00683230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2.</w:t>
      </w:r>
      <w:r>
        <w:tab/>
      </w:r>
      <w:r w:rsidRPr="00481354">
        <w:t>NÁZEV VETERINÁRNÍHO LÉČIVÉHO PŘÍPRAVKU</w:t>
      </w:r>
    </w:p>
    <w:p w14:paraId="63E0B1A1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68C1D9E" w14:textId="0B6EDFCC" w:rsidR="001B623A" w:rsidRDefault="00E156B8" w:rsidP="00D63C04">
      <w:pPr>
        <w:pStyle w:val="Zkladntext"/>
        <w:widowControl/>
      </w:pPr>
      <w:proofErr w:type="spellStart"/>
      <w:r>
        <w:t>Metaxx</w:t>
      </w:r>
      <w:proofErr w:type="spellEnd"/>
      <w:r>
        <w:t xml:space="preserve"> </w:t>
      </w:r>
      <w:r w:rsidR="00105B17" w:rsidRPr="00481354">
        <w:t xml:space="preserve">20 mg/ml injekční roztok pro skot, prasata a koně </w:t>
      </w:r>
    </w:p>
    <w:p w14:paraId="3E0B4860" w14:textId="6D58E668" w:rsidR="0081655D" w:rsidRPr="00481354" w:rsidRDefault="00105B17" w:rsidP="00D63C04">
      <w:pPr>
        <w:pStyle w:val="Zkladntext"/>
        <w:widowControl/>
      </w:pPr>
      <w:proofErr w:type="spellStart"/>
      <w:r w:rsidRPr="00481354">
        <w:t>Meloxicamum</w:t>
      </w:r>
      <w:proofErr w:type="spellEnd"/>
    </w:p>
    <w:p w14:paraId="51E47160" w14:textId="77777777" w:rsidR="0081655D" w:rsidRPr="00481354" w:rsidRDefault="0081655D" w:rsidP="00D63C04">
      <w:pPr>
        <w:pStyle w:val="Zkladntext"/>
        <w:widowControl/>
      </w:pPr>
    </w:p>
    <w:p w14:paraId="43DE5C4C" w14:textId="77777777" w:rsidR="0081655D" w:rsidRPr="00481354" w:rsidRDefault="0081655D" w:rsidP="00D63C04">
      <w:pPr>
        <w:pStyle w:val="Zkladntext"/>
        <w:widowControl/>
      </w:pPr>
    </w:p>
    <w:p w14:paraId="4487A314" w14:textId="210D9EE2" w:rsidR="0081655D" w:rsidRPr="00481354" w:rsidRDefault="00683230" w:rsidP="00D63C04">
      <w:pPr>
        <w:pStyle w:val="Num"/>
        <w:widowControl/>
      </w:pPr>
      <w:r w:rsidRPr="00683230">
        <w:rPr>
          <w:shd w:val="clear" w:color="auto" w:fill="D9D9D9" w:themeFill="background1" w:themeFillShade="D9"/>
        </w:rPr>
        <w:t>3.</w:t>
      </w:r>
      <w:r>
        <w:tab/>
      </w:r>
      <w:r w:rsidRPr="00481354">
        <w:t>OBSAH LÉČIVÝCH A OSTATNÍCH LÁTEK</w:t>
      </w:r>
    </w:p>
    <w:p w14:paraId="22881D72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181670C5" w14:textId="1A39C0F3" w:rsidR="001B623A" w:rsidRDefault="00105B17" w:rsidP="00D63C04">
      <w:pPr>
        <w:pStyle w:val="Zkladntext"/>
        <w:widowControl/>
        <w:tabs>
          <w:tab w:val="left" w:pos="2203"/>
        </w:tabs>
      </w:pPr>
      <w:r w:rsidRPr="00481354">
        <w:t xml:space="preserve">Jeden ml obsahuje: </w:t>
      </w:r>
    </w:p>
    <w:p w14:paraId="34ABDB82" w14:textId="099EFB77" w:rsidR="00E156B8" w:rsidRDefault="00E156B8" w:rsidP="00D63C04">
      <w:pPr>
        <w:pStyle w:val="Zkladntext"/>
        <w:widowControl/>
        <w:tabs>
          <w:tab w:val="left" w:pos="2203"/>
        </w:tabs>
      </w:pPr>
    </w:p>
    <w:p w14:paraId="3321A98C" w14:textId="5F5A319B" w:rsidR="00E156B8" w:rsidRPr="00940F4D" w:rsidRDefault="008A18E3" w:rsidP="00D63C04">
      <w:pPr>
        <w:pStyle w:val="Zkladntext"/>
        <w:widowControl/>
        <w:tabs>
          <w:tab w:val="left" w:pos="2203"/>
        </w:tabs>
        <w:rPr>
          <w:b/>
          <w:bCs/>
        </w:rPr>
      </w:pPr>
      <w:r>
        <w:rPr>
          <w:b/>
          <w:bCs/>
        </w:rPr>
        <w:t>Léčivá</w:t>
      </w:r>
      <w:r w:rsidR="00E156B8">
        <w:rPr>
          <w:b/>
          <w:bCs/>
        </w:rPr>
        <w:t xml:space="preserve"> látka:</w:t>
      </w:r>
    </w:p>
    <w:p w14:paraId="5ADE5676" w14:textId="5CE8123F" w:rsidR="0081655D" w:rsidRDefault="00105B17" w:rsidP="00D63C04">
      <w:pPr>
        <w:pStyle w:val="Zkladntext"/>
        <w:widowControl/>
        <w:tabs>
          <w:tab w:val="left" w:pos="2160"/>
        </w:tabs>
      </w:pPr>
      <w:proofErr w:type="spellStart"/>
      <w:r w:rsidRPr="00481354">
        <w:t>Meloxicamum</w:t>
      </w:r>
      <w:proofErr w:type="spellEnd"/>
      <w:r w:rsidRPr="00481354">
        <w:tab/>
        <w:t>20 mg</w:t>
      </w:r>
    </w:p>
    <w:p w14:paraId="4E10E56F" w14:textId="77A0D1E3" w:rsidR="00E156B8" w:rsidRDefault="00E156B8" w:rsidP="00D63C04">
      <w:pPr>
        <w:pStyle w:val="Zkladntext"/>
        <w:widowControl/>
        <w:tabs>
          <w:tab w:val="left" w:pos="2160"/>
        </w:tabs>
      </w:pPr>
    </w:p>
    <w:p w14:paraId="6FA0DBC9" w14:textId="707FA7C7" w:rsidR="00E156B8" w:rsidRPr="00940F4D" w:rsidRDefault="00E156B8" w:rsidP="00D63C04">
      <w:pPr>
        <w:pStyle w:val="Zkladntext"/>
        <w:widowControl/>
        <w:tabs>
          <w:tab w:val="left" w:pos="2160"/>
        </w:tabs>
        <w:rPr>
          <w:b/>
          <w:bCs/>
        </w:rPr>
      </w:pPr>
      <w:r w:rsidRPr="00940F4D">
        <w:rPr>
          <w:b/>
          <w:bCs/>
        </w:rPr>
        <w:t>Pomocné látky:</w:t>
      </w:r>
    </w:p>
    <w:p w14:paraId="037C6DEA" w14:textId="1A81C2E9" w:rsidR="001B623A" w:rsidRDefault="00A63FE0" w:rsidP="00D63C04">
      <w:pPr>
        <w:pStyle w:val="Zkladntext"/>
        <w:widowControl/>
        <w:tabs>
          <w:tab w:val="left" w:pos="2160"/>
        </w:tabs>
      </w:pPr>
      <w:r>
        <w:t>Bezvodý</w:t>
      </w:r>
      <w:r w:rsidRPr="00481354">
        <w:t xml:space="preserve"> </w:t>
      </w:r>
      <w:proofErr w:type="spellStart"/>
      <w:r>
        <w:t>e</w:t>
      </w:r>
      <w:r w:rsidR="00105B17" w:rsidRPr="00481354">
        <w:t>thanol</w:t>
      </w:r>
      <w:proofErr w:type="spellEnd"/>
      <w:r w:rsidR="00E156B8">
        <w:t xml:space="preserve"> (E1510)</w:t>
      </w:r>
      <w:r w:rsidR="00105B17" w:rsidRPr="00481354">
        <w:tab/>
        <w:t xml:space="preserve">150 mg </w:t>
      </w:r>
    </w:p>
    <w:p w14:paraId="7C356CD0" w14:textId="77777777" w:rsidR="001B623A" w:rsidRDefault="001B623A" w:rsidP="00D63C04">
      <w:pPr>
        <w:pStyle w:val="Zkladntext"/>
        <w:widowControl/>
        <w:tabs>
          <w:tab w:val="left" w:pos="2160"/>
        </w:tabs>
      </w:pPr>
    </w:p>
    <w:p w14:paraId="1EA7C19D" w14:textId="31F273F1" w:rsidR="0081655D" w:rsidRPr="00481354" w:rsidRDefault="00105B17" w:rsidP="00D63C04">
      <w:pPr>
        <w:pStyle w:val="Zkladntext"/>
        <w:widowControl/>
        <w:tabs>
          <w:tab w:val="left" w:pos="2160"/>
        </w:tabs>
      </w:pPr>
      <w:r w:rsidRPr="00481354">
        <w:t xml:space="preserve">Čirý, žlutý </w:t>
      </w:r>
      <w:r w:rsidR="00E156B8">
        <w:t xml:space="preserve">injekční </w:t>
      </w:r>
      <w:r w:rsidRPr="00481354">
        <w:t>roztok.</w:t>
      </w:r>
    </w:p>
    <w:p w14:paraId="24BB6839" w14:textId="289C6DD6" w:rsidR="0081655D" w:rsidRDefault="0081655D" w:rsidP="00D63C04">
      <w:pPr>
        <w:pStyle w:val="Zkladntext"/>
        <w:widowControl/>
      </w:pPr>
    </w:p>
    <w:p w14:paraId="142E7167" w14:textId="77777777" w:rsidR="001B623A" w:rsidRPr="00481354" w:rsidRDefault="001B623A" w:rsidP="00D63C04">
      <w:pPr>
        <w:pStyle w:val="Zkladntext"/>
        <w:widowControl/>
      </w:pPr>
    </w:p>
    <w:p w14:paraId="449A116C" w14:textId="2AABB098" w:rsidR="0081655D" w:rsidRPr="00481354" w:rsidRDefault="00683230" w:rsidP="002A1AB1">
      <w:pPr>
        <w:pStyle w:val="Num"/>
        <w:keepNext/>
        <w:widowControl/>
      </w:pPr>
      <w:r w:rsidRPr="00683230">
        <w:rPr>
          <w:shd w:val="clear" w:color="auto" w:fill="D9D9D9" w:themeFill="background1" w:themeFillShade="D9"/>
        </w:rPr>
        <w:t>4.</w:t>
      </w:r>
      <w:r>
        <w:tab/>
      </w:r>
      <w:r w:rsidRPr="00481354">
        <w:t>INDIKACE</w:t>
      </w:r>
    </w:p>
    <w:p w14:paraId="659B3758" w14:textId="77777777" w:rsidR="0081655D" w:rsidRPr="00481354" w:rsidRDefault="0081655D" w:rsidP="002A1AB1">
      <w:pPr>
        <w:pStyle w:val="Zkladntext"/>
        <w:keepNext/>
        <w:widowControl/>
        <w:rPr>
          <w:b/>
        </w:rPr>
      </w:pPr>
    </w:p>
    <w:p w14:paraId="0EA72661" w14:textId="77777777" w:rsidR="0081655D" w:rsidRPr="00481354" w:rsidRDefault="00105B17" w:rsidP="002A1AB1">
      <w:pPr>
        <w:pStyle w:val="Zkladntext"/>
        <w:keepNext/>
        <w:widowControl/>
      </w:pPr>
      <w:r w:rsidRPr="00481354">
        <w:rPr>
          <w:u w:val="single"/>
        </w:rPr>
        <w:t>Skot:</w:t>
      </w:r>
    </w:p>
    <w:p w14:paraId="3D7810EF" w14:textId="77777777" w:rsidR="0081655D" w:rsidRPr="00481354" w:rsidRDefault="00105B17" w:rsidP="002A1AB1">
      <w:pPr>
        <w:pStyle w:val="Zkladntext"/>
        <w:keepNext/>
        <w:widowControl/>
      </w:pPr>
      <w:r w:rsidRPr="00481354">
        <w:t>K léčbě akutních respiratorních infekcí u skotu v kombinaci s příslušnou terapií antibiotiky ke zmírnění klinických příznaků.</w:t>
      </w:r>
    </w:p>
    <w:p w14:paraId="422E756B" w14:textId="7F1F211C" w:rsidR="0081655D" w:rsidRPr="00481354" w:rsidRDefault="00105B17" w:rsidP="00D63C04">
      <w:pPr>
        <w:pStyle w:val="Zkladntext"/>
        <w:widowControl/>
      </w:pPr>
      <w:r w:rsidRPr="00481354">
        <w:t xml:space="preserve">K léčbě </w:t>
      </w:r>
      <w:r w:rsidR="00D86032">
        <w:t>průjmového onemocnění</w:t>
      </w:r>
      <w:r w:rsidR="00D86032" w:rsidRPr="00481354">
        <w:t xml:space="preserve"> </w:t>
      </w:r>
      <w:r w:rsidRPr="00481354">
        <w:t xml:space="preserve">u telat starších jednoho týdne a u mladého, </w:t>
      </w:r>
      <w:proofErr w:type="spellStart"/>
      <w:r w:rsidRPr="00481354">
        <w:t>nelaktujícího</w:t>
      </w:r>
      <w:proofErr w:type="spellEnd"/>
      <w:r w:rsidRPr="00481354">
        <w:t xml:space="preserve"> skotu, v kombinaci s perorální rehydratační terapií ke zmírnění klinických příznaků.</w:t>
      </w:r>
    </w:p>
    <w:p w14:paraId="428709EF" w14:textId="77777777" w:rsidR="00D86032" w:rsidRDefault="00105B17" w:rsidP="00D63C04">
      <w:pPr>
        <w:pStyle w:val="Zkladntext"/>
        <w:widowControl/>
      </w:pPr>
      <w:r w:rsidRPr="00481354">
        <w:t xml:space="preserve">K podpůrné léčbě akutní mastitidy v kombinaci s terapií antibiotiky. </w:t>
      </w:r>
    </w:p>
    <w:p w14:paraId="0B5B667C" w14:textId="497FAFC6" w:rsidR="0081655D" w:rsidRPr="00481354" w:rsidRDefault="00105B17" w:rsidP="00D63C04">
      <w:pPr>
        <w:pStyle w:val="Zkladntext"/>
        <w:widowControl/>
      </w:pPr>
      <w:r w:rsidRPr="00481354">
        <w:t xml:space="preserve">Na úlevu pooperačních bolestí následujících po </w:t>
      </w:r>
      <w:proofErr w:type="spellStart"/>
      <w:r w:rsidRPr="00481354">
        <w:t>odrohování</w:t>
      </w:r>
      <w:proofErr w:type="spellEnd"/>
      <w:r w:rsidRPr="00481354">
        <w:t xml:space="preserve"> telat.</w:t>
      </w:r>
    </w:p>
    <w:p w14:paraId="4C776A01" w14:textId="77777777" w:rsidR="0081655D" w:rsidRPr="00481354" w:rsidRDefault="0081655D" w:rsidP="00D63C04">
      <w:pPr>
        <w:pStyle w:val="Zkladntext"/>
        <w:widowControl/>
      </w:pPr>
    </w:p>
    <w:p w14:paraId="1C2A82BB" w14:textId="77777777" w:rsidR="0081655D" w:rsidRPr="00481354" w:rsidRDefault="00105B17" w:rsidP="00915505">
      <w:pPr>
        <w:pStyle w:val="Zkladntext"/>
        <w:keepNext/>
        <w:widowControl/>
      </w:pPr>
      <w:r w:rsidRPr="00481354">
        <w:rPr>
          <w:u w:val="single"/>
        </w:rPr>
        <w:lastRenderedPageBreak/>
        <w:t>Prasata:</w:t>
      </w:r>
    </w:p>
    <w:p w14:paraId="25E5F5A9" w14:textId="77777777" w:rsidR="0081655D" w:rsidRPr="00481354" w:rsidRDefault="00105B17" w:rsidP="00D63C04">
      <w:pPr>
        <w:pStyle w:val="Zkladntext"/>
        <w:widowControl/>
      </w:pPr>
      <w:r w:rsidRPr="00481354">
        <w:t>K léčbě neinfekčních poruch pohybového aparátu ke zmírnění příznaků kulhání a zánětu. K podpůrné léčbě puerperální septikémie a toxémie (syndrom mastitis-metritis-agalakcie), s příslušnou terapií antibiotiky.</w:t>
      </w:r>
    </w:p>
    <w:p w14:paraId="020E10F1" w14:textId="77777777" w:rsidR="0081655D" w:rsidRPr="00481354" w:rsidRDefault="0081655D" w:rsidP="00D63C04">
      <w:pPr>
        <w:pStyle w:val="Zkladntext"/>
        <w:widowControl/>
      </w:pPr>
    </w:p>
    <w:p w14:paraId="70AC9808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>Koně:</w:t>
      </w:r>
    </w:p>
    <w:p w14:paraId="28516ABD" w14:textId="77777777" w:rsidR="0081655D" w:rsidRPr="00481354" w:rsidRDefault="00105B17" w:rsidP="00D63C04">
      <w:pPr>
        <w:pStyle w:val="Zkladntext"/>
        <w:widowControl/>
      </w:pPr>
      <w:r w:rsidRPr="00481354">
        <w:t xml:space="preserve">Použití k tlumení zánětu a zmírnění bolesti při akutních a chronických onemocněních </w:t>
      </w:r>
      <w:proofErr w:type="spellStart"/>
      <w:r w:rsidRPr="00481354">
        <w:t>muskuloskeletálního</w:t>
      </w:r>
      <w:proofErr w:type="spellEnd"/>
      <w:r w:rsidRPr="00481354">
        <w:t xml:space="preserve"> aparátu.</w:t>
      </w:r>
    </w:p>
    <w:p w14:paraId="56789A91" w14:textId="77777777" w:rsidR="0081655D" w:rsidRPr="00481354" w:rsidRDefault="00105B17" w:rsidP="00D63C04">
      <w:pPr>
        <w:pStyle w:val="Zkladntext"/>
        <w:widowControl/>
      </w:pPr>
      <w:r w:rsidRPr="00481354">
        <w:t>K zmírnění bolesti způsobené kolikou u koní.</w:t>
      </w:r>
    </w:p>
    <w:p w14:paraId="37F6822E" w14:textId="54C13AE8" w:rsidR="00481354" w:rsidRDefault="00481354" w:rsidP="00D63C04">
      <w:pPr>
        <w:widowControl/>
      </w:pPr>
    </w:p>
    <w:p w14:paraId="13FDC2DB" w14:textId="77777777" w:rsidR="001B623A" w:rsidRPr="00481354" w:rsidRDefault="001B623A" w:rsidP="00D63C04">
      <w:pPr>
        <w:widowControl/>
      </w:pPr>
    </w:p>
    <w:p w14:paraId="6FC00874" w14:textId="207DD62D" w:rsidR="0081655D" w:rsidRPr="00481354" w:rsidRDefault="00683230" w:rsidP="002A1AB1">
      <w:pPr>
        <w:pStyle w:val="Num"/>
        <w:widowControl/>
        <w:ind w:left="539" w:hanging="539"/>
      </w:pPr>
      <w:r w:rsidRPr="00683230">
        <w:rPr>
          <w:shd w:val="clear" w:color="auto" w:fill="D9D9D9" w:themeFill="background1" w:themeFillShade="D9"/>
        </w:rPr>
        <w:t>5.</w:t>
      </w:r>
      <w:r>
        <w:tab/>
      </w:r>
      <w:r w:rsidRPr="00481354">
        <w:t>KONTRAINDIKACE</w:t>
      </w:r>
    </w:p>
    <w:p w14:paraId="35114E3D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0C028FA" w14:textId="7DF94447" w:rsidR="00E156B8" w:rsidRDefault="00E156B8" w:rsidP="00D63C04">
      <w:pPr>
        <w:pStyle w:val="Zkladntext"/>
        <w:widowControl/>
      </w:pPr>
      <w:r>
        <w:t xml:space="preserve">Viz také část „Zvláštní </w:t>
      </w:r>
      <w:r w:rsidR="00D86032">
        <w:t xml:space="preserve">upozornění </w:t>
      </w:r>
      <w:r w:rsidRPr="00915505">
        <w:t xml:space="preserve">– </w:t>
      </w:r>
      <w:r w:rsidR="00D86032" w:rsidRPr="00915505">
        <w:t>Březost</w:t>
      </w:r>
      <w:r w:rsidRPr="00915505">
        <w:t>“</w:t>
      </w:r>
    </w:p>
    <w:p w14:paraId="73F35CFD" w14:textId="25F69BB5" w:rsidR="0081655D" w:rsidRPr="00481354" w:rsidRDefault="00105B17" w:rsidP="00D63C04">
      <w:pPr>
        <w:pStyle w:val="Zkladntext"/>
        <w:widowControl/>
      </w:pPr>
      <w:r w:rsidRPr="00481354">
        <w:t>Nepoužívat u koní mladších 6 týdnů.</w:t>
      </w:r>
    </w:p>
    <w:p w14:paraId="5A434627" w14:textId="222DECC3" w:rsidR="0081655D" w:rsidRPr="00481354" w:rsidRDefault="0081655D" w:rsidP="00D63C04">
      <w:pPr>
        <w:pStyle w:val="Zkladntext"/>
        <w:widowControl/>
      </w:pPr>
    </w:p>
    <w:p w14:paraId="61E723E7" w14:textId="5EBD4111" w:rsidR="0081655D" w:rsidRPr="00481354" w:rsidRDefault="00105B17" w:rsidP="00D63C04">
      <w:pPr>
        <w:pStyle w:val="Zkladntext"/>
        <w:widowControl/>
      </w:pPr>
      <w:r w:rsidRPr="00481354">
        <w:t xml:space="preserve">Nepoužívat u zvířat s narušenou funkcí jater, srdce nebo ledvin a s onemocněním s krvácením nebo s prokázanými ulcerogenními gastrointestinálními </w:t>
      </w:r>
      <w:r w:rsidR="00D86032">
        <w:t>změnami</w:t>
      </w:r>
      <w:r w:rsidRPr="00481354">
        <w:t>.</w:t>
      </w:r>
    </w:p>
    <w:p w14:paraId="7AE4B01E" w14:textId="77777777" w:rsidR="00D86032" w:rsidRDefault="00105B17" w:rsidP="00D63C04">
      <w:pPr>
        <w:pStyle w:val="Zkladntext"/>
        <w:widowControl/>
      </w:pPr>
      <w:r w:rsidRPr="00481354">
        <w:t>Nepoužívat v případech přecitlivělosti na léčivou látku nebo na některou z pomocných látek.</w:t>
      </w:r>
    </w:p>
    <w:p w14:paraId="7B5937AC" w14:textId="548F346A" w:rsidR="0081655D" w:rsidRPr="00481354" w:rsidRDefault="00105B17" w:rsidP="00D63C04">
      <w:pPr>
        <w:pStyle w:val="Zkladntext"/>
        <w:widowControl/>
      </w:pPr>
      <w:r w:rsidRPr="00481354">
        <w:t xml:space="preserve">K léčbě </w:t>
      </w:r>
      <w:r w:rsidR="00D86032">
        <w:t>průjmového onemocnění</w:t>
      </w:r>
      <w:r w:rsidR="00D86032" w:rsidRPr="00481354">
        <w:t xml:space="preserve"> </w:t>
      </w:r>
      <w:r w:rsidRPr="00481354">
        <w:t>u skotu nepoužívat u zvířat mladších než jeden týden.</w:t>
      </w:r>
    </w:p>
    <w:p w14:paraId="28B9AAC3" w14:textId="77777777" w:rsidR="0081655D" w:rsidRPr="00481354" w:rsidRDefault="0081655D" w:rsidP="00D63C04">
      <w:pPr>
        <w:pStyle w:val="Zkladntext"/>
        <w:widowControl/>
      </w:pPr>
    </w:p>
    <w:p w14:paraId="75D8B641" w14:textId="77777777" w:rsidR="0081655D" w:rsidRPr="00481354" w:rsidRDefault="0081655D" w:rsidP="00D63C04">
      <w:pPr>
        <w:pStyle w:val="Zkladntext"/>
        <w:widowControl/>
      </w:pPr>
    </w:p>
    <w:p w14:paraId="15D4DD64" w14:textId="2E1333E9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6.</w:t>
      </w:r>
      <w:r>
        <w:tab/>
      </w:r>
      <w:r w:rsidRPr="00481354">
        <w:t>NEŽÁDOUCÍ ÚČINKY</w:t>
      </w:r>
    </w:p>
    <w:p w14:paraId="223E0FE2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41F420AD" w14:textId="6A0A4295" w:rsidR="0081655D" w:rsidRPr="00481354" w:rsidRDefault="00105B17" w:rsidP="00D63C04">
      <w:pPr>
        <w:pStyle w:val="Zkladntext"/>
        <w:widowControl/>
      </w:pPr>
      <w:r w:rsidRPr="00481354">
        <w:t xml:space="preserve">V klinických studiích u skotu byl pozorován u méně než </w:t>
      </w:r>
      <w:r w:rsidR="00C16D14" w:rsidRPr="00481354">
        <w:t>10 %</w:t>
      </w:r>
      <w:r w:rsidRPr="00481354">
        <w:t xml:space="preserve"> zvířat pouze slabý přechodný otok v místě </w:t>
      </w:r>
      <w:r w:rsidR="003A3040" w:rsidRPr="00481354">
        <w:t>subkután</w:t>
      </w:r>
      <w:r w:rsidR="003A3040">
        <w:t>ního</w:t>
      </w:r>
      <w:r w:rsidRPr="00481354">
        <w:t xml:space="preserve"> podání.</w:t>
      </w:r>
    </w:p>
    <w:p w14:paraId="4D9662F1" w14:textId="77777777" w:rsidR="0081655D" w:rsidRPr="00481354" w:rsidRDefault="0081655D" w:rsidP="00D63C04">
      <w:pPr>
        <w:pStyle w:val="Zkladntext"/>
        <w:widowControl/>
      </w:pPr>
    </w:p>
    <w:p w14:paraId="1D5E8614" w14:textId="641A39B8" w:rsidR="0081655D" w:rsidRPr="00481354" w:rsidRDefault="00105B17" w:rsidP="00D63C04">
      <w:pPr>
        <w:pStyle w:val="Zkladntext"/>
        <w:widowControl/>
      </w:pPr>
      <w:r w:rsidRPr="00481354">
        <w:t xml:space="preserve">U koní byl v klinických studiích v ojedinělých případech pozorován v místě </w:t>
      </w:r>
      <w:r w:rsidR="003A3040">
        <w:t xml:space="preserve">injekčního </w:t>
      </w:r>
      <w:r w:rsidRPr="00481354">
        <w:t>podání přechodný otok, který spontánně vymizel.</w:t>
      </w:r>
    </w:p>
    <w:p w14:paraId="4E4A6E87" w14:textId="77777777" w:rsidR="0081655D" w:rsidRPr="00481354" w:rsidRDefault="0081655D" w:rsidP="00D63C04">
      <w:pPr>
        <w:pStyle w:val="Zkladntext"/>
        <w:widowControl/>
      </w:pPr>
    </w:p>
    <w:p w14:paraId="187F12E7" w14:textId="77777777" w:rsidR="0081655D" w:rsidRPr="00481354" w:rsidRDefault="00105B17" w:rsidP="00D63C04">
      <w:pPr>
        <w:pStyle w:val="Zkladntext"/>
        <w:widowControl/>
      </w:pPr>
      <w:r w:rsidRPr="00481354">
        <w:t xml:space="preserve">V rámci sledování bezpečnosti po uvedení přípravku na trh byly velmi vzácně pozorovány </w:t>
      </w:r>
      <w:proofErr w:type="spellStart"/>
      <w:r w:rsidRPr="00481354">
        <w:t>anafylaktoidní</w:t>
      </w:r>
      <w:proofErr w:type="spellEnd"/>
      <w:r w:rsidRPr="00481354">
        <w:t xml:space="preserve"> reakce, které mohou být vážné (i fatální), a je třeba je léčit symptomaticky.</w:t>
      </w:r>
    </w:p>
    <w:p w14:paraId="5E04E3EF" w14:textId="77777777" w:rsidR="0081655D" w:rsidRPr="00481354" w:rsidRDefault="0081655D" w:rsidP="00D63C04">
      <w:pPr>
        <w:pStyle w:val="Zkladntext"/>
        <w:widowControl/>
      </w:pPr>
    </w:p>
    <w:p w14:paraId="7CA9349E" w14:textId="77777777" w:rsidR="0081655D" w:rsidRPr="00481354" w:rsidRDefault="00105B17" w:rsidP="00D63C04">
      <w:pPr>
        <w:pStyle w:val="Zkladntext"/>
        <w:widowControl/>
      </w:pPr>
      <w:r w:rsidRPr="00481354">
        <w:t>Četnost nežádoucích účinků je charakterizována podle následujících pravidel:</w:t>
      </w:r>
    </w:p>
    <w:p w14:paraId="025487B7" w14:textId="77777777" w:rsidR="0081655D" w:rsidRPr="00481354" w:rsidRDefault="00105B17" w:rsidP="00D63C04">
      <w:pPr>
        <w:pStyle w:val="Odstavecseseznamem"/>
        <w:widowControl/>
        <w:numPr>
          <w:ilvl w:val="0"/>
          <w:numId w:val="1"/>
        </w:numPr>
        <w:tabs>
          <w:tab w:val="left" w:pos="347"/>
        </w:tabs>
        <w:ind w:left="0" w:firstLine="0"/>
      </w:pPr>
      <w:r w:rsidRPr="00481354">
        <w:t>velmi časté (nežádoucí účinky se projevily u více než 1 z 10 ošetřených zvířat)</w:t>
      </w:r>
    </w:p>
    <w:p w14:paraId="7FE723C2" w14:textId="77777777" w:rsidR="0081655D" w:rsidRPr="00481354" w:rsidRDefault="00105B17" w:rsidP="00D63C04">
      <w:pPr>
        <w:pStyle w:val="Odstavecseseznamem"/>
        <w:widowControl/>
        <w:numPr>
          <w:ilvl w:val="0"/>
          <w:numId w:val="1"/>
        </w:numPr>
        <w:tabs>
          <w:tab w:val="left" w:pos="347"/>
        </w:tabs>
        <w:ind w:left="0" w:firstLine="0"/>
      </w:pPr>
      <w:r w:rsidRPr="00481354">
        <w:t>časté (u více než 1, ale méně než 10 ze 100 ošetřených zvířat)</w:t>
      </w:r>
    </w:p>
    <w:p w14:paraId="6153D717" w14:textId="77777777" w:rsidR="0081655D" w:rsidRPr="00481354" w:rsidRDefault="00105B17" w:rsidP="00D63C04">
      <w:pPr>
        <w:pStyle w:val="Odstavecseseznamem"/>
        <w:widowControl/>
        <w:numPr>
          <w:ilvl w:val="0"/>
          <w:numId w:val="1"/>
        </w:numPr>
        <w:tabs>
          <w:tab w:val="left" w:pos="347"/>
        </w:tabs>
        <w:ind w:left="0" w:firstLine="0"/>
      </w:pPr>
      <w:r w:rsidRPr="00481354">
        <w:t>neobvyklé (u více než 1, ale méně než 10 z 1000 ošetřených zvířat)</w:t>
      </w:r>
    </w:p>
    <w:p w14:paraId="686F89CF" w14:textId="77777777" w:rsidR="0081655D" w:rsidRPr="00481354" w:rsidRDefault="00105B17" w:rsidP="00D63C04">
      <w:pPr>
        <w:pStyle w:val="Odstavecseseznamem"/>
        <w:widowControl/>
        <w:numPr>
          <w:ilvl w:val="0"/>
          <w:numId w:val="1"/>
        </w:numPr>
        <w:tabs>
          <w:tab w:val="left" w:pos="347"/>
        </w:tabs>
        <w:ind w:left="0" w:firstLine="0"/>
      </w:pPr>
      <w:r w:rsidRPr="00481354">
        <w:t>vzácné (u více než 1, ale méně než 10 z 10 000 ošetřených zvířat)</w:t>
      </w:r>
    </w:p>
    <w:p w14:paraId="1A06BF17" w14:textId="77777777" w:rsidR="0081655D" w:rsidRPr="00481354" w:rsidRDefault="00105B17" w:rsidP="00D63C04">
      <w:pPr>
        <w:pStyle w:val="Odstavecseseznamem"/>
        <w:widowControl/>
        <w:numPr>
          <w:ilvl w:val="0"/>
          <w:numId w:val="1"/>
        </w:numPr>
        <w:tabs>
          <w:tab w:val="left" w:pos="347"/>
        </w:tabs>
        <w:ind w:left="0" w:firstLine="0"/>
      </w:pPr>
      <w:r w:rsidRPr="00481354">
        <w:t>velmi vzácné (u méně než 1 z 10 000 ošetřených zvířat, včetně ojedinělých hlášení).</w:t>
      </w:r>
    </w:p>
    <w:p w14:paraId="0FDD969F" w14:textId="77777777" w:rsidR="0081655D" w:rsidRPr="00481354" w:rsidRDefault="0081655D" w:rsidP="00D63C04">
      <w:pPr>
        <w:pStyle w:val="Zkladntext"/>
        <w:widowControl/>
      </w:pPr>
    </w:p>
    <w:p w14:paraId="42E80D41" w14:textId="15E70113" w:rsidR="0081655D" w:rsidRPr="00481354" w:rsidRDefault="00105B17" w:rsidP="00D63C04">
      <w:pPr>
        <w:pStyle w:val="Zkladntext"/>
        <w:widowControl/>
      </w:pPr>
      <w:r w:rsidRPr="00481354">
        <w:t xml:space="preserve">Jestliže zaznamenáte </w:t>
      </w:r>
      <w:r w:rsidR="00FF5345">
        <w:t>jakékoliv</w:t>
      </w:r>
      <w:r w:rsidRPr="00481354">
        <w:t xml:space="preserve"> nežádoucí účink</w:t>
      </w:r>
      <w:r w:rsidR="00FF5345">
        <w:t>y</w:t>
      </w:r>
      <w:r w:rsidRPr="00481354">
        <w:t xml:space="preserve">, a to i takové, které nejsou uvedeny v této příbalové informaci, nebo si myslíte, že </w:t>
      </w:r>
      <w:r w:rsidR="00FF5345">
        <w:t>léčivý přípravek</w:t>
      </w:r>
      <w:r w:rsidR="00FF5345" w:rsidRPr="00481354">
        <w:t xml:space="preserve"> </w:t>
      </w:r>
      <w:r w:rsidR="00FF5345">
        <w:t>není účinný</w:t>
      </w:r>
      <w:r w:rsidRPr="00481354">
        <w:t xml:space="preserve">, oznamte to, prosím, </w:t>
      </w:r>
      <w:r w:rsidR="00FF5345">
        <w:t>vašemu</w:t>
      </w:r>
      <w:r w:rsidR="00FF5345" w:rsidRPr="00481354">
        <w:t xml:space="preserve"> </w:t>
      </w:r>
      <w:r w:rsidRPr="00481354">
        <w:t>veterinárnímu lékaři.</w:t>
      </w:r>
    </w:p>
    <w:p w14:paraId="69464402" w14:textId="3EBC7C59" w:rsidR="001308AA" w:rsidRDefault="00E156B8" w:rsidP="001308AA">
      <w:r>
        <w:t xml:space="preserve">Můžete také hlásit prostřednictvím </w:t>
      </w:r>
      <w:r w:rsidR="00FF5345">
        <w:t>celostátního</w:t>
      </w:r>
      <w:r w:rsidR="00FF5345" w:rsidRPr="00332D1D">
        <w:t xml:space="preserve"> </w:t>
      </w:r>
      <w:r>
        <w:t>systému hlášení nežádoucích účinků</w:t>
      </w:r>
      <w:r w:rsidR="001308AA">
        <w:t>,</w:t>
      </w:r>
      <w:r>
        <w:t xml:space="preserve"> </w:t>
      </w:r>
      <w:r w:rsidR="001308AA">
        <w:t>a to prostřednictvím formuláře na webových stránkách ÚSKVBL elektronicky</w:t>
      </w:r>
      <w:r w:rsidR="00876B94">
        <w:t>,</w:t>
      </w:r>
      <w:r w:rsidR="001308AA">
        <w:t xml:space="preserve"> nebo také přímo na adresu: Ústav pro státní kontrolu veterinárních biopreparátů a léčiv, Hudcova </w:t>
      </w:r>
      <w:proofErr w:type="gramStart"/>
      <w:r w:rsidR="001308AA">
        <w:t>56a</w:t>
      </w:r>
      <w:proofErr w:type="gramEnd"/>
      <w:r w:rsidR="001308AA">
        <w:t xml:space="preserve">, 621 00 Brno, </w:t>
      </w:r>
    </w:p>
    <w:p w14:paraId="2ADDB0F5" w14:textId="77777777" w:rsidR="001308AA" w:rsidRDefault="001308AA" w:rsidP="001308AA">
      <w:r>
        <w:t xml:space="preserve">Mail: </w:t>
      </w:r>
      <w:hyperlink r:id="rId7" w:history="1">
        <w:r>
          <w:rPr>
            <w:rStyle w:val="Hypertextovodkaz"/>
          </w:rPr>
          <w:t>adr@uskvbl.cz</w:t>
        </w:r>
      </w:hyperlink>
      <w:r>
        <w:t xml:space="preserve">. </w:t>
      </w:r>
    </w:p>
    <w:p w14:paraId="722612C4" w14:textId="47ABF4DE" w:rsidR="001308AA" w:rsidRDefault="001308AA" w:rsidP="001308AA">
      <w:r>
        <w:t xml:space="preserve">Webové stránky: </w:t>
      </w:r>
      <w:hyperlink r:id="rId8" w:history="1">
        <w:r>
          <w:rPr>
            <w:rStyle w:val="Hypertextovodkaz"/>
          </w:rPr>
          <w:t>http://www.uskvbl.cz/cs/farmakovigilance</w:t>
        </w:r>
      </w:hyperlink>
    </w:p>
    <w:p w14:paraId="39AAEBE1" w14:textId="77777777" w:rsidR="001308AA" w:rsidRDefault="001308AA" w:rsidP="001308AA"/>
    <w:p w14:paraId="5ACFF511" w14:textId="3D657B71" w:rsidR="0081655D" w:rsidRDefault="0081655D" w:rsidP="00D63C04">
      <w:pPr>
        <w:pStyle w:val="Zkladntext"/>
        <w:widowControl/>
      </w:pPr>
    </w:p>
    <w:p w14:paraId="793D7B69" w14:textId="77777777" w:rsidR="00810253" w:rsidRPr="00481354" w:rsidRDefault="00810253" w:rsidP="00D63C04">
      <w:pPr>
        <w:pStyle w:val="Zkladntext"/>
        <w:widowControl/>
      </w:pPr>
    </w:p>
    <w:p w14:paraId="76F9837C" w14:textId="48FE6EBE" w:rsidR="0081655D" w:rsidRPr="00481354" w:rsidRDefault="001B623A" w:rsidP="002A1AB1">
      <w:pPr>
        <w:pStyle w:val="Num"/>
        <w:keepNext/>
        <w:widowControl/>
      </w:pPr>
      <w:r w:rsidRPr="001B623A">
        <w:rPr>
          <w:shd w:val="clear" w:color="auto" w:fill="D9D9D9" w:themeFill="background1" w:themeFillShade="D9"/>
        </w:rPr>
        <w:t>7.</w:t>
      </w:r>
      <w:r>
        <w:tab/>
      </w:r>
      <w:r w:rsidRPr="00481354">
        <w:t>CÍLOVÝ DRUH ZVÍŘAT</w:t>
      </w:r>
    </w:p>
    <w:p w14:paraId="5D3624FB" w14:textId="77777777" w:rsidR="0081655D" w:rsidRPr="00481354" w:rsidRDefault="0081655D" w:rsidP="002A1AB1">
      <w:pPr>
        <w:pStyle w:val="Zkladntext"/>
        <w:keepNext/>
        <w:widowControl/>
        <w:rPr>
          <w:b/>
        </w:rPr>
      </w:pPr>
    </w:p>
    <w:p w14:paraId="0135919F" w14:textId="77777777" w:rsidR="0081655D" w:rsidRPr="00481354" w:rsidRDefault="00105B17" w:rsidP="00D63C04">
      <w:pPr>
        <w:pStyle w:val="Zkladntext"/>
        <w:widowControl/>
      </w:pPr>
      <w:r w:rsidRPr="00481354">
        <w:t>Skot, prasata a koně.</w:t>
      </w:r>
    </w:p>
    <w:p w14:paraId="7F202B78" w14:textId="77777777" w:rsidR="0081655D" w:rsidRPr="00481354" w:rsidRDefault="0081655D" w:rsidP="00D63C04">
      <w:pPr>
        <w:pStyle w:val="Zkladntext"/>
        <w:widowControl/>
      </w:pPr>
    </w:p>
    <w:p w14:paraId="103088F8" w14:textId="77777777" w:rsidR="0081655D" w:rsidRPr="00481354" w:rsidRDefault="0081655D" w:rsidP="00D63C04">
      <w:pPr>
        <w:pStyle w:val="Zkladntext"/>
        <w:widowControl/>
      </w:pPr>
    </w:p>
    <w:p w14:paraId="3103402D" w14:textId="4C2289B3" w:rsidR="0081655D" w:rsidRPr="00481354" w:rsidRDefault="001B623A" w:rsidP="00915505">
      <w:pPr>
        <w:pStyle w:val="Num"/>
        <w:keepNext/>
        <w:widowControl/>
      </w:pPr>
      <w:r w:rsidRPr="001B623A">
        <w:rPr>
          <w:shd w:val="clear" w:color="auto" w:fill="D9D9D9" w:themeFill="background1" w:themeFillShade="D9"/>
        </w:rPr>
        <w:lastRenderedPageBreak/>
        <w:t>8.</w:t>
      </w:r>
      <w:r>
        <w:tab/>
      </w:r>
      <w:r w:rsidRPr="00481354">
        <w:t>DÁVKOVÁNÍ PRO KAŽDÝ DRUH, CESTA(Y) A ZPŮSOB PODÁNÍ</w:t>
      </w:r>
    </w:p>
    <w:p w14:paraId="64C1CD05" w14:textId="77777777" w:rsidR="0081655D" w:rsidRPr="00481354" w:rsidRDefault="0081655D" w:rsidP="00915505">
      <w:pPr>
        <w:pStyle w:val="Zkladntext"/>
        <w:keepNext/>
        <w:widowControl/>
        <w:rPr>
          <w:b/>
        </w:rPr>
      </w:pPr>
    </w:p>
    <w:p w14:paraId="79E32E60" w14:textId="77777777" w:rsidR="0081655D" w:rsidRPr="00481354" w:rsidRDefault="00105B17" w:rsidP="00915505">
      <w:pPr>
        <w:pStyle w:val="Zkladntext"/>
        <w:keepNext/>
        <w:widowControl/>
      </w:pPr>
      <w:r w:rsidRPr="00481354">
        <w:rPr>
          <w:u w:val="single"/>
        </w:rPr>
        <w:t>Skot:</w:t>
      </w:r>
    </w:p>
    <w:p w14:paraId="43014653" w14:textId="0680385E" w:rsidR="0081655D" w:rsidRPr="00481354" w:rsidRDefault="008A1585" w:rsidP="00D63C04">
      <w:pPr>
        <w:pStyle w:val="Zkladntext"/>
        <w:widowControl/>
      </w:pPr>
      <w:r w:rsidRPr="00481354">
        <w:t>Jednorázov</w:t>
      </w:r>
      <w:r>
        <w:t>é</w:t>
      </w:r>
      <w:r w:rsidRPr="00481354">
        <w:t xml:space="preserve"> </w:t>
      </w:r>
      <w:r>
        <w:t>subkutánní</w:t>
      </w:r>
      <w:r w:rsidRPr="00481354">
        <w:t xml:space="preserve"> nebo intravenózní </w:t>
      </w:r>
      <w:r>
        <w:t>podání</w:t>
      </w:r>
      <w:r w:rsidRPr="00481354">
        <w:t xml:space="preserve"> </w:t>
      </w:r>
      <w:r w:rsidR="00105B17" w:rsidRPr="00481354">
        <w:t xml:space="preserve">v dávce 0,5 mg </w:t>
      </w:r>
      <w:proofErr w:type="spellStart"/>
      <w:r w:rsidR="00105B17" w:rsidRPr="00481354">
        <w:t>meloxikamu</w:t>
      </w:r>
      <w:proofErr w:type="spellEnd"/>
      <w:r w:rsidR="00105B17" w:rsidRPr="00481354">
        <w:t>/kg živé hmotnosti (tj.</w:t>
      </w:r>
      <w:r w:rsidR="001B623A">
        <w:t> </w:t>
      </w:r>
      <w:r w:rsidR="00105B17" w:rsidRPr="00481354">
        <w:t>2,5 ml na 100 kg živé hmotnosti), podle potřeby v kombinaci s léčbou antibiotiky nebo</w:t>
      </w:r>
      <w:r w:rsidR="001B623A">
        <w:t xml:space="preserve"> </w:t>
      </w:r>
      <w:r w:rsidR="00105B17" w:rsidRPr="00481354">
        <w:t>s</w:t>
      </w:r>
      <w:r w:rsidR="001B623A">
        <w:t> </w:t>
      </w:r>
      <w:r w:rsidR="00105B17" w:rsidRPr="00481354">
        <w:t>odpovídající perorální rehydratační terapií.</w:t>
      </w:r>
    </w:p>
    <w:p w14:paraId="22F3C3E8" w14:textId="77777777" w:rsidR="0081655D" w:rsidRPr="00481354" w:rsidRDefault="0081655D" w:rsidP="00D63C04">
      <w:pPr>
        <w:pStyle w:val="Zkladntext"/>
        <w:widowControl/>
      </w:pPr>
    </w:p>
    <w:p w14:paraId="7CAF6861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>Prasata:</w:t>
      </w:r>
    </w:p>
    <w:p w14:paraId="70444DEB" w14:textId="79580D31" w:rsidR="0081655D" w:rsidRPr="00481354" w:rsidRDefault="008A1585" w:rsidP="00D63C04">
      <w:pPr>
        <w:pStyle w:val="Zkladntext"/>
        <w:widowControl/>
      </w:pPr>
      <w:r w:rsidRPr="00481354">
        <w:t>Jednorázov</w:t>
      </w:r>
      <w:r>
        <w:t>é</w:t>
      </w:r>
      <w:r w:rsidRPr="00481354">
        <w:t xml:space="preserve"> intramuskulární </w:t>
      </w:r>
      <w:r>
        <w:t>podání</w:t>
      </w:r>
      <w:r w:rsidRPr="00481354">
        <w:t xml:space="preserve"> </w:t>
      </w:r>
      <w:r w:rsidR="00105B17" w:rsidRPr="00481354">
        <w:t xml:space="preserve">v dávce 0,4 mg </w:t>
      </w:r>
      <w:proofErr w:type="spellStart"/>
      <w:r w:rsidR="00105B17" w:rsidRPr="00481354">
        <w:t>meloxikamu</w:t>
      </w:r>
      <w:proofErr w:type="spellEnd"/>
      <w:r w:rsidR="00105B17" w:rsidRPr="00481354">
        <w:t>/kg živé hmotnosti (tj. 2,0 ml na 100</w:t>
      </w:r>
      <w:r w:rsidR="001B623A">
        <w:t> </w:t>
      </w:r>
      <w:r w:rsidR="00105B17" w:rsidRPr="00481354">
        <w:t xml:space="preserve">kg živé hmotnosti), podle potřeby v kombinaci s příslušnou léčbou antibiotiky. Je-li to zapotřebí, lze za 24 hodin aplikovat druhou dávku </w:t>
      </w:r>
      <w:proofErr w:type="spellStart"/>
      <w:r w:rsidR="00105B17" w:rsidRPr="00481354">
        <w:t>meloxikamu</w:t>
      </w:r>
      <w:proofErr w:type="spellEnd"/>
      <w:r w:rsidR="00105B17" w:rsidRPr="00481354">
        <w:t>.</w:t>
      </w:r>
    </w:p>
    <w:p w14:paraId="076E13CE" w14:textId="77777777" w:rsidR="0081655D" w:rsidRPr="00481354" w:rsidRDefault="0081655D" w:rsidP="00D63C04">
      <w:pPr>
        <w:pStyle w:val="Zkladntext"/>
        <w:widowControl/>
      </w:pPr>
    </w:p>
    <w:p w14:paraId="24FA7AD0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>Koně:</w:t>
      </w:r>
    </w:p>
    <w:p w14:paraId="7DA54089" w14:textId="41FF0337" w:rsidR="008A1585" w:rsidRPr="00481354" w:rsidRDefault="008A1585" w:rsidP="008A1585">
      <w:pPr>
        <w:pStyle w:val="Zkladntext"/>
        <w:widowControl/>
      </w:pPr>
      <w:r w:rsidRPr="00481354">
        <w:t>Jednorázov</w:t>
      </w:r>
      <w:r>
        <w:t>é</w:t>
      </w:r>
      <w:r w:rsidRPr="00481354">
        <w:t xml:space="preserve"> intravenózní </w:t>
      </w:r>
      <w:r>
        <w:t>podání</w:t>
      </w:r>
      <w:r w:rsidRPr="00481354">
        <w:t xml:space="preserve"> v dávce 0,6 mg </w:t>
      </w:r>
      <w:proofErr w:type="spellStart"/>
      <w:r w:rsidRPr="00481354">
        <w:t>meloxikamu</w:t>
      </w:r>
      <w:proofErr w:type="spellEnd"/>
      <w:r w:rsidRPr="00481354">
        <w:t>/kg živé hmotnosti (tj. 3</w:t>
      </w:r>
      <w:r w:rsidR="003A3040">
        <w:t>,0</w:t>
      </w:r>
      <w:r w:rsidRPr="00481354">
        <w:t xml:space="preserve"> ml na 100 kg živé hmotnosti).</w:t>
      </w:r>
    </w:p>
    <w:p w14:paraId="16B8D663" w14:textId="603E82B2" w:rsidR="003A3040" w:rsidRDefault="003A3040" w:rsidP="003A3040">
      <w:pPr>
        <w:pStyle w:val="Zkladntext"/>
        <w:widowControl/>
      </w:pPr>
      <w:r>
        <w:t xml:space="preserve">K zmírnění zánětu a bolesti při akutním a chronickém onemocnění </w:t>
      </w:r>
      <w:proofErr w:type="spellStart"/>
      <w:r>
        <w:t>muskuloskeletálního</w:t>
      </w:r>
      <w:proofErr w:type="spellEnd"/>
      <w:r>
        <w:t xml:space="preserve"> aparátu může být vhodná perorální terapie obsahující </w:t>
      </w:r>
      <w:proofErr w:type="spellStart"/>
      <w:r>
        <w:t>meloxi</w:t>
      </w:r>
      <w:r w:rsidR="004C63BC">
        <w:t>k</w:t>
      </w:r>
      <w:r>
        <w:t>am</w:t>
      </w:r>
      <w:proofErr w:type="spellEnd"/>
      <w:r>
        <w:t xml:space="preserve"> podaná v souladu s doporučením v příbalové informaci použitá pro kontinuální léčbu 24 hodin po injekčním podání.</w:t>
      </w:r>
    </w:p>
    <w:p w14:paraId="55FF3D7F" w14:textId="77777777" w:rsidR="008A1585" w:rsidRPr="00481354" w:rsidRDefault="008A1585" w:rsidP="008A1585">
      <w:pPr>
        <w:pStyle w:val="Zkladntext"/>
        <w:widowControl/>
      </w:pPr>
    </w:p>
    <w:p w14:paraId="76CE7549" w14:textId="77777777" w:rsidR="002A1AB1" w:rsidRPr="00481354" w:rsidRDefault="002A1AB1" w:rsidP="00D63C04">
      <w:pPr>
        <w:pStyle w:val="Zkladntext"/>
        <w:widowControl/>
      </w:pPr>
      <w:bookmarkStart w:id="0" w:name="_GoBack"/>
      <w:bookmarkEnd w:id="0"/>
    </w:p>
    <w:p w14:paraId="06ECFF26" w14:textId="77777777" w:rsidR="00481354" w:rsidRPr="00481354" w:rsidRDefault="00481354" w:rsidP="00D63C04">
      <w:pPr>
        <w:widowControl/>
      </w:pPr>
    </w:p>
    <w:p w14:paraId="76B23E31" w14:textId="4851A8CE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9.</w:t>
      </w:r>
      <w:r>
        <w:tab/>
      </w:r>
      <w:r w:rsidRPr="00481354">
        <w:t>POKYNY PRO SPRÁVNÉ PODÁNÍ</w:t>
      </w:r>
    </w:p>
    <w:p w14:paraId="2F08E44C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32B1340" w14:textId="57E9FDB8" w:rsidR="0081655D" w:rsidRPr="00481354" w:rsidRDefault="00105B17" w:rsidP="00D63C04">
      <w:pPr>
        <w:pStyle w:val="Zkladntext"/>
        <w:widowControl/>
      </w:pPr>
      <w:r w:rsidRPr="00481354">
        <w:t>V průběhu použití zabraňte kontaminaci.</w:t>
      </w:r>
      <w:r w:rsidR="00E156B8">
        <w:br/>
      </w:r>
      <w:r w:rsidR="00C54BDE">
        <w:t>Nepropichujte z</w:t>
      </w:r>
      <w:r w:rsidR="00E156B8">
        <w:t>átku více než 50krát</w:t>
      </w:r>
      <w:r w:rsidR="008A18E3">
        <w:t>.</w:t>
      </w:r>
    </w:p>
    <w:p w14:paraId="268E3759" w14:textId="77777777" w:rsidR="0081655D" w:rsidRPr="00481354" w:rsidRDefault="0081655D" w:rsidP="00D63C04">
      <w:pPr>
        <w:pStyle w:val="Zkladntext"/>
        <w:widowControl/>
      </w:pPr>
    </w:p>
    <w:p w14:paraId="38EE148C" w14:textId="77777777" w:rsidR="0081655D" w:rsidRPr="00481354" w:rsidRDefault="0081655D" w:rsidP="00D63C04">
      <w:pPr>
        <w:pStyle w:val="Zkladntext"/>
        <w:widowControl/>
      </w:pPr>
    </w:p>
    <w:p w14:paraId="209706B8" w14:textId="6605AD50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10.</w:t>
      </w:r>
      <w:r>
        <w:tab/>
      </w:r>
      <w:r w:rsidRPr="00481354">
        <w:t>OCHRANNÁ(É) LHŮTA(Y)</w:t>
      </w:r>
    </w:p>
    <w:p w14:paraId="5CE97BBC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43CD2A9" w14:textId="56E0CC6E" w:rsidR="0081655D" w:rsidRPr="00481354" w:rsidRDefault="00105B17" w:rsidP="00D63C04">
      <w:pPr>
        <w:pStyle w:val="Zkladntext"/>
        <w:widowControl/>
        <w:tabs>
          <w:tab w:val="left" w:pos="1440"/>
        </w:tabs>
      </w:pPr>
      <w:r w:rsidRPr="00481354">
        <w:rPr>
          <w:u w:val="single"/>
        </w:rPr>
        <w:t>Skot:</w:t>
      </w:r>
      <w:r w:rsidRPr="00481354">
        <w:tab/>
        <w:t xml:space="preserve">maso: 15 dní, mléko: </w:t>
      </w:r>
      <w:r w:rsidR="00E156B8">
        <w:t>120 hodin</w:t>
      </w:r>
    </w:p>
    <w:p w14:paraId="2C6A5E6F" w14:textId="77777777" w:rsidR="0081655D" w:rsidRPr="00481354" w:rsidRDefault="00105B17" w:rsidP="00D63C04">
      <w:pPr>
        <w:pStyle w:val="Zkladntext"/>
        <w:widowControl/>
        <w:tabs>
          <w:tab w:val="left" w:pos="1440"/>
        </w:tabs>
      </w:pPr>
      <w:r w:rsidRPr="00481354">
        <w:rPr>
          <w:u w:val="single"/>
        </w:rPr>
        <w:t>Prasata:</w:t>
      </w:r>
      <w:r w:rsidRPr="00481354">
        <w:tab/>
        <w:t>maso: 5 dní.</w:t>
      </w:r>
    </w:p>
    <w:p w14:paraId="07B59548" w14:textId="77777777" w:rsidR="0081655D" w:rsidRPr="00481354" w:rsidRDefault="00105B17" w:rsidP="00D63C04">
      <w:pPr>
        <w:pStyle w:val="Zkladntext"/>
        <w:widowControl/>
        <w:tabs>
          <w:tab w:val="left" w:pos="1440"/>
        </w:tabs>
      </w:pPr>
      <w:r w:rsidRPr="00481354">
        <w:rPr>
          <w:u w:val="single"/>
        </w:rPr>
        <w:t>Koně:</w:t>
      </w:r>
      <w:r w:rsidRPr="00481354">
        <w:tab/>
        <w:t>maso: 5 dní.</w:t>
      </w:r>
    </w:p>
    <w:p w14:paraId="5C2C8D2C" w14:textId="77777777" w:rsidR="0081655D" w:rsidRPr="00481354" w:rsidRDefault="00105B17" w:rsidP="00D63C04">
      <w:pPr>
        <w:pStyle w:val="Zkladntext"/>
        <w:widowControl/>
      </w:pPr>
      <w:r w:rsidRPr="00481354">
        <w:t>Nepoužívat u koní, jejichž mléko je určeno pro lidskou spotřebu.</w:t>
      </w:r>
    </w:p>
    <w:p w14:paraId="3430BCA8" w14:textId="77777777" w:rsidR="0081655D" w:rsidRPr="00481354" w:rsidRDefault="0081655D" w:rsidP="00D63C04">
      <w:pPr>
        <w:pStyle w:val="Zkladntext"/>
        <w:widowControl/>
      </w:pPr>
    </w:p>
    <w:p w14:paraId="4CC2538B" w14:textId="77777777" w:rsidR="0081655D" w:rsidRPr="00481354" w:rsidRDefault="0081655D" w:rsidP="00D63C04">
      <w:pPr>
        <w:pStyle w:val="Zkladntext"/>
        <w:widowControl/>
      </w:pPr>
    </w:p>
    <w:p w14:paraId="560BE585" w14:textId="0DD1A28F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11.</w:t>
      </w:r>
      <w:r>
        <w:tab/>
      </w:r>
      <w:r w:rsidRPr="00481354">
        <w:t>ZVLÁŠTNÍ OPATŘENÍ PRO UCHOVÁVÁNÍ</w:t>
      </w:r>
    </w:p>
    <w:p w14:paraId="2170F9FB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632E3C9" w14:textId="77777777" w:rsidR="0081655D" w:rsidRPr="00481354" w:rsidRDefault="00105B17" w:rsidP="00D63C04">
      <w:pPr>
        <w:pStyle w:val="Zkladntext"/>
        <w:widowControl/>
      </w:pPr>
      <w:r w:rsidRPr="00481354">
        <w:t>Uchovávat mimo dohled a dosah dětí.</w:t>
      </w:r>
    </w:p>
    <w:p w14:paraId="0876FBC1" w14:textId="46B75E4D" w:rsidR="00453082" w:rsidRDefault="00105B17" w:rsidP="00D63C04">
      <w:pPr>
        <w:pStyle w:val="Zkladntext"/>
        <w:widowControl/>
      </w:pPr>
      <w:r w:rsidRPr="00481354">
        <w:t xml:space="preserve">Tento veterinární léčivý přípravek nevyžaduje žádné zvláštní podmínky uchovávání. </w:t>
      </w:r>
    </w:p>
    <w:p w14:paraId="69594213" w14:textId="329B3CC4" w:rsidR="0081655D" w:rsidRPr="00481354" w:rsidRDefault="00105B17" w:rsidP="00D63C04">
      <w:pPr>
        <w:pStyle w:val="Zkladntext"/>
        <w:widowControl/>
      </w:pPr>
      <w:r w:rsidRPr="00481354">
        <w:t>Doba použitelnosti po prvním otevření vnitřního obalu: 28 dní.</w:t>
      </w:r>
    </w:p>
    <w:p w14:paraId="2048CB9D" w14:textId="6D14F9EE" w:rsidR="0081655D" w:rsidRPr="00481354" w:rsidRDefault="00105B17" w:rsidP="00D63C04">
      <w:pPr>
        <w:pStyle w:val="Zkladntext"/>
        <w:widowControl/>
      </w:pPr>
      <w:r w:rsidRPr="00481354">
        <w:t>Nepoužívejte tento veterinární léčivý přípravek po uplynutí doby použitelnosti uvedené na krabičce a injekční lahvičce po EXP.</w:t>
      </w:r>
      <w:r w:rsidR="00E156B8">
        <w:t xml:space="preserve"> Doba použitelnosti končí posledním dnem v uvedeném měsíci.</w:t>
      </w:r>
    </w:p>
    <w:p w14:paraId="23B8116A" w14:textId="77777777" w:rsidR="0081655D" w:rsidRPr="00481354" w:rsidRDefault="0081655D" w:rsidP="00D63C04">
      <w:pPr>
        <w:pStyle w:val="Zkladntext"/>
        <w:widowControl/>
      </w:pPr>
    </w:p>
    <w:p w14:paraId="6780DF01" w14:textId="77777777" w:rsidR="0081655D" w:rsidRPr="00481354" w:rsidRDefault="0081655D" w:rsidP="00D63C04">
      <w:pPr>
        <w:pStyle w:val="Zkladntext"/>
        <w:widowControl/>
      </w:pPr>
    </w:p>
    <w:p w14:paraId="55F81EDA" w14:textId="49C79EFA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12.</w:t>
      </w:r>
      <w:r>
        <w:tab/>
      </w:r>
      <w:r w:rsidRPr="00481354">
        <w:t>ZVLÁŠTNÍ UPOZORNĚNÍ</w:t>
      </w:r>
    </w:p>
    <w:p w14:paraId="2AC463D8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4B37165B" w14:textId="327EE0C6" w:rsidR="0081655D" w:rsidRPr="00481354" w:rsidRDefault="00105B17" w:rsidP="00D63C04">
      <w:pPr>
        <w:pStyle w:val="Zkladntext"/>
        <w:widowControl/>
      </w:pPr>
      <w:r w:rsidRPr="00481354">
        <w:t xml:space="preserve">Podání </w:t>
      </w:r>
      <w:r w:rsidR="00E156B8">
        <w:t xml:space="preserve">veterinárního léčivého </w:t>
      </w:r>
      <w:r w:rsidRPr="00481354">
        <w:t xml:space="preserve">přípravku telatům 20 minut před </w:t>
      </w:r>
      <w:proofErr w:type="spellStart"/>
      <w:r w:rsidRPr="00481354">
        <w:t>odrohováním</w:t>
      </w:r>
      <w:proofErr w:type="spellEnd"/>
      <w:r w:rsidRPr="00481354">
        <w:t xml:space="preserve"> mírní pooperační bolesti. Samotný </w:t>
      </w:r>
      <w:r w:rsidR="00E156B8">
        <w:t xml:space="preserve">veterinární léčivý </w:t>
      </w:r>
      <w:r w:rsidRPr="00481354">
        <w:t xml:space="preserve">přípravek neposkytne v průběhu procesu </w:t>
      </w:r>
      <w:proofErr w:type="spellStart"/>
      <w:r w:rsidRPr="00481354">
        <w:t>odrohování</w:t>
      </w:r>
      <w:proofErr w:type="spellEnd"/>
      <w:r w:rsidRPr="00481354">
        <w:t xml:space="preserve"> dostatečnou úlevu od bolesti. Pro dosažení adekvátní úlevy od bolesti během operace je zapotřebí souběžné medikace vhodnými analgetiky.</w:t>
      </w:r>
    </w:p>
    <w:p w14:paraId="1B618670" w14:textId="77777777" w:rsidR="0081655D" w:rsidRPr="00481354" w:rsidRDefault="0081655D" w:rsidP="00D63C04">
      <w:pPr>
        <w:pStyle w:val="Zkladntext"/>
        <w:widowControl/>
      </w:pPr>
    </w:p>
    <w:p w14:paraId="076F4750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>Zvláštní opatření pro použití u zvířat:</w:t>
      </w:r>
    </w:p>
    <w:p w14:paraId="530F8C9F" w14:textId="0F1B6B02" w:rsidR="0081655D" w:rsidRPr="00481354" w:rsidRDefault="00C7234A" w:rsidP="00D63C04">
      <w:pPr>
        <w:pStyle w:val="Zkladntext"/>
        <w:widowControl/>
      </w:pPr>
      <w:r w:rsidRPr="003A3EB6">
        <w:rPr>
          <w:rFonts w:eastAsia="TimesNewRomanPSMT"/>
        </w:rPr>
        <w:t>Pokud se vyskytnou nežádoucí účinky</w:t>
      </w:r>
      <w:r w:rsidR="00105B17" w:rsidRPr="00481354">
        <w:t xml:space="preserve">, je nutno léčbu přerušit a </w:t>
      </w:r>
      <w:r>
        <w:t>vyhledat pomoc</w:t>
      </w:r>
      <w:r w:rsidRPr="00481354">
        <w:t xml:space="preserve"> </w:t>
      </w:r>
      <w:r w:rsidR="00105B17" w:rsidRPr="00481354">
        <w:t>veterinární</w:t>
      </w:r>
      <w:r>
        <w:t xml:space="preserve">ho </w:t>
      </w:r>
      <w:r w:rsidR="00105B17" w:rsidRPr="00481354">
        <w:t>lékaře.</w:t>
      </w:r>
    </w:p>
    <w:p w14:paraId="16929152" w14:textId="77777777" w:rsidR="0081655D" w:rsidRPr="00481354" w:rsidRDefault="0081655D" w:rsidP="00D63C04">
      <w:pPr>
        <w:pStyle w:val="Zkladntext"/>
        <w:widowControl/>
      </w:pPr>
    </w:p>
    <w:p w14:paraId="0FDDBD4D" w14:textId="77777777" w:rsidR="0081655D" w:rsidRPr="00481354" w:rsidRDefault="00105B17" w:rsidP="00D63C04">
      <w:pPr>
        <w:pStyle w:val="Zkladntext"/>
        <w:widowControl/>
      </w:pPr>
      <w:r w:rsidRPr="00481354">
        <w:t xml:space="preserve">Nepoužívat k léčbě silně dehydratovaných, </w:t>
      </w:r>
      <w:proofErr w:type="spellStart"/>
      <w:r w:rsidRPr="00481354">
        <w:t>hypovolemických</w:t>
      </w:r>
      <w:proofErr w:type="spellEnd"/>
      <w:r w:rsidRPr="00481354">
        <w:t xml:space="preserve"> nebo hypotenzních zvířat, která vyžadují parenterální rehydrataci, protože je zde potenciální riziko renální toxicity.</w:t>
      </w:r>
    </w:p>
    <w:p w14:paraId="48B3E387" w14:textId="77777777" w:rsidR="0081655D" w:rsidRPr="00481354" w:rsidRDefault="00105B17" w:rsidP="00D63C04">
      <w:pPr>
        <w:pStyle w:val="Zkladntext"/>
        <w:widowControl/>
      </w:pPr>
      <w:r w:rsidRPr="00481354">
        <w:lastRenderedPageBreak/>
        <w:t>V případě nedostatečného zmírnění bolesti při léčbě koliky u koní by měla být pečlivě přehodnocena diagnóza a zvážen chirurgický zákrok.</w:t>
      </w:r>
    </w:p>
    <w:p w14:paraId="382C807E" w14:textId="77777777" w:rsidR="0081655D" w:rsidRPr="00481354" w:rsidRDefault="0081655D" w:rsidP="00D63C04">
      <w:pPr>
        <w:pStyle w:val="Zkladntext"/>
        <w:widowControl/>
      </w:pPr>
    </w:p>
    <w:p w14:paraId="1E4A426F" w14:textId="77777777" w:rsidR="0081655D" w:rsidRPr="00481354" w:rsidRDefault="00105B17" w:rsidP="00915505">
      <w:pPr>
        <w:pStyle w:val="Zkladntext"/>
        <w:keepNext/>
        <w:widowControl/>
      </w:pPr>
      <w:r w:rsidRPr="00481354">
        <w:rPr>
          <w:u w:val="single"/>
        </w:rPr>
        <w:t>Zvláštní opatření určené osobám, které podávají veterinární léčivý přípravek zvířatům:</w:t>
      </w:r>
    </w:p>
    <w:p w14:paraId="66569357" w14:textId="77777777" w:rsidR="007F6BBC" w:rsidRPr="00481354" w:rsidRDefault="00105B17" w:rsidP="00915505">
      <w:pPr>
        <w:pStyle w:val="Zkladntext"/>
        <w:widowControl/>
        <w:jc w:val="both"/>
      </w:pPr>
      <w:r w:rsidRPr="00481354">
        <w:t xml:space="preserve">Náhodné sebepoškození injekčně aplikovaným přípravkem může způsobit bolesti. </w:t>
      </w:r>
      <w:proofErr w:type="spellStart"/>
      <w:r w:rsidR="007F6BBC">
        <w:t>Meloxikam</w:t>
      </w:r>
      <w:proofErr w:type="spellEnd"/>
      <w:r w:rsidR="007F6BBC">
        <w:t xml:space="preserve"> a jiná nesteroidní antiflogistika (NSAID) mohou vyvolávat reakce z přecitlivělosti (alergické reakce).</w:t>
      </w:r>
    </w:p>
    <w:p w14:paraId="21E35BF1" w14:textId="225F572F" w:rsidR="0081655D" w:rsidRPr="00481354" w:rsidRDefault="00105B17" w:rsidP="00915505">
      <w:pPr>
        <w:pStyle w:val="Zkladntext"/>
        <w:widowControl/>
        <w:jc w:val="both"/>
      </w:pPr>
      <w:r w:rsidRPr="00481354">
        <w:t>Lidé se známou přecitlivělostí na nesteroidní protizánětlivé přípravky (NSAID) by se měli vyhnout kontaktu s</w:t>
      </w:r>
      <w:r w:rsidR="000F712A">
        <w:t> </w:t>
      </w:r>
      <w:r w:rsidRPr="00481354">
        <w:t>veterinárním léčivým přípravkem.</w:t>
      </w:r>
    </w:p>
    <w:p w14:paraId="2A4AE832" w14:textId="77777777" w:rsidR="0081655D" w:rsidRPr="00481354" w:rsidRDefault="00105B17" w:rsidP="00915505">
      <w:pPr>
        <w:pStyle w:val="Zkladntext"/>
        <w:widowControl/>
        <w:jc w:val="both"/>
      </w:pPr>
      <w:r w:rsidRPr="00481354">
        <w:t>V případě náhodného sebepoškození injekčně aplikovaným přípravkem vyhledejte ihned lékařskou pomoc a ukažte příbalovou informaci nebo etiketu praktickému lékaři.</w:t>
      </w:r>
    </w:p>
    <w:p w14:paraId="16BA901F" w14:textId="77777777" w:rsidR="0081655D" w:rsidRPr="00481354" w:rsidRDefault="00105B17" w:rsidP="00915505">
      <w:pPr>
        <w:pStyle w:val="Zkladntext"/>
        <w:widowControl/>
        <w:jc w:val="both"/>
      </w:pPr>
      <w:r w:rsidRPr="00481354">
        <w:t>Tento přípravek může způsobit podráždění očí. Při zasažení očí je ihned důkladně vypláchněte vodou.</w:t>
      </w:r>
    </w:p>
    <w:p w14:paraId="0E37B375" w14:textId="232C24A4" w:rsidR="0081655D" w:rsidRDefault="0081655D" w:rsidP="00915505">
      <w:pPr>
        <w:pStyle w:val="Zkladntext"/>
        <w:widowControl/>
        <w:jc w:val="both"/>
      </w:pPr>
    </w:p>
    <w:p w14:paraId="73945BE5" w14:textId="516AA211" w:rsidR="007F6BBC" w:rsidRPr="00481354" w:rsidRDefault="007F6BBC" w:rsidP="00915505">
      <w:pPr>
        <w:pStyle w:val="Zkladntext"/>
        <w:widowControl/>
        <w:jc w:val="both"/>
      </w:pPr>
      <w:r>
        <w:t xml:space="preserve">Vzhledem </w:t>
      </w:r>
      <w:r w:rsidR="003C5D85">
        <w:t>k</w:t>
      </w:r>
      <w:r>
        <w:t xml:space="preserve"> rizik</w:t>
      </w:r>
      <w:r w:rsidR="003C5D85">
        <w:t>u</w:t>
      </w:r>
      <w:r>
        <w:t xml:space="preserve"> náhodného </w:t>
      </w:r>
      <w:proofErr w:type="spellStart"/>
      <w:r>
        <w:t>samopodání</w:t>
      </w:r>
      <w:proofErr w:type="spellEnd"/>
      <w:r>
        <w:t xml:space="preserve"> a znám</w:t>
      </w:r>
      <w:r w:rsidR="003C5D85">
        <w:t>ým</w:t>
      </w:r>
      <w:r>
        <w:t xml:space="preserve"> nežádoucí</w:t>
      </w:r>
      <w:r w:rsidR="003C5D85">
        <w:t>m</w:t>
      </w:r>
      <w:r>
        <w:t xml:space="preserve"> účink</w:t>
      </w:r>
      <w:r w:rsidR="003C5D85">
        <w:t>ům</w:t>
      </w:r>
      <w:r>
        <w:t xml:space="preserve"> NSAID a jiných inhibitorů p</w:t>
      </w:r>
      <w:r w:rsidR="003C5D85">
        <w:t>r</w:t>
      </w:r>
      <w:r>
        <w:t xml:space="preserve">ostaglandinu na těhotenství a/nebo </w:t>
      </w:r>
      <w:proofErr w:type="spellStart"/>
      <w:r>
        <w:t>embryofetální</w:t>
      </w:r>
      <w:proofErr w:type="spellEnd"/>
      <w:r>
        <w:t xml:space="preserve"> vývoj by tento p</w:t>
      </w:r>
      <w:r w:rsidR="003C5D85">
        <w:t>řípravek</w:t>
      </w:r>
      <w:r>
        <w:t xml:space="preserve"> neměly podávat těhotné ženy </w:t>
      </w:r>
      <w:r w:rsidR="003C5D85">
        <w:t>ani</w:t>
      </w:r>
      <w:r>
        <w:t xml:space="preserve"> ženy pokoušející se počít.</w:t>
      </w:r>
    </w:p>
    <w:p w14:paraId="500E438C" w14:textId="77777777" w:rsidR="007F6BBC" w:rsidRPr="00481354" w:rsidRDefault="007F6BBC" w:rsidP="00D63C04">
      <w:pPr>
        <w:pStyle w:val="Zkladntext"/>
        <w:widowControl/>
      </w:pPr>
    </w:p>
    <w:p w14:paraId="09EC39D8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>Březost a laktace:</w:t>
      </w:r>
    </w:p>
    <w:p w14:paraId="4673B8A2" w14:textId="77777777" w:rsidR="0081655D" w:rsidRPr="00481354" w:rsidRDefault="00105B17" w:rsidP="00D63C04">
      <w:pPr>
        <w:pStyle w:val="Zkladntext"/>
        <w:widowControl/>
        <w:tabs>
          <w:tab w:val="left" w:pos="2160"/>
        </w:tabs>
      </w:pPr>
      <w:r w:rsidRPr="00481354">
        <w:rPr>
          <w:u w:val="single"/>
        </w:rPr>
        <w:t>Skot a prasata:</w:t>
      </w:r>
      <w:r w:rsidRPr="00481354">
        <w:tab/>
        <w:t>Lze použít během březosti a laktace.</w:t>
      </w:r>
    </w:p>
    <w:p w14:paraId="607EFC49" w14:textId="77777777" w:rsidR="0081655D" w:rsidRPr="00481354" w:rsidRDefault="00105B17" w:rsidP="00D63C04">
      <w:pPr>
        <w:pStyle w:val="Zkladntext"/>
        <w:widowControl/>
        <w:tabs>
          <w:tab w:val="left" w:pos="2160"/>
        </w:tabs>
      </w:pPr>
      <w:r w:rsidRPr="00481354">
        <w:rPr>
          <w:u w:val="single"/>
        </w:rPr>
        <w:t>Koně:</w:t>
      </w:r>
      <w:r w:rsidRPr="00481354">
        <w:tab/>
        <w:t>Nepoužívat u klisen během březosti a laktace.</w:t>
      </w:r>
    </w:p>
    <w:p w14:paraId="02A169C5" w14:textId="77777777" w:rsidR="0081655D" w:rsidRPr="00481354" w:rsidRDefault="0081655D" w:rsidP="00D63C04">
      <w:pPr>
        <w:pStyle w:val="Zkladntext"/>
        <w:widowControl/>
      </w:pPr>
    </w:p>
    <w:p w14:paraId="0563579A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>Interakce s dalšími léčivými přípravky a další formy interakce:</w:t>
      </w:r>
    </w:p>
    <w:p w14:paraId="4F2468CB" w14:textId="29E4DA42" w:rsidR="0081655D" w:rsidRPr="00481354" w:rsidRDefault="00876B94" w:rsidP="00D63C04">
      <w:pPr>
        <w:pStyle w:val="Zkladntext"/>
        <w:widowControl/>
      </w:pPr>
      <w:r>
        <w:t>Nepodávat</w:t>
      </w:r>
      <w:r w:rsidRPr="00481354">
        <w:t xml:space="preserve"> </w:t>
      </w:r>
      <w:r w:rsidR="00105B17" w:rsidRPr="00481354">
        <w:t xml:space="preserve">současně s </w:t>
      </w:r>
      <w:proofErr w:type="spellStart"/>
      <w:r w:rsidR="00105B17" w:rsidRPr="00481354">
        <w:t>glukokortikosteroidy</w:t>
      </w:r>
      <w:proofErr w:type="spellEnd"/>
      <w:r w:rsidR="00105B17" w:rsidRPr="00481354">
        <w:t>, s jinými nesteroidními protizánětlivými přípravky nebo s antikoagulačními látkami.</w:t>
      </w:r>
    </w:p>
    <w:p w14:paraId="42D506E8" w14:textId="77777777" w:rsidR="0081655D" w:rsidRPr="00481354" w:rsidRDefault="0081655D" w:rsidP="00D63C04">
      <w:pPr>
        <w:pStyle w:val="Zkladntext"/>
        <w:widowControl/>
      </w:pPr>
    </w:p>
    <w:p w14:paraId="0176D4AB" w14:textId="77777777" w:rsidR="0081655D" w:rsidRPr="00481354" w:rsidRDefault="00105B17" w:rsidP="00D63C04">
      <w:pPr>
        <w:pStyle w:val="Zkladntext"/>
        <w:widowControl/>
      </w:pPr>
      <w:r w:rsidRPr="00481354">
        <w:rPr>
          <w:u w:val="single"/>
        </w:rPr>
        <w:t xml:space="preserve">Předávkování (symptomy, první pomoc, </w:t>
      </w:r>
      <w:proofErr w:type="spellStart"/>
      <w:r w:rsidRPr="00481354">
        <w:rPr>
          <w:u w:val="single"/>
        </w:rPr>
        <w:t>antidota</w:t>
      </w:r>
      <w:proofErr w:type="spellEnd"/>
      <w:r w:rsidRPr="00481354">
        <w:rPr>
          <w:u w:val="single"/>
        </w:rPr>
        <w:t>):</w:t>
      </w:r>
    </w:p>
    <w:p w14:paraId="46C94431" w14:textId="77777777" w:rsidR="0081655D" w:rsidRPr="00481354" w:rsidRDefault="00105B17" w:rsidP="00D63C04">
      <w:pPr>
        <w:pStyle w:val="Zkladntext"/>
        <w:widowControl/>
      </w:pPr>
      <w:r w:rsidRPr="00481354">
        <w:t>V případě předávkování je nutné zahájit symptomatickou léčbu.</w:t>
      </w:r>
    </w:p>
    <w:p w14:paraId="1EF59FD8" w14:textId="2BBDFFF9" w:rsidR="00481354" w:rsidRDefault="00481354" w:rsidP="00D63C04">
      <w:pPr>
        <w:widowControl/>
      </w:pPr>
    </w:p>
    <w:p w14:paraId="3311C641" w14:textId="77777777" w:rsidR="002A1AB1" w:rsidRPr="00481354" w:rsidRDefault="002A1AB1" w:rsidP="00D63C04">
      <w:pPr>
        <w:widowControl/>
      </w:pPr>
    </w:p>
    <w:p w14:paraId="568032C9" w14:textId="009A34E5" w:rsidR="0081655D" w:rsidRPr="00481354" w:rsidRDefault="001B623A" w:rsidP="002A1AB1">
      <w:pPr>
        <w:pStyle w:val="Num"/>
        <w:widowControl/>
        <w:ind w:left="539" w:hanging="539"/>
      </w:pPr>
      <w:r w:rsidRPr="001B623A">
        <w:rPr>
          <w:shd w:val="clear" w:color="auto" w:fill="D9D9D9" w:themeFill="background1" w:themeFillShade="D9"/>
        </w:rPr>
        <w:t>13.</w:t>
      </w:r>
      <w:r>
        <w:tab/>
      </w:r>
      <w:r w:rsidRPr="00481354">
        <w:t>ZVLÁŠTNÍ OPATŘENÍ PRO ZNEŠKODŇOVÁNÍ NEPOUŽITÝCH PŘÍPRAVKŮ NEBO ODPADU, POKUD JE JICH TŘEBA</w:t>
      </w:r>
    </w:p>
    <w:p w14:paraId="0F29214A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CB63EC1" w14:textId="77777777" w:rsidR="00810253" w:rsidRDefault="00105B17" w:rsidP="00D63C04">
      <w:pPr>
        <w:pStyle w:val="Zkladntext"/>
        <w:widowControl/>
      </w:pPr>
      <w:r w:rsidRPr="00481354">
        <w:t>Léčivé přípravky se nesmí likvidovat prostřednictvím odpadní vody</w:t>
      </w:r>
      <w:r w:rsidR="002A1AB1">
        <w:t xml:space="preserve"> </w:t>
      </w:r>
      <w:r w:rsidR="00810253">
        <w:t xml:space="preserve">či domovního odpadu. </w:t>
      </w:r>
    </w:p>
    <w:p w14:paraId="5E3AA7E7" w14:textId="5B2099B9" w:rsidR="0081655D" w:rsidRPr="00481354" w:rsidRDefault="002A1AB1" w:rsidP="00D63C04">
      <w:pPr>
        <w:pStyle w:val="Zkladntext"/>
        <w:widowControl/>
      </w:pPr>
      <w:r w:rsidRPr="00481354">
        <w:t>Všechen nepoužitý veterinární léčivý přípravek nebo odpad, který pochází z tohoto přípravku, musí být likvidován podle místních právních předpisů.</w:t>
      </w:r>
    </w:p>
    <w:p w14:paraId="0B4835A4" w14:textId="46921ED8" w:rsidR="0081655D" w:rsidRDefault="0081655D" w:rsidP="00D63C04">
      <w:pPr>
        <w:pStyle w:val="Zkladntext"/>
        <w:widowControl/>
      </w:pPr>
    </w:p>
    <w:p w14:paraId="6EB62F2A" w14:textId="77777777" w:rsidR="00810253" w:rsidRPr="00481354" w:rsidRDefault="00810253" w:rsidP="00D63C04">
      <w:pPr>
        <w:pStyle w:val="Zkladntext"/>
        <w:widowControl/>
      </w:pPr>
    </w:p>
    <w:p w14:paraId="6C3E9D8E" w14:textId="7714DA2F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14.</w:t>
      </w:r>
      <w:r>
        <w:tab/>
      </w:r>
      <w:r w:rsidRPr="00481354">
        <w:t>DATUM POSLEDNÍ REVIZE PŘÍBALOVÉ INFORMACE</w:t>
      </w:r>
    </w:p>
    <w:p w14:paraId="392F4DA4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4BCB9DF0" w14:textId="1CB5A4CC" w:rsidR="0081655D" w:rsidRDefault="00C602F5" w:rsidP="00D63C04">
      <w:pPr>
        <w:pStyle w:val="Zkladntext"/>
        <w:widowControl/>
      </w:pPr>
      <w:r>
        <w:t>Prosinec</w:t>
      </w:r>
      <w:r w:rsidR="00876B94">
        <w:t xml:space="preserve"> 2022</w:t>
      </w:r>
    </w:p>
    <w:p w14:paraId="6E3D6C12" w14:textId="77777777" w:rsidR="00C602F5" w:rsidRPr="00481354" w:rsidRDefault="00C602F5" w:rsidP="00D63C04">
      <w:pPr>
        <w:pStyle w:val="Zkladntext"/>
        <w:widowControl/>
      </w:pPr>
    </w:p>
    <w:p w14:paraId="5D76E0EB" w14:textId="77777777" w:rsidR="0081655D" w:rsidRPr="00481354" w:rsidRDefault="0081655D" w:rsidP="00D63C04">
      <w:pPr>
        <w:pStyle w:val="Zkladntext"/>
        <w:widowControl/>
      </w:pPr>
    </w:p>
    <w:p w14:paraId="349F8451" w14:textId="16AE017D" w:rsidR="0081655D" w:rsidRPr="00481354" w:rsidRDefault="001B623A" w:rsidP="00D63C04">
      <w:pPr>
        <w:pStyle w:val="Num"/>
        <w:widowControl/>
      </w:pPr>
      <w:r w:rsidRPr="001B623A">
        <w:rPr>
          <w:shd w:val="clear" w:color="auto" w:fill="D9D9D9" w:themeFill="background1" w:themeFillShade="D9"/>
        </w:rPr>
        <w:t>15.</w:t>
      </w:r>
      <w:r>
        <w:tab/>
      </w:r>
      <w:r w:rsidRPr="00481354">
        <w:t>DALŠÍ INFORMACE</w:t>
      </w:r>
    </w:p>
    <w:p w14:paraId="66A3F54F" w14:textId="77777777" w:rsidR="0081655D" w:rsidRPr="00481354" w:rsidRDefault="0081655D" w:rsidP="00D63C04">
      <w:pPr>
        <w:pStyle w:val="Zkladntext"/>
        <w:widowControl/>
        <w:rPr>
          <w:b/>
        </w:rPr>
      </w:pPr>
    </w:p>
    <w:p w14:paraId="06FC8D86" w14:textId="77777777" w:rsidR="0001622C" w:rsidRDefault="0001622C" w:rsidP="0001622C">
      <w:r>
        <w:t>Pouze pro zvířata.</w:t>
      </w:r>
    </w:p>
    <w:p w14:paraId="77206C6D" w14:textId="31EC78A0" w:rsidR="0001622C" w:rsidRDefault="0001622C" w:rsidP="0001622C">
      <w:r>
        <w:t>Veterinární léčivý přípravek je vydáván pouze na předpis.</w:t>
      </w:r>
    </w:p>
    <w:p w14:paraId="57DC62AC" w14:textId="77777777" w:rsidR="0001622C" w:rsidRDefault="0001622C" w:rsidP="0001622C"/>
    <w:p w14:paraId="37C76038" w14:textId="73C98650" w:rsidR="007F6BBC" w:rsidRDefault="007F6BBC" w:rsidP="00D63C04">
      <w:pPr>
        <w:pStyle w:val="Zkladntext"/>
        <w:widowControl/>
      </w:pPr>
      <w:r>
        <w:t xml:space="preserve">Bezbarvá skleněná (typ I) injekční lahvička uzavřená </w:t>
      </w:r>
      <w:proofErr w:type="spellStart"/>
      <w:r>
        <w:t>brombutylovou</w:t>
      </w:r>
      <w:proofErr w:type="spellEnd"/>
      <w:r>
        <w:t xml:space="preserve"> pryžovou zátkou a opatřen</w:t>
      </w:r>
      <w:r w:rsidR="003C5D85">
        <w:t>á</w:t>
      </w:r>
      <w:r>
        <w:t xml:space="preserve"> </w:t>
      </w:r>
      <w:r w:rsidR="00453082">
        <w:t xml:space="preserve">hliníkovým </w:t>
      </w:r>
      <w:proofErr w:type="spellStart"/>
      <w:r>
        <w:t>pertl</w:t>
      </w:r>
      <w:r w:rsidR="00453082">
        <w:t>em</w:t>
      </w:r>
      <w:proofErr w:type="spellEnd"/>
      <w:r>
        <w:t>.</w:t>
      </w:r>
      <w:r>
        <w:br/>
      </w:r>
      <w:r w:rsidR="00453082">
        <w:t>Papírová krabička</w:t>
      </w:r>
      <w:r>
        <w:t xml:space="preserve"> </w:t>
      </w:r>
      <w:r w:rsidR="00453082">
        <w:t xml:space="preserve">s </w:t>
      </w:r>
      <w:r>
        <w:t>1 lahvičk</w:t>
      </w:r>
      <w:r w:rsidR="00453082">
        <w:t>o</w:t>
      </w:r>
      <w:r>
        <w:t>u</w:t>
      </w:r>
      <w:r w:rsidR="00453082">
        <w:t xml:space="preserve"> o obsahu</w:t>
      </w:r>
      <w:r>
        <w:t xml:space="preserve"> 50 ml.</w:t>
      </w:r>
      <w:r>
        <w:br/>
      </w:r>
      <w:r w:rsidR="00453082">
        <w:t>Papírová krabička</w:t>
      </w:r>
      <w:r>
        <w:t xml:space="preserve"> </w:t>
      </w:r>
      <w:r w:rsidR="00453082">
        <w:t xml:space="preserve">s </w:t>
      </w:r>
      <w:r>
        <w:t>1 lahvičk</w:t>
      </w:r>
      <w:r w:rsidR="00453082">
        <w:t>o</w:t>
      </w:r>
      <w:r>
        <w:t>u</w:t>
      </w:r>
      <w:r w:rsidR="00453082">
        <w:t xml:space="preserve"> o obsahu</w:t>
      </w:r>
      <w:r>
        <w:t xml:space="preserve"> 100 ml.</w:t>
      </w:r>
      <w:r>
        <w:br/>
      </w:r>
      <w:r w:rsidR="00453082">
        <w:t>Papírová krabička</w:t>
      </w:r>
      <w:r>
        <w:t xml:space="preserve"> </w:t>
      </w:r>
      <w:r w:rsidR="00453082">
        <w:t xml:space="preserve">s </w:t>
      </w:r>
      <w:r>
        <w:t>1 lahvičk</w:t>
      </w:r>
      <w:r w:rsidR="00453082">
        <w:t>o</w:t>
      </w:r>
      <w:r>
        <w:t>u</w:t>
      </w:r>
      <w:r w:rsidR="00453082">
        <w:t xml:space="preserve"> o obsahu</w:t>
      </w:r>
      <w:r>
        <w:t xml:space="preserve"> 250 ml.</w:t>
      </w:r>
    </w:p>
    <w:p w14:paraId="0E42855D" w14:textId="23D43942" w:rsidR="0081655D" w:rsidRDefault="00105B17" w:rsidP="00D63C04">
      <w:pPr>
        <w:pStyle w:val="Zkladntext"/>
        <w:widowControl/>
      </w:pPr>
      <w:r w:rsidRPr="00481354">
        <w:t>Na trhu nemusí být všechny velikosti balení.</w:t>
      </w:r>
    </w:p>
    <w:p w14:paraId="3554E661" w14:textId="7597BB29" w:rsidR="007F6BBC" w:rsidRDefault="007F6BBC" w:rsidP="00D63C04">
      <w:pPr>
        <w:pStyle w:val="Zkladntext"/>
        <w:widowControl/>
      </w:pPr>
    </w:p>
    <w:p w14:paraId="58F4070F" w14:textId="6A1C5987" w:rsidR="007F6BBC" w:rsidRPr="00481354" w:rsidRDefault="007F6BBC" w:rsidP="00D63C04">
      <w:pPr>
        <w:pStyle w:val="Zkladntext"/>
        <w:widowControl/>
      </w:pPr>
      <w:r>
        <w:t>Pokud chcete získat informace o tomto veterinárním léčivém přípravku, kontaktujte prosím příslušného místního zástupce držitele rozhodnutí o registraci.</w:t>
      </w:r>
    </w:p>
    <w:sectPr w:rsidR="007F6BBC" w:rsidRPr="00481354" w:rsidSect="00481354">
      <w:headerReference w:type="default" r:id="rId9"/>
      <w:footerReference w:type="default" r:id="rId10"/>
      <w:pgSz w:w="11910" w:h="16840" w:code="9"/>
      <w:pgMar w:top="1152" w:right="1440" w:bottom="1152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1AAD9" w14:textId="77777777" w:rsidR="004A4B3B" w:rsidRDefault="004A4B3B">
      <w:r>
        <w:separator/>
      </w:r>
    </w:p>
  </w:endnote>
  <w:endnote w:type="continuationSeparator" w:id="0">
    <w:p w14:paraId="63B440A3" w14:textId="77777777" w:rsidR="004A4B3B" w:rsidRDefault="004A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7694F" w14:textId="4D4A6E5B" w:rsidR="0081655D" w:rsidRPr="000F712A" w:rsidRDefault="000F712A" w:rsidP="000F712A">
    <w:pPr>
      <w:spacing w:before="15"/>
      <w:ind w:left="60"/>
      <w:jc w:val="center"/>
      <w:rPr>
        <w:rFonts w:ascii="Arial"/>
        <w:sz w:val="16"/>
      </w:rPr>
    </w:pPr>
    <w:r>
      <w:rPr>
        <w:rFonts w:ascii="Arial"/>
        <w:spacing w:val="-5"/>
        <w:sz w:val="16"/>
      </w:rPr>
      <w:fldChar w:fldCharType="begin"/>
    </w:r>
    <w:r>
      <w:rPr>
        <w:rFonts w:ascii="Arial"/>
        <w:spacing w:val="-5"/>
        <w:sz w:val="16"/>
      </w:rPr>
      <w:instrText xml:space="preserve"> PAGE </w:instrText>
    </w:r>
    <w:r>
      <w:rPr>
        <w:rFonts w:ascii="Arial"/>
        <w:spacing w:val="-5"/>
        <w:sz w:val="16"/>
      </w:rPr>
      <w:fldChar w:fldCharType="separate"/>
    </w:r>
    <w:r>
      <w:rPr>
        <w:rFonts w:ascii="Arial"/>
        <w:spacing w:val="-5"/>
        <w:sz w:val="16"/>
      </w:rPr>
      <w:t>18</w:t>
    </w:r>
    <w:r>
      <w:rPr>
        <w:rFonts w:ascii="Arial"/>
        <w:spacing w:val="-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0BA0" w14:textId="77777777" w:rsidR="004A4B3B" w:rsidRDefault="004A4B3B">
      <w:r>
        <w:separator/>
      </w:r>
    </w:p>
  </w:footnote>
  <w:footnote w:type="continuationSeparator" w:id="0">
    <w:p w14:paraId="69EF7CCC" w14:textId="77777777" w:rsidR="004A4B3B" w:rsidRDefault="004A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3266" w14:textId="405E3CFC" w:rsidR="000F712A" w:rsidRDefault="000F712A">
    <w:pPr>
      <w:pStyle w:val="Zhlav"/>
    </w:pPr>
  </w:p>
  <w:p w14:paraId="7A566EC7" w14:textId="60E4C353" w:rsidR="00804728" w:rsidRDefault="008047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84B"/>
    <w:multiLevelType w:val="hybridMultilevel"/>
    <w:tmpl w:val="9DE857BA"/>
    <w:lvl w:ilvl="0" w:tplc="FBCAFD24">
      <w:numFmt w:val="bullet"/>
      <w:lvlText w:val="-"/>
      <w:lvlJc w:val="left"/>
      <w:pPr>
        <w:ind w:left="3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8806904">
      <w:numFmt w:val="bullet"/>
      <w:lvlText w:val="•"/>
      <w:lvlJc w:val="left"/>
      <w:pPr>
        <w:ind w:left="1268" w:hanging="128"/>
      </w:pPr>
      <w:rPr>
        <w:rFonts w:hint="default"/>
        <w:lang w:val="cs-CZ" w:eastAsia="en-US" w:bidi="ar-SA"/>
      </w:rPr>
    </w:lvl>
    <w:lvl w:ilvl="2" w:tplc="4AB681DA">
      <w:numFmt w:val="bullet"/>
      <w:lvlText w:val="•"/>
      <w:lvlJc w:val="left"/>
      <w:pPr>
        <w:ind w:left="2197" w:hanging="128"/>
      </w:pPr>
      <w:rPr>
        <w:rFonts w:hint="default"/>
        <w:lang w:val="cs-CZ" w:eastAsia="en-US" w:bidi="ar-SA"/>
      </w:rPr>
    </w:lvl>
    <w:lvl w:ilvl="3" w:tplc="041AA4DC">
      <w:numFmt w:val="bullet"/>
      <w:lvlText w:val="•"/>
      <w:lvlJc w:val="left"/>
      <w:pPr>
        <w:ind w:left="3125" w:hanging="128"/>
      </w:pPr>
      <w:rPr>
        <w:rFonts w:hint="default"/>
        <w:lang w:val="cs-CZ" w:eastAsia="en-US" w:bidi="ar-SA"/>
      </w:rPr>
    </w:lvl>
    <w:lvl w:ilvl="4" w:tplc="34588598">
      <w:numFmt w:val="bullet"/>
      <w:lvlText w:val="•"/>
      <w:lvlJc w:val="left"/>
      <w:pPr>
        <w:ind w:left="4054" w:hanging="128"/>
      </w:pPr>
      <w:rPr>
        <w:rFonts w:hint="default"/>
        <w:lang w:val="cs-CZ" w:eastAsia="en-US" w:bidi="ar-SA"/>
      </w:rPr>
    </w:lvl>
    <w:lvl w:ilvl="5" w:tplc="87CC0036">
      <w:numFmt w:val="bullet"/>
      <w:lvlText w:val="•"/>
      <w:lvlJc w:val="left"/>
      <w:pPr>
        <w:ind w:left="4983" w:hanging="128"/>
      </w:pPr>
      <w:rPr>
        <w:rFonts w:hint="default"/>
        <w:lang w:val="cs-CZ" w:eastAsia="en-US" w:bidi="ar-SA"/>
      </w:rPr>
    </w:lvl>
    <w:lvl w:ilvl="6" w:tplc="5D4A5B60">
      <w:numFmt w:val="bullet"/>
      <w:lvlText w:val="•"/>
      <w:lvlJc w:val="left"/>
      <w:pPr>
        <w:ind w:left="5911" w:hanging="128"/>
      </w:pPr>
      <w:rPr>
        <w:rFonts w:hint="default"/>
        <w:lang w:val="cs-CZ" w:eastAsia="en-US" w:bidi="ar-SA"/>
      </w:rPr>
    </w:lvl>
    <w:lvl w:ilvl="7" w:tplc="D9507316">
      <w:numFmt w:val="bullet"/>
      <w:lvlText w:val="•"/>
      <w:lvlJc w:val="left"/>
      <w:pPr>
        <w:ind w:left="6840" w:hanging="128"/>
      </w:pPr>
      <w:rPr>
        <w:rFonts w:hint="default"/>
        <w:lang w:val="cs-CZ" w:eastAsia="en-US" w:bidi="ar-SA"/>
      </w:rPr>
    </w:lvl>
    <w:lvl w:ilvl="8" w:tplc="863E861A">
      <w:numFmt w:val="bullet"/>
      <w:lvlText w:val="•"/>
      <w:lvlJc w:val="left"/>
      <w:pPr>
        <w:ind w:left="7769" w:hanging="128"/>
      </w:pPr>
      <w:rPr>
        <w:rFonts w:hint="default"/>
        <w:lang w:val="cs-CZ" w:eastAsia="en-US" w:bidi="ar-SA"/>
      </w:rPr>
    </w:lvl>
  </w:abstractNum>
  <w:abstractNum w:abstractNumId="1" w15:restartNumberingAfterBreak="0">
    <w:nsid w:val="1F8D0EEE"/>
    <w:multiLevelType w:val="multilevel"/>
    <w:tmpl w:val="AF2A5F44"/>
    <w:lvl w:ilvl="0">
      <w:start w:val="1"/>
      <w:numFmt w:val="decimal"/>
      <w:pStyle w:val="Nadpis1"/>
      <w:lvlText w:val="%1."/>
      <w:lvlJc w:val="left"/>
      <w:pPr>
        <w:ind w:left="65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pStyle w:val="Nadpis2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49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1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0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87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72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57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554906FA"/>
    <w:multiLevelType w:val="hybridMultilevel"/>
    <w:tmpl w:val="CE2E6380"/>
    <w:lvl w:ilvl="0" w:tplc="85047C38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D2D2D2"/>
        <w:lang w:val="cs-CZ" w:eastAsia="en-US" w:bidi="ar-SA"/>
      </w:rPr>
    </w:lvl>
    <w:lvl w:ilvl="1" w:tplc="0A2694CA">
      <w:numFmt w:val="bullet"/>
      <w:lvlText w:val="•"/>
      <w:lvlJc w:val="left"/>
      <w:pPr>
        <w:ind w:left="1664" w:hanging="567"/>
      </w:pPr>
      <w:rPr>
        <w:rFonts w:hint="default"/>
        <w:lang w:val="cs-CZ" w:eastAsia="en-US" w:bidi="ar-SA"/>
      </w:rPr>
    </w:lvl>
    <w:lvl w:ilvl="2" w:tplc="9CC0E764">
      <w:numFmt w:val="bullet"/>
      <w:lvlText w:val="•"/>
      <w:lvlJc w:val="left"/>
      <w:pPr>
        <w:ind w:left="2549" w:hanging="567"/>
      </w:pPr>
      <w:rPr>
        <w:rFonts w:hint="default"/>
        <w:lang w:val="cs-CZ" w:eastAsia="en-US" w:bidi="ar-SA"/>
      </w:rPr>
    </w:lvl>
    <w:lvl w:ilvl="3" w:tplc="6A40881A">
      <w:numFmt w:val="bullet"/>
      <w:lvlText w:val="•"/>
      <w:lvlJc w:val="left"/>
      <w:pPr>
        <w:ind w:left="3433" w:hanging="567"/>
      </w:pPr>
      <w:rPr>
        <w:rFonts w:hint="default"/>
        <w:lang w:val="cs-CZ" w:eastAsia="en-US" w:bidi="ar-SA"/>
      </w:rPr>
    </w:lvl>
    <w:lvl w:ilvl="4" w:tplc="D9D0869E">
      <w:numFmt w:val="bullet"/>
      <w:lvlText w:val="•"/>
      <w:lvlJc w:val="left"/>
      <w:pPr>
        <w:ind w:left="4318" w:hanging="567"/>
      </w:pPr>
      <w:rPr>
        <w:rFonts w:hint="default"/>
        <w:lang w:val="cs-CZ" w:eastAsia="en-US" w:bidi="ar-SA"/>
      </w:rPr>
    </w:lvl>
    <w:lvl w:ilvl="5" w:tplc="DE203210">
      <w:numFmt w:val="bullet"/>
      <w:lvlText w:val="•"/>
      <w:lvlJc w:val="left"/>
      <w:pPr>
        <w:ind w:left="5203" w:hanging="567"/>
      </w:pPr>
      <w:rPr>
        <w:rFonts w:hint="default"/>
        <w:lang w:val="cs-CZ" w:eastAsia="en-US" w:bidi="ar-SA"/>
      </w:rPr>
    </w:lvl>
    <w:lvl w:ilvl="6" w:tplc="211EC430">
      <w:numFmt w:val="bullet"/>
      <w:lvlText w:val="•"/>
      <w:lvlJc w:val="left"/>
      <w:pPr>
        <w:ind w:left="6087" w:hanging="567"/>
      </w:pPr>
      <w:rPr>
        <w:rFonts w:hint="default"/>
        <w:lang w:val="cs-CZ" w:eastAsia="en-US" w:bidi="ar-SA"/>
      </w:rPr>
    </w:lvl>
    <w:lvl w:ilvl="7" w:tplc="E3363870">
      <w:numFmt w:val="bullet"/>
      <w:lvlText w:val="•"/>
      <w:lvlJc w:val="left"/>
      <w:pPr>
        <w:ind w:left="6972" w:hanging="567"/>
      </w:pPr>
      <w:rPr>
        <w:rFonts w:hint="default"/>
        <w:lang w:val="cs-CZ" w:eastAsia="en-US" w:bidi="ar-SA"/>
      </w:rPr>
    </w:lvl>
    <w:lvl w:ilvl="8" w:tplc="7B829780">
      <w:numFmt w:val="bullet"/>
      <w:lvlText w:val="•"/>
      <w:lvlJc w:val="left"/>
      <w:pPr>
        <w:ind w:left="7857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69ED7194"/>
    <w:multiLevelType w:val="hybridMultilevel"/>
    <w:tmpl w:val="1D300266"/>
    <w:lvl w:ilvl="0" w:tplc="85769778">
      <w:start w:val="1"/>
      <w:numFmt w:val="upperLetter"/>
      <w:lvlText w:val="%1."/>
      <w:lvlJc w:val="left"/>
      <w:pPr>
        <w:ind w:left="3689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C741410">
      <w:numFmt w:val="bullet"/>
      <w:lvlText w:val="•"/>
      <w:lvlJc w:val="left"/>
      <w:pPr>
        <w:ind w:left="4274" w:hanging="269"/>
      </w:pPr>
      <w:rPr>
        <w:rFonts w:hint="default"/>
        <w:lang w:val="cs-CZ" w:eastAsia="en-US" w:bidi="ar-SA"/>
      </w:rPr>
    </w:lvl>
    <w:lvl w:ilvl="2" w:tplc="2528BAAE">
      <w:numFmt w:val="bullet"/>
      <w:lvlText w:val="•"/>
      <w:lvlJc w:val="left"/>
      <w:pPr>
        <w:ind w:left="4869" w:hanging="269"/>
      </w:pPr>
      <w:rPr>
        <w:rFonts w:hint="default"/>
        <w:lang w:val="cs-CZ" w:eastAsia="en-US" w:bidi="ar-SA"/>
      </w:rPr>
    </w:lvl>
    <w:lvl w:ilvl="3" w:tplc="5958E6E4">
      <w:numFmt w:val="bullet"/>
      <w:lvlText w:val="•"/>
      <w:lvlJc w:val="left"/>
      <w:pPr>
        <w:ind w:left="5463" w:hanging="269"/>
      </w:pPr>
      <w:rPr>
        <w:rFonts w:hint="default"/>
        <w:lang w:val="cs-CZ" w:eastAsia="en-US" w:bidi="ar-SA"/>
      </w:rPr>
    </w:lvl>
    <w:lvl w:ilvl="4" w:tplc="6B40FF76">
      <w:numFmt w:val="bullet"/>
      <w:lvlText w:val="•"/>
      <w:lvlJc w:val="left"/>
      <w:pPr>
        <w:ind w:left="6058" w:hanging="269"/>
      </w:pPr>
      <w:rPr>
        <w:rFonts w:hint="default"/>
        <w:lang w:val="cs-CZ" w:eastAsia="en-US" w:bidi="ar-SA"/>
      </w:rPr>
    </w:lvl>
    <w:lvl w:ilvl="5" w:tplc="F9806CF2">
      <w:numFmt w:val="bullet"/>
      <w:lvlText w:val="•"/>
      <w:lvlJc w:val="left"/>
      <w:pPr>
        <w:ind w:left="6653" w:hanging="269"/>
      </w:pPr>
      <w:rPr>
        <w:rFonts w:hint="default"/>
        <w:lang w:val="cs-CZ" w:eastAsia="en-US" w:bidi="ar-SA"/>
      </w:rPr>
    </w:lvl>
    <w:lvl w:ilvl="6" w:tplc="F04E8BD2">
      <w:numFmt w:val="bullet"/>
      <w:lvlText w:val="•"/>
      <w:lvlJc w:val="left"/>
      <w:pPr>
        <w:ind w:left="7247" w:hanging="269"/>
      </w:pPr>
      <w:rPr>
        <w:rFonts w:hint="default"/>
        <w:lang w:val="cs-CZ" w:eastAsia="en-US" w:bidi="ar-SA"/>
      </w:rPr>
    </w:lvl>
    <w:lvl w:ilvl="7" w:tplc="92BEFC8A">
      <w:numFmt w:val="bullet"/>
      <w:lvlText w:val="•"/>
      <w:lvlJc w:val="left"/>
      <w:pPr>
        <w:ind w:left="7842" w:hanging="269"/>
      </w:pPr>
      <w:rPr>
        <w:rFonts w:hint="default"/>
        <w:lang w:val="cs-CZ" w:eastAsia="en-US" w:bidi="ar-SA"/>
      </w:rPr>
    </w:lvl>
    <w:lvl w:ilvl="8" w:tplc="D0D28762">
      <w:numFmt w:val="bullet"/>
      <w:lvlText w:val="•"/>
      <w:lvlJc w:val="left"/>
      <w:pPr>
        <w:ind w:left="8437" w:hanging="269"/>
      </w:pPr>
      <w:rPr>
        <w:rFonts w:hint="default"/>
        <w:lang w:val="cs-CZ" w:eastAsia="en-US" w:bidi="ar-SA"/>
      </w:rPr>
    </w:lvl>
  </w:abstractNum>
  <w:abstractNum w:abstractNumId="4" w15:restartNumberingAfterBreak="0">
    <w:nsid w:val="722C4530"/>
    <w:multiLevelType w:val="hybridMultilevel"/>
    <w:tmpl w:val="0F0C8608"/>
    <w:lvl w:ilvl="0" w:tplc="7B141648">
      <w:numFmt w:val="bullet"/>
      <w:lvlText w:val="-"/>
      <w:lvlJc w:val="left"/>
      <w:pPr>
        <w:ind w:left="3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2202F3CC">
      <w:numFmt w:val="bullet"/>
      <w:lvlText w:val="•"/>
      <w:lvlJc w:val="left"/>
      <w:pPr>
        <w:ind w:left="1268" w:hanging="128"/>
      </w:pPr>
      <w:rPr>
        <w:rFonts w:hint="default"/>
        <w:lang w:val="cs-CZ" w:eastAsia="en-US" w:bidi="ar-SA"/>
      </w:rPr>
    </w:lvl>
    <w:lvl w:ilvl="2" w:tplc="A426EBFE">
      <w:numFmt w:val="bullet"/>
      <w:lvlText w:val="•"/>
      <w:lvlJc w:val="left"/>
      <w:pPr>
        <w:ind w:left="2197" w:hanging="128"/>
      </w:pPr>
      <w:rPr>
        <w:rFonts w:hint="default"/>
        <w:lang w:val="cs-CZ" w:eastAsia="en-US" w:bidi="ar-SA"/>
      </w:rPr>
    </w:lvl>
    <w:lvl w:ilvl="3" w:tplc="15EA0CA8">
      <w:numFmt w:val="bullet"/>
      <w:lvlText w:val="•"/>
      <w:lvlJc w:val="left"/>
      <w:pPr>
        <w:ind w:left="3125" w:hanging="128"/>
      </w:pPr>
      <w:rPr>
        <w:rFonts w:hint="default"/>
        <w:lang w:val="cs-CZ" w:eastAsia="en-US" w:bidi="ar-SA"/>
      </w:rPr>
    </w:lvl>
    <w:lvl w:ilvl="4" w:tplc="F5124530">
      <w:numFmt w:val="bullet"/>
      <w:lvlText w:val="•"/>
      <w:lvlJc w:val="left"/>
      <w:pPr>
        <w:ind w:left="4054" w:hanging="128"/>
      </w:pPr>
      <w:rPr>
        <w:rFonts w:hint="default"/>
        <w:lang w:val="cs-CZ" w:eastAsia="en-US" w:bidi="ar-SA"/>
      </w:rPr>
    </w:lvl>
    <w:lvl w:ilvl="5" w:tplc="BE184E70">
      <w:numFmt w:val="bullet"/>
      <w:lvlText w:val="•"/>
      <w:lvlJc w:val="left"/>
      <w:pPr>
        <w:ind w:left="4983" w:hanging="128"/>
      </w:pPr>
      <w:rPr>
        <w:rFonts w:hint="default"/>
        <w:lang w:val="cs-CZ" w:eastAsia="en-US" w:bidi="ar-SA"/>
      </w:rPr>
    </w:lvl>
    <w:lvl w:ilvl="6" w:tplc="821A9A8A">
      <w:numFmt w:val="bullet"/>
      <w:lvlText w:val="•"/>
      <w:lvlJc w:val="left"/>
      <w:pPr>
        <w:ind w:left="5911" w:hanging="128"/>
      </w:pPr>
      <w:rPr>
        <w:rFonts w:hint="default"/>
        <w:lang w:val="cs-CZ" w:eastAsia="en-US" w:bidi="ar-SA"/>
      </w:rPr>
    </w:lvl>
    <w:lvl w:ilvl="7" w:tplc="390AA44E">
      <w:numFmt w:val="bullet"/>
      <w:lvlText w:val="•"/>
      <w:lvlJc w:val="left"/>
      <w:pPr>
        <w:ind w:left="6840" w:hanging="128"/>
      </w:pPr>
      <w:rPr>
        <w:rFonts w:hint="default"/>
        <w:lang w:val="cs-CZ" w:eastAsia="en-US" w:bidi="ar-SA"/>
      </w:rPr>
    </w:lvl>
    <w:lvl w:ilvl="8" w:tplc="E6365E6E">
      <w:numFmt w:val="bullet"/>
      <w:lvlText w:val="•"/>
      <w:lvlJc w:val="left"/>
      <w:pPr>
        <w:ind w:left="7769" w:hanging="128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D"/>
    <w:rsid w:val="0001622C"/>
    <w:rsid w:val="0005219A"/>
    <w:rsid w:val="00074C9F"/>
    <w:rsid w:val="000B7E79"/>
    <w:rsid w:val="000E2557"/>
    <w:rsid w:val="000F712A"/>
    <w:rsid w:val="00105B17"/>
    <w:rsid w:val="001308AA"/>
    <w:rsid w:val="001331C6"/>
    <w:rsid w:val="00155C33"/>
    <w:rsid w:val="00162779"/>
    <w:rsid w:val="0018248B"/>
    <w:rsid w:val="001B623A"/>
    <w:rsid w:val="001E4F2D"/>
    <w:rsid w:val="0024413A"/>
    <w:rsid w:val="002478EC"/>
    <w:rsid w:val="00261253"/>
    <w:rsid w:val="00285ED4"/>
    <w:rsid w:val="002A1AB1"/>
    <w:rsid w:val="002E5CD0"/>
    <w:rsid w:val="003A3040"/>
    <w:rsid w:val="003C246A"/>
    <w:rsid w:val="003C5D85"/>
    <w:rsid w:val="003F40AD"/>
    <w:rsid w:val="00453082"/>
    <w:rsid w:val="00481354"/>
    <w:rsid w:val="004A4B3B"/>
    <w:rsid w:val="004C63BC"/>
    <w:rsid w:val="00540E17"/>
    <w:rsid w:val="005948B0"/>
    <w:rsid w:val="005E4985"/>
    <w:rsid w:val="00683230"/>
    <w:rsid w:val="006F74BA"/>
    <w:rsid w:val="00760A8F"/>
    <w:rsid w:val="0078424D"/>
    <w:rsid w:val="007E3786"/>
    <w:rsid w:val="007F6BBC"/>
    <w:rsid w:val="00804728"/>
    <w:rsid w:val="00807040"/>
    <w:rsid w:val="00810253"/>
    <w:rsid w:val="00812021"/>
    <w:rsid w:val="0081655D"/>
    <w:rsid w:val="00862EBF"/>
    <w:rsid w:val="00876B94"/>
    <w:rsid w:val="008A1585"/>
    <w:rsid w:val="008A18E3"/>
    <w:rsid w:val="00915505"/>
    <w:rsid w:val="00940F4D"/>
    <w:rsid w:val="00950D9B"/>
    <w:rsid w:val="00976F6E"/>
    <w:rsid w:val="009B347C"/>
    <w:rsid w:val="009D08A2"/>
    <w:rsid w:val="009E620E"/>
    <w:rsid w:val="00A23859"/>
    <w:rsid w:val="00A262A2"/>
    <w:rsid w:val="00A62C27"/>
    <w:rsid w:val="00A63FE0"/>
    <w:rsid w:val="00A72D07"/>
    <w:rsid w:val="00A94696"/>
    <w:rsid w:val="00B05BCD"/>
    <w:rsid w:val="00B23CB7"/>
    <w:rsid w:val="00B51F87"/>
    <w:rsid w:val="00B52E37"/>
    <w:rsid w:val="00B65F0C"/>
    <w:rsid w:val="00C02BA3"/>
    <w:rsid w:val="00C125E1"/>
    <w:rsid w:val="00C16D14"/>
    <w:rsid w:val="00C54BDE"/>
    <w:rsid w:val="00C602F5"/>
    <w:rsid w:val="00C65856"/>
    <w:rsid w:val="00C7234A"/>
    <w:rsid w:val="00CB0B8D"/>
    <w:rsid w:val="00CB5FB3"/>
    <w:rsid w:val="00D63C04"/>
    <w:rsid w:val="00D86032"/>
    <w:rsid w:val="00DA7C73"/>
    <w:rsid w:val="00DC22B9"/>
    <w:rsid w:val="00E156B8"/>
    <w:rsid w:val="00E27BB3"/>
    <w:rsid w:val="00E47764"/>
    <w:rsid w:val="00E876E6"/>
    <w:rsid w:val="00EB5BE1"/>
    <w:rsid w:val="00F54415"/>
    <w:rsid w:val="00F64BB1"/>
    <w:rsid w:val="00F80701"/>
    <w:rsid w:val="00F971F0"/>
    <w:rsid w:val="00FA53FE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ADC6"/>
  <w15:docId w15:val="{2C958A5A-CE9D-4800-9226-D15834D0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rsid w:val="007E3786"/>
    <w:pPr>
      <w:numPr>
        <w:numId w:val="5"/>
      </w:numPr>
      <w:tabs>
        <w:tab w:val="left" w:pos="540"/>
      </w:tabs>
      <w:ind w:left="540" w:hanging="54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7E3786"/>
    <w:pPr>
      <w:numPr>
        <w:ilvl w:val="1"/>
        <w:numId w:val="5"/>
      </w:numPr>
      <w:tabs>
        <w:tab w:val="left" w:pos="540"/>
      </w:tabs>
      <w:ind w:left="540" w:hanging="54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785" w:hanging="568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B5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F54415"/>
    <w:rPr>
      <w:rFonts w:ascii="Times New Roman" w:eastAsia="Times New Roman" w:hAnsi="Times New Roman" w:cs="Times New Roman"/>
      <w:lang w:val="cs-CZ"/>
    </w:rPr>
  </w:style>
  <w:style w:type="paragraph" w:customStyle="1" w:styleId="Num">
    <w:name w:val="Num"/>
    <w:basedOn w:val="Normln"/>
    <w:qFormat/>
    <w:rsid w:val="00683230"/>
    <w:pPr>
      <w:tabs>
        <w:tab w:val="left" w:pos="540"/>
      </w:tabs>
      <w:ind w:left="540" w:hanging="540"/>
    </w:pPr>
    <w:rPr>
      <w:b/>
      <w:bCs/>
    </w:rPr>
  </w:style>
  <w:style w:type="paragraph" w:styleId="Zhlav">
    <w:name w:val="header"/>
    <w:basedOn w:val="Normln"/>
    <w:link w:val="ZhlavChar"/>
    <w:unhideWhenUsed/>
    <w:rsid w:val="000F712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12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0F712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12A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CB0B8D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paragraph" w:styleId="Normlnweb">
    <w:name w:val="Normal (Web)"/>
    <w:basedOn w:val="Normln"/>
    <w:uiPriority w:val="99"/>
    <w:unhideWhenUsed/>
    <w:rsid w:val="00FA53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779"/>
    <w:rPr>
      <w:rFonts w:ascii="Segoe UI" w:eastAsia="Times New Roman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1308AA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1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15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1585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A8F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1218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Metacam</vt:lpstr>
      <vt:lpstr>Metacam</vt:lpstr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Metacam</dc:title>
  <dc:subject>EPAR</dc:subject>
  <dc:creator>CVMP</dc:creator>
  <cp:keywords>Metacam, meloxicam</cp:keywords>
  <cp:lastModifiedBy>Neugebauerová Kateřina</cp:lastModifiedBy>
  <cp:revision>30</cp:revision>
  <cp:lastPrinted>2022-12-16T08:06:00Z</cp:lastPrinted>
  <dcterms:created xsi:type="dcterms:W3CDTF">2022-10-04T12:15:00Z</dcterms:created>
  <dcterms:modified xsi:type="dcterms:W3CDTF">2022-12-16T08:07:00Z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2022-09-14T00:00:00Z</vt:filetime>
  </property>
  <property fmtid="{D5CDD505-2E9C-101B-9397-08002B2CF9AE}" pid="5" name="Producer">
    <vt:lpwstr>Microsoft® Word für Microsoft 365</vt:lpwstr>
  </property>
</Properties>
</file>