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3A0" w:rsidRPr="00E57DE3" w:rsidRDefault="00917093">
      <w:pPr>
        <w:rPr>
          <w:b/>
          <w:i/>
        </w:rPr>
      </w:pPr>
      <w:r w:rsidRPr="004366C4">
        <w:rPr>
          <w:b/>
        </w:rPr>
        <w:t>Testovací s</w:t>
      </w:r>
      <w:r w:rsidR="00A608E5">
        <w:rPr>
          <w:b/>
        </w:rPr>
        <w:t>ouprava</w:t>
      </w:r>
      <w:r w:rsidRPr="004366C4">
        <w:rPr>
          <w:b/>
        </w:rPr>
        <w:t xml:space="preserve"> </w:t>
      </w:r>
      <w:r w:rsidR="00A608E5">
        <w:rPr>
          <w:b/>
        </w:rPr>
        <w:t>k prokázání</w:t>
      </w:r>
      <w:r w:rsidRPr="004366C4">
        <w:rPr>
          <w:b/>
        </w:rPr>
        <w:t xml:space="preserve"> </w:t>
      </w:r>
      <w:r w:rsidR="00E57DE3">
        <w:rPr>
          <w:b/>
        </w:rPr>
        <w:t xml:space="preserve">protilátek proti </w:t>
      </w:r>
      <w:proofErr w:type="spellStart"/>
      <w:r w:rsidR="00E57DE3" w:rsidRPr="00E57DE3">
        <w:rPr>
          <w:b/>
          <w:i/>
        </w:rPr>
        <w:t>Mycobacterium</w:t>
      </w:r>
      <w:proofErr w:type="spellEnd"/>
      <w:r w:rsidR="00E57DE3" w:rsidRPr="00E57DE3">
        <w:rPr>
          <w:b/>
          <w:i/>
        </w:rPr>
        <w:t xml:space="preserve"> </w:t>
      </w:r>
      <w:proofErr w:type="spellStart"/>
      <w:r w:rsidR="00E57DE3" w:rsidRPr="00E57DE3">
        <w:rPr>
          <w:b/>
          <w:i/>
        </w:rPr>
        <w:t>b</w:t>
      </w:r>
      <w:r w:rsidRPr="00E57DE3">
        <w:rPr>
          <w:b/>
          <w:i/>
        </w:rPr>
        <w:t>ovis</w:t>
      </w:r>
      <w:proofErr w:type="spellEnd"/>
      <w:r w:rsidRPr="00E57DE3">
        <w:rPr>
          <w:b/>
          <w:i/>
        </w:rPr>
        <w:t xml:space="preserve"> </w:t>
      </w:r>
    </w:p>
    <w:p w:rsidR="00917093" w:rsidRDefault="00917093">
      <w:r>
        <w:t>Pouze pro veterinární užití.</w:t>
      </w:r>
    </w:p>
    <w:p w:rsidR="00917093" w:rsidRPr="00A608E5" w:rsidRDefault="00917093">
      <w:pPr>
        <w:rPr>
          <w:b/>
          <w:highlight w:val="cyan"/>
        </w:rPr>
      </w:pPr>
      <w:r w:rsidRPr="00A608E5">
        <w:rPr>
          <w:b/>
        </w:rPr>
        <w:t>Název a zamýšlené užití</w:t>
      </w:r>
    </w:p>
    <w:p w:rsidR="00917093" w:rsidRDefault="00917093" w:rsidP="00CC23A0">
      <w:pPr>
        <w:rPr>
          <w:highlight w:val="cyan"/>
        </w:rPr>
      </w:pPr>
      <w:r w:rsidRPr="00917093">
        <w:t>Testovací</w:t>
      </w:r>
      <w:r w:rsidR="00E57DE3">
        <w:t xml:space="preserve"> sada IDEXX</w:t>
      </w:r>
      <w:r w:rsidRPr="00917093">
        <w:t xml:space="preserve"> M</w:t>
      </w:r>
      <w:r>
        <w:t>.</w:t>
      </w:r>
      <w:r w:rsidR="00E57DE3">
        <w:t xml:space="preserve"> </w:t>
      </w:r>
      <w:proofErr w:type="spellStart"/>
      <w:proofErr w:type="gramStart"/>
      <w:r w:rsidR="00E57DE3">
        <w:t>b</w:t>
      </w:r>
      <w:r w:rsidRPr="00917093">
        <w:t>ovis</w:t>
      </w:r>
      <w:proofErr w:type="spellEnd"/>
      <w:r w:rsidR="00E57DE3">
        <w:t xml:space="preserve"> </w:t>
      </w:r>
      <w:r>
        <w:t xml:space="preserve"> je</w:t>
      </w:r>
      <w:proofErr w:type="gramEnd"/>
      <w:r>
        <w:t xml:space="preserve"> určena pro detekci protilátek proti </w:t>
      </w:r>
      <w:proofErr w:type="spellStart"/>
      <w:r w:rsidR="00E57DE3">
        <w:rPr>
          <w:i/>
        </w:rPr>
        <w:t>Mycobacterium</w:t>
      </w:r>
      <w:proofErr w:type="spellEnd"/>
      <w:r w:rsidR="00E57DE3">
        <w:rPr>
          <w:i/>
        </w:rPr>
        <w:t xml:space="preserve"> </w:t>
      </w:r>
      <w:proofErr w:type="spellStart"/>
      <w:r w:rsidR="00E57DE3">
        <w:rPr>
          <w:i/>
        </w:rPr>
        <w:t>bovis</w:t>
      </w:r>
      <w:proofErr w:type="spellEnd"/>
      <w:r w:rsidR="00E57DE3">
        <w:rPr>
          <w:i/>
        </w:rPr>
        <w:t xml:space="preserve"> </w:t>
      </w:r>
      <w:r w:rsidR="00A011BE">
        <w:rPr>
          <w:i/>
        </w:rPr>
        <w:t xml:space="preserve">(M. </w:t>
      </w:r>
      <w:proofErr w:type="spellStart"/>
      <w:r w:rsidR="00A011BE">
        <w:rPr>
          <w:i/>
        </w:rPr>
        <w:t>bovis</w:t>
      </w:r>
      <w:proofErr w:type="spellEnd"/>
      <w:r w:rsidR="00A011BE">
        <w:rPr>
          <w:i/>
        </w:rPr>
        <w:t>)</w:t>
      </w:r>
      <w:r>
        <w:t xml:space="preserve">ve vzorcích hovězího séra a plazmy. </w:t>
      </w:r>
      <w:r w:rsidR="00F865DF">
        <w:t xml:space="preserve">Test je navržen pro použití společně s dalšími metodami pro diagnostiku a zvládání tuberkulózy, není však vhodný pro stanovování, zda je konkrétní zvíře nebo stádo prosté nákazy. </w:t>
      </w:r>
    </w:p>
    <w:p w:rsidR="00CC23A0" w:rsidRPr="00A608E5" w:rsidRDefault="00F865DF" w:rsidP="00CC23A0">
      <w:pPr>
        <w:rPr>
          <w:b/>
        </w:rPr>
      </w:pPr>
      <w:r w:rsidRPr="00A608E5">
        <w:rPr>
          <w:b/>
        </w:rPr>
        <w:t>Prohlášení OIE</w:t>
      </w:r>
    </w:p>
    <w:p w:rsidR="00F865DF" w:rsidRDefault="00F865DF" w:rsidP="00CC23A0">
      <w:r>
        <w:t>Validační údaje pro testovací sadu</w:t>
      </w:r>
      <w:r w:rsidR="00E57DE3">
        <w:t xml:space="preserve"> IDEXX</w:t>
      </w:r>
      <w:r w:rsidR="00E57DE3" w:rsidRPr="00917093">
        <w:t xml:space="preserve"> M</w:t>
      </w:r>
      <w:r w:rsidR="00E57DE3">
        <w:t xml:space="preserve">. </w:t>
      </w:r>
      <w:proofErr w:type="spellStart"/>
      <w:proofErr w:type="gramStart"/>
      <w:r w:rsidR="00E57DE3">
        <w:t>b</w:t>
      </w:r>
      <w:r w:rsidR="00E57DE3" w:rsidRPr="00917093">
        <w:t>ovis</w:t>
      </w:r>
      <w:proofErr w:type="spellEnd"/>
      <w:r w:rsidR="00E57DE3">
        <w:t xml:space="preserve">  </w:t>
      </w:r>
      <w:r>
        <w:t>na</w:t>
      </w:r>
      <w:proofErr w:type="gramEnd"/>
      <w:r>
        <w:t xml:space="preserve"> průkaz protilátek</w:t>
      </w:r>
      <w:r w:rsidR="00E57DE3">
        <w:t xml:space="preserve"> proti </w:t>
      </w:r>
      <w:r w:rsidR="00507873">
        <w:rPr>
          <w:i/>
        </w:rPr>
        <w:t>M.</w:t>
      </w:r>
      <w:r w:rsidR="00E57DE3" w:rsidRPr="00E57DE3">
        <w:rPr>
          <w:i/>
        </w:rPr>
        <w:t xml:space="preserve"> </w:t>
      </w:r>
      <w:proofErr w:type="spellStart"/>
      <w:r w:rsidR="00E57DE3" w:rsidRPr="00E57DE3">
        <w:rPr>
          <w:i/>
        </w:rPr>
        <w:t>bovis</w:t>
      </w:r>
      <w:proofErr w:type="spellEnd"/>
      <w:r w:rsidR="00E57DE3">
        <w:t xml:space="preserve"> </w:t>
      </w:r>
      <w:r>
        <w:t xml:space="preserve"> byly certifikovány OIE v květnu 2012 na zákl</w:t>
      </w:r>
      <w:r w:rsidR="00801004">
        <w:t xml:space="preserve">adě odborných posudků, test je </w:t>
      </w:r>
      <w:r>
        <w:t>vhodn</w:t>
      </w:r>
      <w:r w:rsidR="00801004">
        <w:t>ý</w:t>
      </w:r>
      <w:r>
        <w:t xml:space="preserve"> pro detekci protilátek proti </w:t>
      </w:r>
      <w:r w:rsidR="00507873">
        <w:rPr>
          <w:i/>
        </w:rPr>
        <w:t>M.</w:t>
      </w:r>
      <w:r w:rsidRPr="005F0A6D">
        <w:rPr>
          <w:i/>
        </w:rPr>
        <w:t xml:space="preserve"> </w:t>
      </w:r>
      <w:proofErr w:type="spellStart"/>
      <w:r w:rsidRPr="005F0A6D">
        <w:rPr>
          <w:i/>
        </w:rPr>
        <w:t>bovis</w:t>
      </w:r>
      <w:proofErr w:type="spellEnd"/>
      <w:r>
        <w:t xml:space="preserve"> ve vzorcích hovězího séra a plazmy a </w:t>
      </w:r>
      <w:r w:rsidR="00801004">
        <w:t xml:space="preserve">k </w:t>
      </w:r>
      <w:r>
        <w:t xml:space="preserve">použití jako doplňkový test v kombinaci s dalšími metodami pro diagnózu a zvládání tuberkulózy. </w:t>
      </w:r>
    </w:p>
    <w:p w:rsidR="005F0A6D" w:rsidRDefault="005F0A6D" w:rsidP="00CC23A0">
      <w:r>
        <w:t xml:space="preserve">Test má dále využití při provádění sérologického průzkumu ke zjištění prevalence a rizika infekce M. </w:t>
      </w:r>
      <w:proofErr w:type="spellStart"/>
      <w:r>
        <w:t>bovis</w:t>
      </w:r>
      <w:proofErr w:type="spellEnd"/>
      <w:r>
        <w:t xml:space="preserve"> na úrovni managementu stád. </w:t>
      </w:r>
    </w:p>
    <w:p w:rsidR="005F0A6D" w:rsidRPr="00A608E5" w:rsidRDefault="005F0A6D" w:rsidP="00CC23A0">
      <w:pPr>
        <w:rPr>
          <w:b/>
        </w:rPr>
      </w:pPr>
      <w:r w:rsidRPr="00A608E5">
        <w:rPr>
          <w:b/>
        </w:rPr>
        <w:t>Obecné informace</w:t>
      </w:r>
    </w:p>
    <w:p w:rsidR="005F0A6D" w:rsidRDefault="005F0A6D" w:rsidP="00CC23A0">
      <w:r>
        <w:t xml:space="preserve">Bovinní tuberkulóza, způsobovaná bakterií </w:t>
      </w:r>
      <w:r w:rsidR="00507873">
        <w:rPr>
          <w:i/>
        </w:rPr>
        <w:t xml:space="preserve">M. </w:t>
      </w:r>
      <w:proofErr w:type="spellStart"/>
      <w:r w:rsidR="00507873">
        <w:rPr>
          <w:i/>
        </w:rPr>
        <w:t>bovis</w:t>
      </w:r>
      <w:proofErr w:type="spellEnd"/>
      <w:r w:rsidR="00A608E5">
        <w:rPr>
          <w:i/>
        </w:rPr>
        <w:t>,</w:t>
      </w:r>
      <w:r w:rsidR="00507873">
        <w:rPr>
          <w:i/>
        </w:rPr>
        <w:t xml:space="preserve"> </w:t>
      </w:r>
      <w:r>
        <w:t>zůstává i nadále v mnoha zemích významným onemocněním dobytka, jejíž kontrolu a vymýcení komplikují nejen chybějící citlivé testy, ale i přítomnost závažných rezervoárů v divoké zvěři. Ačkoli testy na tuberkulózu na základě buněčné imunitní odpovědi (kožní</w:t>
      </w:r>
      <w:r w:rsidR="00801004">
        <w:t xml:space="preserve"> test,</w:t>
      </w:r>
      <w:r>
        <w:t xml:space="preserve"> gama interferony) mohou odhalit zvíře v raném stádiu infekce, stále nedokážou zachytit až 20 % skutečně infikovaných zvířat.</w:t>
      </w:r>
      <w:r w:rsidRPr="005F0A6D">
        <w:rPr>
          <w:vertAlign w:val="superscript"/>
        </w:rPr>
        <w:t>1</w:t>
      </w:r>
      <w:r>
        <w:t xml:space="preserve"> Strategické doplňkové použití testu protilátek proti </w:t>
      </w:r>
      <w:r w:rsidRPr="00507873">
        <w:rPr>
          <w:i/>
        </w:rPr>
        <w:t xml:space="preserve">M. </w:t>
      </w:r>
      <w:proofErr w:type="spellStart"/>
      <w:r w:rsidRPr="00507873">
        <w:rPr>
          <w:i/>
        </w:rPr>
        <w:t>bovis</w:t>
      </w:r>
      <w:proofErr w:type="spellEnd"/>
      <w:r>
        <w:t xml:space="preserve"> může přispět k celkové </w:t>
      </w:r>
      <w:r w:rsidR="005F052E">
        <w:t>diagnostické síle</w:t>
      </w:r>
      <w:r w:rsidR="00801004">
        <w:t>, a to</w:t>
      </w:r>
      <w:r w:rsidR="005F052E">
        <w:t xml:space="preserve"> detekcí podskupin infikovaných zvířat, která nejsou zachycena momentálně používanými metodami. </w:t>
      </w:r>
      <w:r w:rsidR="005F052E" w:rsidRPr="005F052E">
        <w:rPr>
          <w:vertAlign w:val="superscript"/>
        </w:rPr>
        <w:t>2,3,4</w:t>
      </w:r>
    </w:p>
    <w:p w:rsidR="005F052E" w:rsidRPr="00A608E5" w:rsidRDefault="005F052E" w:rsidP="00CC23A0">
      <w:pPr>
        <w:rPr>
          <w:b/>
        </w:rPr>
      </w:pPr>
      <w:r w:rsidRPr="00A608E5">
        <w:rPr>
          <w:b/>
        </w:rPr>
        <w:t>Popis a principy</w:t>
      </w:r>
    </w:p>
    <w:p w:rsidR="0032459E" w:rsidRPr="00F865DF" w:rsidRDefault="005F052E" w:rsidP="00CC23A0">
      <w:r>
        <w:t xml:space="preserve">Testovací sada </w:t>
      </w:r>
      <w:r w:rsidR="00507873">
        <w:t>IDEXX</w:t>
      </w:r>
      <w:r w:rsidR="00507873" w:rsidRPr="00917093">
        <w:t xml:space="preserve"> M</w:t>
      </w:r>
      <w:r w:rsidR="00507873">
        <w:t xml:space="preserve">. </w:t>
      </w:r>
      <w:proofErr w:type="spellStart"/>
      <w:r w:rsidR="00507873">
        <w:t>b</w:t>
      </w:r>
      <w:r w:rsidR="00507873" w:rsidRPr="00917093">
        <w:t>ovis</w:t>
      </w:r>
      <w:proofErr w:type="spellEnd"/>
      <w:r w:rsidR="00507873">
        <w:t xml:space="preserve"> </w:t>
      </w:r>
      <w:r>
        <w:t>na průkaz</w:t>
      </w:r>
      <w:r w:rsidR="00507873">
        <w:t xml:space="preserve"> protilátek proti </w:t>
      </w:r>
      <w:r w:rsidR="00507873" w:rsidRPr="00507873">
        <w:rPr>
          <w:i/>
        </w:rPr>
        <w:t xml:space="preserve">M. </w:t>
      </w:r>
      <w:proofErr w:type="spellStart"/>
      <w:r w:rsidR="00507873" w:rsidRPr="00507873">
        <w:rPr>
          <w:i/>
        </w:rPr>
        <w:t>bovis</w:t>
      </w:r>
      <w:proofErr w:type="spellEnd"/>
      <w:r>
        <w:t xml:space="preserve"> je enzymatický </w:t>
      </w:r>
      <w:proofErr w:type="spellStart"/>
      <w:r>
        <w:t>imunotest</w:t>
      </w:r>
      <w:proofErr w:type="spellEnd"/>
      <w:r>
        <w:t xml:space="preserve"> </w:t>
      </w:r>
      <w:r w:rsidR="00103D67">
        <w:t xml:space="preserve">pro detekci přítomnosti protilátek proti </w:t>
      </w:r>
      <w:r w:rsidR="00103D67" w:rsidRPr="0032459E">
        <w:rPr>
          <w:i/>
        </w:rPr>
        <w:t xml:space="preserve">M. </w:t>
      </w:r>
      <w:proofErr w:type="spellStart"/>
      <w:r w:rsidR="00103D67" w:rsidRPr="0032459E">
        <w:rPr>
          <w:i/>
        </w:rPr>
        <w:t>bovis</w:t>
      </w:r>
      <w:proofErr w:type="spellEnd"/>
      <w:r w:rsidR="00103D67">
        <w:t xml:space="preserve"> ve vzo</w:t>
      </w:r>
      <w:r w:rsidR="00801004">
        <w:t xml:space="preserve">rcích bovinního séra a plazmy. </w:t>
      </w:r>
      <w:proofErr w:type="spellStart"/>
      <w:r w:rsidR="00801004">
        <w:t>Mikrotitrační</w:t>
      </w:r>
      <w:proofErr w:type="spellEnd"/>
      <w:r w:rsidR="00801004">
        <w:t xml:space="preserve"> formát testu byl vytvořen n</w:t>
      </w:r>
      <w:r w:rsidR="00103D67">
        <w:t xml:space="preserve">anesením rekombinantního antigenu </w:t>
      </w:r>
      <w:r w:rsidR="00103D67" w:rsidRPr="0032459E">
        <w:rPr>
          <w:i/>
        </w:rPr>
        <w:t xml:space="preserve">M. </w:t>
      </w:r>
      <w:proofErr w:type="spellStart"/>
      <w:r w:rsidR="00103D67" w:rsidRPr="0032459E">
        <w:rPr>
          <w:i/>
        </w:rPr>
        <w:t>bovis</w:t>
      </w:r>
      <w:proofErr w:type="spellEnd"/>
      <w:r w:rsidR="00103D67">
        <w:t xml:space="preserve"> do jamek </w:t>
      </w:r>
      <w:proofErr w:type="gramStart"/>
      <w:r w:rsidR="00103D67">
        <w:t>96-jamkových</w:t>
      </w:r>
      <w:proofErr w:type="gramEnd"/>
      <w:r w:rsidR="00103D67">
        <w:t xml:space="preserve"> </w:t>
      </w:r>
      <w:proofErr w:type="spellStart"/>
      <w:r w:rsidR="00103D67">
        <w:t>mikrotitračních</w:t>
      </w:r>
      <w:proofErr w:type="spellEnd"/>
      <w:r w:rsidR="00103D67">
        <w:t xml:space="preserve"> destiček. Během inkubace testovaného vzorku v potažené jamce vytvoří protilátky proti </w:t>
      </w:r>
      <w:r w:rsidR="00103D67" w:rsidRPr="00507873">
        <w:rPr>
          <w:i/>
        </w:rPr>
        <w:t xml:space="preserve">M. </w:t>
      </w:r>
      <w:proofErr w:type="spellStart"/>
      <w:r w:rsidR="00103D67" w:rsidRPr="00507873">
        <w:rPr>
          <w:i/>
        </w:rPr>
        <w:t>bovis</w:t>
      </w:r>
      <w:proofErr w:type="spellEnd"/>
      <w:r w:rsidR="00103D67">
        <w:t xml:space="preserve"> komplex s nanesenými antigeny. Po vymytí nenavázaného materiálu z jamek se přidá anti</w:t>
      </w:r>
      <w:r w:rsidR="00933B2E">
        <w:t>-</w:t>
      </w:r>
      <w:r w:rsidR="00103D67">
        <w:t xml:space="preserve">bovinní </w:t>
      </w:r>
      <w:r w:rsidR="0032459E">
        <w:t xml:space="preserve">konjugát křenové peroxidázy, který se naváže na bovinní protilátky zachycené v jamkách. Nenavázaný konjugát se vymyje a přidá se TMB substrát. Následný rozvoj zbarvení se odvíjí od množství navázaných protilátek proti </w:t>
      </w:r>
      <w:r w:rsidR="0032459E" w:rsidRPr="0032459E">
        <w:rPr>
          <w:i/>
        </w:rPr>
        <w:t xml:space="preserve">M. </w:t>
      </w:r>
      <w:proofErr w:type="spellStart"/>
      <w:r w:rsidR="0032459E" w:rsidRPr="0032459E">
        <w:rPr>
          <w:i/>
        </w:rPr>
        <w:t>bovis</w:t>
      </w:r>
      <w:proofErr w:type="spellEnd"/>
      <w:r w:rsidR="0032459E">
        <w:t>.</w:t>
      </w:r>
    </w:p>
    <w:p w:rsidR="00CC23A0" w:rsidRDefault="00CC23A0" w:rsidP="00CC23A0"/>
    <w:p w:rsidR="00CC23A0" w:rsidRDefault="00CC23A0" w:rsidP="00CC23A0"/>
    <w:p w:rsidR="00CC23A0" w:rsidRDefault="00CC23A0" w:rsidP="00CC23A0"/>
    <w:p w:rsidR="00CC23A0" w:rsidRDefault="00CC23A0" w:rsidP="00CC23A0"/>
    <w:p w:rsidR="00CD39E1" w:rsidRDefault="00CD39E1" w:rsidP="00CC23A0"/>
    <w:p w:rsidR="0032459E" w:rsidRDefault="0032459E" w:rsidP="00CC23A0"/>
    <w:p w:rsidR="00CC23A0" w:rsidRPr="00CD39E1" w:rsidRDefault="00CD39E1" w:rsidP="00CC23A0">
      <w:pPr>
        <w:rPr>
          <w:b/>
        </w:rPr>
      </w:pPr>
      <w:r>
        <w:rPr>
          <w:b/>
        </w:rPr>
        <w:lastRenderedPageBreak/>
        <w:t>Činidla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"/>
        <w:gridCol w:w="7371"/>
        <w:gridCol w:w="1270"/>
      </w:tblGrid>
      <w:tr w:rsidR="00CC23A0" w:rsidTr="00FC5389">
        <w:tc>
          <w:tcPr>
            <w:tcW w:w="421" w:type="dxa"/>
          </w:tcPr>
          <w:p w:rsidR="00CC23A0" w:rsidRDefault="00CC23A0" w:rsidP="00CC23A0">
            <w:r>
              <w:t>1</w:t>
            </w:r>
          </w:p>
        </w:tc>
        <w:tc>
          <w:tcPr>
            <w:tcW w:w="7371" w:type="dxa"/>
          </w:tcPr>
          <w:p w:rsidR="00CC23A0" w:rsidRDefault="00D37EE4" w:rsidP="00CC23A0">
            <w:r>
              <w:t>Destička potažená</w:t>
            </w:r>
            <w:r w:rsidRPr="00CC23A0">
              <w:t xml:space="preserve"> </w:t>
            </w:r>
            <w:r>
              <w:t xml:space="preserve">antigenem </w:t>
            </w:r>
            <w:r w:rsidR="00CC23A0" w:rsidRPr="00CC23A0">
              <w:t xml:space="preserve">M. </w:t>
            </w:r>
            <w:proofErr w:type="spellStart"/>
            <w:r w:rsidR="00CC23A0" w:rsidRPr="00CC23A0">
              <w:t>bovis</w:t>
            </w:r>
            <w:proofErr w:type="spellEnd"/>
            <w:r w:rsidR="00CC23A0" w:rsidRPr="00CC23A0">
              <w:t xml:space="preserve"> </w:t>
            </w:r>
          </w:p>
        </w:tc>
        <w:tc>
          <w:tcPr>
            <w:tcW w:w="1270" w:type="dxa"/>
          </w:tcPr>
          <w:p w:rsidR="00CC23A0" w:rsidRDefault="00FC5389" w:rsidP="00CC23A0">
            <w:r w:rsidRPr="00FC5389">
              <w:t>5</w:t>
            </w:r>
            <w:r w:rsidR="001A4753">
              <w:t xml:space="preserve"> ks</w:t>
            </w:r>
          </w:p>
        </w:tc>
      </w:tr>
      <w:tr w:rsidR="00CC23A0" w:rsidTr="00FC5389">
        <w:tc>
          <w:tcPr>
            <w:tcW w:w="421" w:type="dxa"/>
          </w:tcPr>
          <w:p w:rsidR="00CC23A0" w:rsidRDefault="00CC23A0" w:rsidP="00CC23A0">
            <w:r>
              <w:t>2</w:t>
            </w:r>
          </w:p>
        </w:tc>
        <w:tc>
          <w:tcPr>
            <w:tcW w:w="7371" w:type="dxa"/>
          </w:tcPr>
          <w:p w:rsidR="00CC23A0" w:rsidRDefault="00D37EE4" w:rsidP="00CC23A0">
            <w:r>
              <w:t>Pozitivní kontrolní vzorek</w:t>
            </w:r>
            <w:r w:rsidRPr="00CC23A0">
              <w:t xml:space="preserve"> </w:t>
            </w:r>
            <w:r w:rsidR="00CC23A0" w:rsidRPr="00CC23A0">
              <w:t xml:space="preserve">— </w:t>
            </w:r>
            <w:r>
              <w:t>konzervováno azidem sodným</w:t>
            </w:r>
          </w:p>
        </w:tc>
        <w:tc>
          <w:tcPr>
            <w:tcW w:w="1270" w:type="dxa"/>
          </w:tcPr>
          <w:p w:rsidR="00CC23A0" w:rsidRDefault="00507873" w:rsidP="00CC23A0">
            <w:r>
              <w:t>1 x 0.05 ml</w:t>
            </w:r>
          </w:p>
        </w:tc>
      </w:tr>
      <w:tr w:rsidR="00CC23A0" w:rsidTr="00FC5389">
        <w:tc>
          <w:tcPr>
            <w:tcW w:w="421" w:type="dxa"/>
          </w:tcPr>
          <w:p w:rsidR="00CC23A0" w:rsidRDefault="00CC23A0" w:rsidP="00CC23A0">
            <w:r>
              <w:t>3</w:t>
            </w:r>
          </w:p>
        </w:tc>
        <w:tc>
          <w:tcPr>
            <w:tcW w:w="7371" w:type="dxa"/>
          </w:tcPr>
          <w:p w:rsidR="00CC23A0" w:rsidRDefault="00D37EE4" w:rsidP="00CC23A0">
            <w:r>
              <w:t>Negativní kontrolní vzorek</w:t>
            </w:r>
            <w:r w:rsidRPr="00CC23A0">
              <w:t xml:space="preserve"> — </w:t>
            </w:r>
            <w:r>
              <w:t>konzervováno azidem sodným</w:t>
            </w:r>
          </w:p>
        </w:tc>
        <w:tc>
          <w:tcPr>
            <w:tcW w:w="1270" w:type="dxa"/>
          </w:tcPr>
          <w:p w:rsidR="00CC23A0" w:rsidRDefault="00507873" w:rsidP="00CC23A0">
            <w:r>
              <w:t>1 x 0.05 ml</w:t>
            </w:r>
          </w:p>
        </w:tc>
      </w:tr>
      <w:tr w:rsidR="00CC23A0" w:rsidTr="00FC5389">
        <w:tc>
          <w:tcPr>
            <w:tcW w:w="421" w:type="dxa"/>
          </w:tcPr>
          <w:p w:rsidR="00CC23A0" w:rsidRDefault="00CC23A0" w:rsidP="00CC23A0">
            <w:r>
              <w:t>4</w:t>
            </w:r>
          </w:p>
        </w:tc>
        <w:tc>
          <w:tcPr>
            <w:tcW w:w="7371" w:type="dxa"/>
          </w:tcPr>
          <w:p w:rsidR="00CC23A0" w:rsidRDefault="00D37EE4" w:rsidP="00CC23A0">
            <w:r>
              <w:t>Konjugát — anti-bovinní</w:t>
            </w:r>
            <w:r w:rsidR="00CC23A0" w:rsidRPr="00CC23A0">
              <w:t xml:space="preserve">: </w:t>
            </w:r>
            <w:proofErr w:type="spellStart"/>
            <w:r w:rsidR="00CC23A0" w:rsidRPr="00CC23A0">
              <w:t>IgG</w:t>
            </w:r>
            <w:proofErr w:type="spellEnd"/>
            <w:r w:rsidR="00CC23A0" w:rsidRPr="00CC23A0">
              <w:t xml:space="preserve"> HRPO </w:t>
            </w:r>
            <w:r>
              <w:t>konjugát</w:t>
            </w:r>
            <w:r w:rsidR="00CD39E1">
              <w:t xml:space="preserve">, konzervovaný </w:t>
            </w:r>
            <w:proofErr w:type="spellStart"/>
            <w:r w:rsidR="00CD39E1">
              <w:t>Bronidoxem</w:t>
            </w:r>
            <w:proofErr w:type="spellEnd"/>
            <w:r w:rsidR="00CD39E1">
              <w:t xml:space="preserve"> a MIT</w:t>
            </w:r>
          </w:p>
        </w:tc>
        <w:tc>
          <w:tcPr>
            <w:tcW w:w="1270" w:type="dxa"/>
          </w:tcPr>
          <w:p w:rsidR="00CC23A0" w:rsidRDefault="00507873" w:rsidP="00CC23A0">
            <w:r>
              <w:t>1 x 60 ml</w:t>
            </w:r>
          </w:p>
        </w:tc>
      </w:tr>
      <w:tr w:rsidR="00CC23A0" w:rsidTr="00FC5389">
        <w:tc>
          <w:tcPr>
            <w:tcW w:w="421" w:type="dxa"/>
          </w:tcPr>
          <w:p w:rsidR="00CC23A0" w:rsidRDefault="00CC23A0" w:rsidP="00CC23A0">
            <w:r>
              <w:t>5</w:t>
            </w:r>
          </w:p>
        </w:tc>
        <w:tc>
          <w:tcPr>
            <w:tcW w:w="7371" w:type="dxa"/>
          </w:tcPr>
          <w:p w:rsidR="00CC23A0" w:rsidRDefault="00D37EE4" w:rsidP="00CC23A0">
            <w:r>
              <w:t>Roztok k ředění vzorků</w:t>
            </w:r>
            <w:r w:rsidR="00CC23A0" w:rsidRPr="00CC23A0">
              <w:t xml:space="preserve"> — </w:t>
            </w:r>
            <w:r>
              <w:t>konzervováno azidem sodným</w:t>
            </w:r>
          </w:p>
        </w:tc>
        <w:tc>
          <w:tcPr>
            <w:tcW w:w="1270" w:type="dxa"/>
          </w:tcPr>
          <w:p w:rsidR="00CC23A0" w:rsidRDefault="00507873" w:rsidP="00CC23A0">
            <w:r>
              <w:t>1 x 120 ml</w:t>
            </w:r>
          </w:p>
        </w:tc>
      </w:tr>
      <w:tr w:rsidR="00CC23A0" w:rsidTr="00FC5389">
        <w:tc>
          <w:tcPr>
            <w:tcW w:w="421" w:type="dxa"/>
          </w:tcPr>
          <w:p w:rsidR="00CC23A0" w:rsidRDefault="00CC23A0" w:rsidP="00CC23A0">
            <w:r>
              <w:t>A</w:t>
            </w:r>
          </w:p>
        </w:tc>
        <w:tc>
          <w:tcPr>
            <w:tcW w:w="7371" w:type="dxa"/>
          </w:tcPr>
          <w:p w:rsidR="00CC23A0" w:rsidRDefault="00CC23A0" w:rsidP="00CC23A0">
            <w:r w:rsidRPr="00CC23A0">
              <w:t xml:space="preserve">TMB </w:t>
            </w:r>
            <w:r w:rsidR="00D37EE4">
              <w:t>s</w:t>
            </w:r>
            <w:r w:rsidRPr="00CC23A0">
              <w:t>ubstr</w:t>
            </w:r>
            <w:r w:rsidR="00D37EE4">
              <w:t>át</w:t>
            </w:r>
          </w:p>
        </w:tc>
        <w:tc>
          <w:tcPr>
            <w:tcW w:w="1270" w:type="dxa"/>
          </w:tcPr>
          <w:p w:rsidR="00CC23A0" w:rsidRDefault="00507873" w:rsidP="00CC23A0">
            <w:r>
              <w:t>1 x 60 ml</w:t>
            </w:r>
          </w:p>
        </w:tc>
      </w:tr>
      <w:tr w:rsidR="00CC23A0" w:rsidTr="00FC5389">
        <w:tc>
          <w:tcPr>
            <w:tcW w:w="421" w:type="dxa"/>
          </w:tcPr>
          <w:p w:rsidR="00CC23A0" w:rsidRDefault="00CC23A0" w:rsidP="00CC23A0">
            <w:r>
              <w:t>B</w:t>
            </w:r>
          </w:p>
        </w:tc>
        <w:tc>
          <w:tcPr>
            <w:tcW w:w="7371" w:type="dxa"/>
          </w:tcPr>
          <w:p w:rsidR="00CC23A0" w:rsidRDefault="00D37EE4" w:rsidP="00CC23A0">
            <w:r>
              <w:t>Zastavovací roztok</w:t>
            </w:r>
            <w:r w:rsidR="00CD39E1">
              <w:t xml:space="preserve"> – konzervováno Proklinem™300</w:t>
            </w:r>
          </w:p>
        </w:tc>
        <w:tc>
          <w:tcPr>
            <w:tcW w:w="1270" w:type="dxa"/>
          </w:tcPr>
          <w:p w:rsidR="00CC23A0" w:rsidRDefault="00507873" w:rsidP="00CC23A0">
            <w:r>
              <w:t>1 x 60 ml</w:t>
            </w:r>
          </w:p>
        </w:tc>
      </w:tr>
      <w:tr w:rsidR="00CC23A0" w:rsidTr="00FC5389">
        <w:tc>
          <w:tcPr>
            <w:tcW w:w="421" w:type="dxa"/>
          </w:tcPr>
          <w:p w:rsidR="00CC23A0" w:rsidRDefault="00CC23A0" w:rsidP="00CC23A0">
            <w:r>
              <w:t>C</w:t>
            </w:r>
          </w:p>
        </w:tc>
        <w:tc>
          <w:tcPr>
            <w:tcW w:w="7371" w:type="dxa"/>
          </w:tcPr>
          <w:p w:rsidR="00CC23A0" w:rsidRDefault="00507873" w:rsidP="00CC23A0">
            <w:r>
              <w:t xml:space="preserve">Promývací </w:t>
            </w:r>
            <w:r w:rsidR="00D37EE4">
              <w:t>koncentrát (10X) — fosfát/</w:t>
            </w:r>
            <w:proofErr w:type="spellStart"/>
            <w:r w:rsidR="00D37EE4">
              <w:t>tween</w:t>
            </w:r>
            <w:proofErr w:type="spellEnd"/>
            <w:r w:rsidR="00CC23A0" w:rsidRPr="00CC23A0">
              <w:t xml:space="preserve">; </w:t>
            </w:r>
            <w:r w:rsidR="00D37EE4">
              <w:t xml:space="preserve">konzervováno </w:t>
            </w:r>
            <w:proofErr w:type="spellStart"/>
            <w:r w:rsidR="00D37EE4">
              <w:t>gentamicinem</w:t>
            </w:r>
            <w:proofErr w:type="spellEnd"/>
          </w:p>
        </w:tc>
        <w:tc>
          <w:tcPr>
            <w:tcW w:w="1270" w:type="dxa"/>
          </w:tcPr>
          <w:p w:rsidR="00CC23A0" w:rsidRDefault="00507873" w:rsidP="00CC23A0">
            <w:r>
              <w:t>1 x 235 ml</w:t>
            </w:r>
          </w:p>
        </w:tc>
      </w:tr>
      <w:tr w:rsidR="00CC23A0" w:rsidTr="00FC5389">
        <w:tc>
          <w:tcPr>
            <w:tcW w:w="7792" w:type="dxa"/>
            <w:gridSpan w:val="2"/>
          </w:tcPr>
          <w:p w:rsidR="00CC23A0" w:rsidRDefault="001A4753" w:rsidP="00CC23A0">
            <w:r>
              <w:t>Další komponenty: Uzavíratelný sáček</w:t>
            </w:r>
          </w:p>
        </w:tc>
        <w:tc>
          <w:tcPr>
            <w:tcW w:w="1270" w:type="dxa"/>
          </w:tcPr>
          <w:p w:rsidR="00CC23A0" w:rsidRDefault="00FC5389" w:rsidP="00CC23A0">
            <w:r>
              <w:t>1</w:t>
            </w:r>
          </w:p>
        </w:tc>
      </w:tr>
    </w:tbl>
    <w:p w:rsidR="00CD39E1" w:rsidRDefault="00CD39E1" w:rsidP="00CD39E1">
      <w:pPr>
        <w:spacing w:after="0"/>
      </w:pPr>
      <w:r w:rsidRPr="00A14CEA">
        <w:t>Poznámka: Popis symbolů použitých v této příbalové informaci a popisků této testovací sady najdete v tabulce na konci informace.</w:t>
      </w:r>
    </w:p>
    <w:p w:rsidR="00CD39E1" w:rsidRPr="00A14CEA" w:rsidRDefault="00CD39E1" w:rsidP="00CD39E1">
      <w:pPr>
        <w:spacing w:after="0"/>
      </w:pPr>
    </w:p>
    <w:p w:rsidR="00D37EE4" w:rsidRPr="008017F7" w:rsidRDefault="00D37EE4" w:rsidP="00D37EE4">
      <w:pPr>
        <w:spacing w:after="0"/>
        <w:rPr>
          <w:b/>
        </w:rPr>
      </w:pPr>
      <w:r w:rsidRPr="008017F7">
        <w:rPr>
          <w:b/>
        </w:rPr>
        <w:t>Uchovávání</w:t>
      </w:r>
    </w:p>
    <w:p w:rsidR="00D37EE4" w:rsidRDefault="00D37EE4" w:rsidP="00D37EE4">
      <w:pPr>
        <w:spacing w:after="0"/>
      </w:pPr>
    </w:p>
    <w:p w:rsidR="00D37EE4" w:rsidRDefault="00CD39E1" w:rsidP="00D37EE4">
      <w:pPr>
        <w:spacing w:after="0"/>
      </w:pPr>
      <w:r>
        <w:t>Činidla</w:t>
      </w:r>
      <w:r w:rsidR="00D37EE4">
        <w:t xml:space="preserve"> uchovávejte při teplotě 2–8 °C. </w:t>
      </w:r>
      <w:r>
        <w:t>Činidla</w:t>
      </w:r>
      <w:r w:rsidR="00D37EE4">
        <w:t xml:space="preserve"> jsou za předpokladu řádného skladování stabilní do data exspirace.</w:t>
      </w:r>
    </w:p>
    <w:p w:rsidR="00D37EE4" w:rsidRDefault="00D37EE4" w:rsidP="00D37EE4">
      <w:pPr>
        <w:spacing w:after="0"/>
      </w:pPr>
    </w:p>
    <w:p w:rsidR="00D37EE4" w:rsidRDefault="00D37EE4" w:rsidP="00D37EE4">
      <w:pPr>
        <w:spacing w:after="0"/>
        <w:rPr>
          <w:b/>
        </w:rPr>
      </w:pPr>
      <w:r w:rsidRPr="008017F7">
        <w:rPr>
          <w:b/>
        </w:rPr>
        <w:t>Potřebné materiály, které nejsou součástí soupravy</w:t>
      </w:r>
    </w:p>
    <w:p w:rsidR="00D5739B" w:rsidRDefault="00D5739B" w:rsidP="00D37EE4">
      <w:pPr>
        <w:spacing w:after="0"/>
        <w:rPr>
          <w:b/>
        </w:rPr>
      </w:pPr>
    </w:p>
    <w:p w:rsidR="00D5739B" w:rsidRDefault="00D5739B" w:rsidP="00D5739B">
      <w:pPr>
        <w:pStyle w:val="Odstavecseseznamem"/>
        <w:numPr>
          <w:ilvl w:val="0"/>
          <w:numId w:val="1"/>
        </w:numPr>
        <w:spacing w:after="0"/>
      </w:pPr>
      <w:r>
        <w:t>Přesné pipety nebo multikanálové pipety</w:t>
      </w:r>
    </w:p>
    <w:p w:rsidR="00D5739B" w:rsidRDefault="00D5739B" w:rsidP="00D5739B">
      <w:pPr>
        <w:pStyle w:val="Odstavecseseznamem"/>
        <w:numPr>
          <w:ilvl w:val="0"/>
          <w:numId w:val="1"/>
        </w:numPr>
        <w:spacing w:after="0"/>
      </w:pPr>
      <w:r>
        <w:t xml:space="preserve">Jednorázové </w:t>
      </w:r>
      <w:proofErr w:type="spellStart"/>
      <w:r>
        <w:t>pipetovací</w:t>
      </w:r>
      <w:proofErr w:type="spellEnd"/>
      <w:r>
        <w:t xml:space="preserve"> špičky</w:t>
      </w:r>
    </w:p>
    <w:p w:rsidR="00D5739B" w:rsidRDefault="00D5739B" w:rsidP="00D5739B">
      <w:pPr>
        <w:pStyle w:val="Odstavecseseznamem"/>
        <w:numPr>
          <w:ilvl w:val="0"/>
          <w:numId w:val="1"/>
        </w:numPr>
        <w:spacing w:after="0"/>
      </w:pPr>
      <w:r>
        <w:t xml:space="preserve">Odměrný válec se stupnicí pro přípravu </w:t>
      </w:r>
      <w:r w:rsidR="001A4753">
        <w:t>promýva</w:t>
      </w:r>
      <w:r>
        <w:t>cího roztoku</w:t>
      </w:r>
    </w:p>
    <w:p w:rsidR="00D5739B" w:rsidRDefault="001A4753" w:rsidP="00D5739B">
      <w:pPr>
        <w:pStyle w:val="Odstavecseseznamem"/>
        <w:numPr>
          <w:ilvl w:val="0"/>
          <w:numId w:val="1"/>
        </w:numPr>
        <w:spacing w:after="0"/>
      </w:pPr>
      <w:r>
        <w:t xml:space="preserve">Čtečka </w:t>
      </w:r>
      <w:proofErr w:type="spellStart"/>
      <w:proofErr w:type="gramStart"/>
      <w:r>
        <w:t>mikrodestiček</w:t>
      </w:r>
      <w:proofErr w:type="spellEnd"/>
      <w:r>
        <w:t xml:space="preserve"> </w:t>
      </w:r>
      <w:r w:rsidR="00D5739B">
        <w:t xml:space="preserve"> s 96</w:t>
      </w:r>
      <w:proofErr w:type="gramEnd"/>
      <w:r w:rsidR="00D5739B">
        <w:t xml:space="preserve"> jamkami (vybavená filtrem s vlnovou délkou 450 </w:t>
      </w:r>
      <w:proofErr w:type="spellStart"/>
      <w:r w:rsidR="00D5739B">
        <w:t>nm</w:t>
      </w:r>
      <w:proofErr w:type="spellEnd"/>
      <w:r w:rsidR="00D5739B">
        <w:t>)</w:t>
      </w:r>
    </w:p>
    <w:p w:rsidR="00D5739B" w:rsidRDefault="001A4753" w:rsidP="00D5739B">
      <w:pPr>
        <w:pStyle w:val="Odstavecseseznamem"/>
        <w:numPr>
          <w:ilvl w:val="0"/>
          <w:numId w:val="1"/>
        </w:numPr>
        <w:spacing w:after="0"/>
      </w:pPr>
      <w:r>
        <w:t xml:space="preserve">Promývací zařízení na </w:t>
      </w:r>
      <w:proofErr w:type="spellStart"/>
      <w:r>
        <w:t>mikrodestičky</w:t>
      </w:r>
      <w:proofErr w:type="spellEnd"/>
      <w:r w:rsidR="00D5739B">
        <w:t xml:space="preserve"> (manuální, poloautomatický nebo automatický systém)</w:t>
      </w:r>
    </w:p>
    <w:p w:rsidR="00D5739B" w:rsidRDefault="00D5739B" w:rsidP="00D5739B">
      <w:pPr>
        <w:pStyle w:val="Odstavecseseznamem"/>
        <w:numPr>
          <w:ilvl w:val="0"/>
          <w:numId w:val="1"/>
        </w:numPr>
        <w:spacing w:after="0"/>
      </w:pPr>
      <w:r>
        <w:t xml:space="preserve">Pro přípravu </w:t>
      </w:r>
      <w:r w:rsidR="00CD39E1">
        <w:t>činidel</w:t>
      </w:r>
      <w:r>
        <w:t xml:space="preserve"> používaných při testu používejte pouze destilovanou nebo </w:t>
      </w:r>
      <w:proofErr w:type="spellStart"/>
      <w:r>
        <w:t>deionizovanou</w:t>
      </w:r>
      <w:proofErr w:type="spellEnd"/>
      <w:r>
        <w:t xml:space="preserve"> vodu</w:t>
      </w:r>
    </w:p>
    <w:p w:rsidR="00D5739B" w:rsidRDefault="00D5739B" w:rsidP="00D5739B">
      <w:pPr>
        <w:pStyle w:val="Odstavecseseznamem"/>
        <w:numPr>
          <w:ilvl w:val="0"/>
          <w:numId w:val="1"/>
        </w:numPr>
        <w:spacing w:after="0"/>
      </w:pPr>
      <w:proofErr w:type="spellStart"/>
      <w:r>
        <w:t>Vortex</w:t>
      </w:r>
      <w:proofErr w:type="spellEnd"/>
      <w:r>
        <w:t xml:space="preserve"> nebo ekvivalentní třepačka</w:t>
      </w:r>
    </w:p>
    <w:p w:rsidR="00D5739B" w:rsidRDefault="00D5739B" w:rsidP="00D5739B">
      <w:pPr>
        <w:pStyle w:val="Odstavecseseznamem"/>
        <w:numPr>
          <w:ilvl w:val="0"/>
          <w:numId w:val="1"/>
        </w:numPr>
        <w:spacing w:after="0"/>
      </w:pPr>
      <w:r>
        <w:t>Zkumavky na ředění vzorků</w:t>
      </w:r>
    </w:p>
    <w:p w:rsidR="00D5739B" w:rsidRDefault="00D5739B" w:rsidP="00D5739B">
      <w:pPr>
        <w:pStyle w:val="Odstavecseseznamem"/>
        <w:numPr>
          <w:ilvl w:val="0"/>
          <w:numId w:val="1"/>
        </w:numPr>
        <w:spacing w:after="0"/>
      </w:pPr>
      <w:r>
        <w:t>Materiál na zakrytí destiček (víčka, aluminiová nebo přilnavá fólie)</w:t>
      </w:r>
    </w:p>
    <w:p w:rsidR="008571FA" w:rsidRDefault="008571FA" w:rsidP="008571FA"/>
    <w:p w:rsidR="00D5739B" w:rsidRPr="008017F7" w:rsidRDefault="00D5739B" w:rsidP="00D5739B">
      <w:pPr>
        <w:spacing w:after="0"/>
        <w:rPr>
          <w:b/>
        </w:rPr>
      </w:pPr>
      <w:r w:rsidRPr="008017F7">
        <w:rPr>
          <w:b/>
        </w:rPr>
        <w:t>Bezpečnostní opatření a upozornění pro uživatele</w:t>
      </w:r>
    </w:p>
    <w:p w:rsidR="00D5739B" w:rsidRDefault="00D5739B" w:rsidP="00D5739B">
      <w:pPr>
        <w:spacing w:after="0"/>
      </w:pPr>
    </w:p>
    <w:p w:rsidR="00D5739B" w:rsidRDefault="00D5739B" w:rsidP="00D5739B">
      <w:pPr>
        <w:pStyle w:val="Odstavecseseznamem"/>
        <w:numPr>
          <w:ilvl w:val="0"/>
          <w:numId w:val="2"/>
        </w:numPr>
        <w:spacing w:after="0"/>
      </w:pPr>
      <w:r>
        <w:t xml:space="preserve">Se všemi biologickými materiály zacházejte jako s potenciálně infekčními. </w:t>
      </w:r>
    </w:p>
    <w:p w:rsidR="00D5739B" w:rsidRDefault="00D5739B" w:rsidP="00D5739B">
      <w:pPr>
        <w:pStyle w:val="Odstavecseseznamem"/>
        <w:numPr>
          <w:ilvl w:val="0"/>
          <w:numId w:val="2"/>
        </w:numPr>
        <w:spacing w:after="0"/>
      </w:pPr>
      <w:r>
        <w:t>Při manipulaci se vzorky a reagencii používejte ochranné rukavice / ochranné oblečení / ochranu očí nebo obličeje.</w:t>
      </w:r>
    </w:p>
    <w:p w:rsidR="00D5739B" w:rsidRDefault="00D5739B" w:rsidP="00D5739B">
      <w:pPr>
        <w:pStyle w:val="Odstavecseseznamem"/>
        <w:numPr>
          <w:ilvl w:val="0"/>
          <w:numId w:val="2"/>
        </w:numPr>
        <w:spacing w:after="0"/>
      </w:pPr>
      <w:r>
        <w:t>Další informace najdete v materiálových bezpečnostních listech.</w:t>
      </w:r>
    </w:p>
    <w:p w:rsidR="00D5739B" w:rsidRDefault="00D5739B" w:rsidP="00D5739B">
      <w:pPr>
        <w:pStyle w:val="Odstavecseseznamem"/>
        <w:numPr>
          <w:ilvl w:val="0"/>
          <w:numId w:val="2"/>
        </w:numPr>
        <w:spacing w:after="0"/>
      </w:pPr>
      <w:r>
        <w:t xml:space="preserve">Upozornění a bezpečnostní opatření pro použití </w:t>
      </w:r>
      <w:r w:rsidR="00CD39E1">
        <w:t>činidel</w:t>
      </w:r>
      <w:r>
        <w:t xml:space="preserve"> najdete na konci t</w:t>
      </w:r>
      <w:r w:rsidR="00CD39E1">
        <w:t>éto příbalové informace.</w:t>
      </w:r>
    </w:p>
    <w:p w:rsidR="008571FA" w:rsidRDefault="008571FA" w:rsidP="008571FA"/>
    <w:p w:rsidR="00D5739B" w:rsidRPr="00534C81" w:rsidRDefault="001A4753" w:rsidP="00D5739B">
      <w:pPr>
        <w:spacing w:after="0"/>
        <w:rPr>
          <w:b/>
        </w:rPr>
      </w:pPr>
      <w:r>
        <w:rPr>
          <w:b/>
        </w:rPr>
        <w:t>Laboratorní postup</w:t>
      </w:r>
      <w:r w:rsidR="001132FD">
        <w:rPr>
          <w:b/>
        </w:rPr>
        <w:t>y</w:t>
      </w:r>
    </w:p>
    <w:p w:rsidR="00D5739B" w:rsidRDefault="00D5739B" w:rsidP="00D5739B">
      <w:pPr>
        <w:spacing w:after="0"/>
      </w:pPr>
    </w:p>
    <w:p w:rsidR="00D5739B" w:rsidRDefault="00D5739B" w:rsidP="00D5739B">
      <w:pPr>
        <w:pStyle w:val="Odstavecseseznamem"/>
        <w:numPr>
          <w:ilvl w:val="0"/>
          <w:numId w:val="3"/>
        </w:numPr>
        <w:spacing w:after="0"/>
      </w:pPr>
      <w:r>
        <w:lastRenderedPageBreak/>
        <w:t xml:space="preserve">Pro dosažení optimálních výsledků přesně dodržujte tento protokol. K zachování přesnosti a správnosti je nezbytné pečlivé pipetování, měření času a promývání během postupu. Pro každý vzorek a kontrolu použijte vždy novou </w:t>
      </w:r>
      <w:proofErr w:type="spellStart"/>
      <w:r>
        <w:t>pipetovací</w:t>
      </w:r>
      <w:proofErr w:type="spellEnd"/>
      <w:r>
        <w:t xml:space="preserve"> špičku.</w:t>
      </w:r>
    </w:p>
    <w:p w:rsidR="00D5739B" w:rsidRDefault="00D5739B" w:rsidP="00D5739B">
      <w:pPr>
        <w:pStyle w:val="Odstavecseseznamem"/>
        <w:numPr>
          <w:ilvl w:val="0"/>
          <w:numId w:val="3"/>
        </w:numPr>
        <w:spacing w:after="0"/>
      </w:pPr>
      <w:r>
        <w:t xml:space="preserve">TMB roztok nevystavujte silnému světlu nebo jakýmkoli oxidačním činidlům. Pro manipulaci s TMB roztokem používejte čisté skleněné nebo plastové nádoby. </w:t>
      </w:r>
    </w:p>
    <w:p w:rsidR="00D5739B" w:rsidRDefault="00D5739B" w:rsidP="00D5739B">
      <w:pPr>
        <w:pStyle w:val="Odstavecseseznamem"/>
        <w:numPr>
          <w:ilvl w:val="0"/>
          <w:numId w:val="3"/>
        </w:numPr>
        <w:spacing w:after="0"/>
      </w:pPr>
      <w:r>
        <w:t>Všechny odpady je třeba před likvidací řádně dekontaminovat. Obsah likvidujte v souladu s místními, regionálními a státními předpisy.</w:t>
      </w:r>
    </w:p>
    <w:p w:rsidR="00D5739B" w:rsidRDefault="00D5739B" w:rsidP="00D5739B">
      <w:pPr>
        <w:pStyle w:val="Odstavecseseznamem"/>
        <w:numPr>
          <w:ilvl w:val="0"/>
          <w:numId w:val="3"/>
        </w:numPr>
        <w:spacing w:after="0"/>
      </w:pPr>
      <w:r>
        <w:t>Snažte se zabránit kontaminaci složek soupravy. Nenalévejte nepoužit</w:t>
      </w:r>
      <w:r w:rsidR="00CD39E1">
        <w:t>á činidla</w:t>
      </w:r>
      <w:r>
        <w:t xml:space="preserve"> zpět do nádob.</w:t>
      </w:r>
    </w:p>
    <w:p w:rsidR="00D5739B" w:rsidRDefault="00D5739B" w:rsidP="008571FA">
      <w:pPr>
        <w:pStyle w:val="Odstavecseseznamem"/>
        <w:numPr>
          <w:ilvl w:val="0"/>
          <w:numId w:val="3"/>
        </w:numPr>
        <w:spacing w:after="0"/>
      </w:pPr>
      <w:r>
        <w:t>Nepoužívejte soupravu po datu exspirace</w:t>
      </w:r>
      <w:r w:rsidR="00CD39E1">
        <w:t>.</w:t>
      </w:r>
    </w:p>
    <w:p w:rsidR="00CD39E1" w:rsidRDefault="00CD39E1" w:rsidP="008571FA">
      <w:pPr>
        <w:pStyle w:val="Odstavecseseznamem"/>
        <w:numPr>
          <w:ilvl w:val="0"/>
          <w:numId w:val="3"/>
        </w:numPr>
        <w:spacing w:after="0"/>
      </w:pPr>
      <w:r>
        <w:t xml:space="preserve">Použití čistících roztoků </w:t>
      </w:r>
      <w:r w:rsidR="0021030E">
        <w:t>na bázi bělidel pro laboratorní povrhy, zařízení nebo nádoby v blízkosti místa testování, může interferovat s provedením testu a je třeba se mu vyhnout.</w:t>
      </w:r>
    </w:p>
    <w:p w:rsidR="0021030E" w:rsidRDefault="0021030E" w:rsidP="0021030E">
      <w:pPr>
        <w:pStyle w:val="Odstavecseseznamem"/>
        <w:spacing w:after="0"/>
      </w:pPr>
    </w:p>
    <w:p w:rsidR="0032459E" w:rsidRPr="00CD39E1" w:rsidRDefault="0032459E" w:rsidP="008571FA">
      <w:pPr>
        <w:rPr>
          <w:b/>
        </w:rPr>
      </w:pPr>
      <w:r w:rsidRPr="00CD39E1">
        <w:rPr>
          <w:b/>
        </w:rPr>
        <w:t>Odběr vzorků</w:t>
      </w:r>
    </w:p>
    <w:p w:rsidR="0032459E" w:rsidRDefault="0032459E" w:rsidP="008571FA">
      <w:r>
        <w:t>Testovat lze buď čerstvé, nebo zmrazené vzorky séra či plazmy. Veškeré rozmrazené vzorky musí být př</w:t>
      </w:r>
      <w:r w:rsidR="008C7294">
        <w:t>ed ředěním důkladně promíchány.</w:t>
      </w:r>
    </w:p>
    <w:p w:rsidR="0032459E" w:rsidRPr="0021030E" w:rsidRDefault="0032459E" w:rsidP="008571FA">
      <w:pPr>
        <w:rPr>
          <w:b/>
        </w:rPr>
      </w:pPr>
      <w:r w:rsidRPr="0021030E">
        <w:rPr>
          <w:b/>
        </w:rPr>
        <w:t xml:space="preserve">Příprava </w:t>
      </w:r>
      <w:r w:rsidR="0021030E" w:rsidRPr="0021030E">
        <w:rPr>
          <w:b/>
        </w:rPr>
        <w:t>činidel</w:t>
      </w:r>
    </w:p>
    <w:p w:rsidR="0032459E" w:rsidRPr="0021030E" w:rsidRDefault="001132FD" w:rsidP="008571FA">
      <w:pPr>
        <w:rPr>
          <w:b/>
          <w:sz w:val="20"/>
        </w:rPr>
      </w:pPr>
      <w:r w:rsidRPr="0021030E">
        <w:rPr>
          <w:b/>
          <w:sz w:val="20"/>
        </w:rPr>
        <w:t xml:space="preserve">Promývací </w:t>
      </w:r>
      <w:r w:rsidR="0021030E">
        <w:rPr>
          <w:b/>
          <w:sz w:val="20"/>
        </w:rPr>
        <w:t>roztok</w:t>
      </w:r>
    </w:p>
    <w:p w:rsidR="0032459E" w:rsidRDefault="001132FD" w:rsidP="008571FA">
      <w:r>
        <w:t>Promývací</w:t>
      </w:r>
      <w:r w:rsidR="0032459E">
        <w:t xml:space="preserve"> koncentrát (10X) může při skladovací </w:t>
      </w:r>
      <w:r w:rsidR="0032459E" w:rsidRPr="0032459E">
        <w:t>teplotě 2–8</w:t>
      </w:r>
      <w:r w:rsidR="0032459E">
        <w:t xml:space="preserve"> </w:t>
      </w:r>
      <w:r w:rsidR="0032459E" w:rsidRPr="0032459E">
        <w:t>°C</w:t>
      </w:r>
      <w:r w:rsidR="0032459E">
        <w:t xml:space="preserve"> vytvářet sraženiny; před ředěním se ujistěte, že je zcela rozpuštěn. Pro přípravu </w:t>
      </w:r>
      <w:r>
        <w:t>promývacího</w:t>
      </w:r>
      <w:r w:rsidR="0032459E">
        <w:t xml:space="preserve"> roztoku přeneste 50 m</w:t>
      </w:r>
      <w:r>
        <w:t xml:space="preserve">l </w:t>
      </w:r>
      <w:r w:rsidR="0032459E">
        <w:t>koncentrátu (10X) do odměrné baňky nebo odměrného válce o objemu 500 ml; přidejte 450 ml destilované/</w:t>
      </w:r>
      <w:proofErr w:type="spellStart"/>
      <w:r w:rsidR="0032459E">
        <w:t>deionizované</w:t>
      </w:r>
      <w:proofErr w:type="spellEnd"/>
      <w:r w:rsidR="0032459E">
        <w:t xml:space="preserve"> vody a důkladně promíchejte. Zředěný roztok lze skladovat při teplotě </w:t>
      </w:r>
      <w:r w:rsidR="0032459E" w:rsidRPr="0032459E">
        <w:t>18–26</w:t>
      </w:r>
      <w:r w:rsidR="0032459E">
        <w:t xml:space="preserve"> </w:t>
      </w:r>
      <w:r w:rsidR="0032459E" w:rsidRPr="0032459E">
        <w:t>°C</w:t>
      </w:r>
      <w:r w:rsidR="0032459E">
        <w:t xml:space="preserve"> po dobu až 3 dní, nebo při teplotě </w:t>
      </w:r>
      <w:r w:rsidR="0032459E" w:rsidRPr="0032459E">
        <w:t>2–8 °C</w:t>
      </w:r>
      <w:r w:rsidR="0032459E">
        <w:t xml:space="preserve"> po dobu až 2 týdnů. </w:t>
      </w:r>
    </w:p>
    <w:p w:rsidR="0032459E" w:rsidRPr="0021030E" w:rsidRDefault="0032459E" w:rsidP="008571FA">
      <w:pPr>
        <w:rPr>
          <w:b/>
          <w:sz w:val="20"/>
        </w:rPr>
      </w:pPr>
      <w:r w:rsidRPr="0021030E">
        <w:rPr>
          <w:b/>
          <w:sz w:val="20"/>
        </w:rPr>
        <w:t>Vzorky a kontrolní vzorky</w:t>
      </w:r>
    </w:p>
    <w:p w:rsidR="008571FA" w:rsidRDefault="0032459E" w:rsidP="008571FA">
      <w:r>
        <w:t>Testované vzorky a kontrolní vzorky z testovací sady zřeďte</w:t>
      </w:r>
      <w:r w:rsidR="00FE6AD3">
        <w:t xml:space="preserve"> ředicím roztokem</w:t>
      </w:r>
      <w:r>
        <w:t xml:space="preserve"> v poměru 1:50 (1 díl vzorku na 49 dílů ředicího roztoku)</w:t>
      </w:r>
      <w:r w:rsidR="00FE6AD3">
        <w:t>. Kontrolní vzorky z testovací sady musí být v každé sérii testovány jako duplikáty.</w:t>
      </w:r>
    </w:p>
    <w:p w:rsidR="00D5739B" w:rsidRPr="005A1625" w:rsidRDefault="00D5739B" w:rsidP="00D5739B">
      <w:pPr>
        <w:rPr>
          <w:b/>
        </w:rPr>
      </w:pPr>
      <w:r w:rsidRPr="005A1625">
        <w:rPr>
          <w:b/>
        </w:rPr>
        <w:t>Postup testu</w:t>
      </w:r>
    </w:p>
    <w:p w:rsidR="00D5739B" w:rsidRPr="005A1625" w:rsidRDefault="00D5739B" w:rsidP="00D5739B">
      <w:r w:rsidRPr="005A1625">
        <w:t xml:space="preserve">Všechny </w:t>
      </w:r>
      <w:r w:rsidR="0021030E">
        <w:t>činidla</w:t>
      </w:r>
      <w:r w:rsidRPr="005A1625">
        <w:t xml:space="preserve"> použité v tomto testu musí mít teplotu 18–26°C. </w:t>
      </w:r>
      <w:r w:rsidR="0021030E">
        <w:t>Činidla</w:t>
      </w:r>
      <w:r w:rsidRPr="005A1625">
        <w:t xml:space="preserve"> se míchají je</w:t>
      </w:r>
      <w:r>
        <w:t xml:space="preserve">mným obracením nebo kroužením. </w:t>
      </w:r>
    </w:p>
    <w:p w:rsidR="00D5739B" w:rsidRPr="005A1625" w:rsidRDefault="00D5739B" w:rsidP="00D5739B">
      <w:r w:rsidRPr="005A1625">
        <w:t xml:space="preserve">1. </w:t>
      </w:r>
      <w:r>
        <w:t>Vyjměte</w:t>
      </w:r>
      <w:r w:rsidRPr="005A1625">
        <w:t xml:space="preserve"> potažené destičky</w:t>
      </w:r>
      <w:r>
        <w:t xml:space="preserve"> z obalu</w:t>
      </w:r>
      <w:r w:rsidRPr="005A1625">
        <w:t xml:space="preserve"> a zaznamenejte umístění vzorku. Používáte-li pouze část destičky, oddělte množství jamek odpovídající počtu testovaných vzorků. Zbylé jamky uložte spolu s desikantem do přiloženého sáčku se zipovým uzávěrem a vraťte do chladna (2–8°C).</w:t>
      </w:r>
    </w:p>
    <w:p w:rsidR="00D5739B" w:rsidRPr="005A1625" w:rsidRDefault="00D5739B" w:rsidP="00D5739B">
      <w:r>
        <w:t>2</w:t>
      </w:r>
      <w:r w:rsidRPr="005A1625">
        <w:t>. D</w:t>
      </w:r>
      <w:r>
        <w:t>ejte 10</w:t>
      </w:r>
      <w:r w:rsidRPr="005A1625">
        <w:t xml:space="preserve">0 </w:t>
      </w:r>
      <w:proofErr w:type="spellStart"/>
      <w:r w:rsidRPr="005A1625">
        <w:t>μl</w:t>
      </w:r>
      <w:proofErr w:type="spellEnd"/>
      <w:r w:rsidRPr="005A1625">
        <w:t xml:space="preserve"> </w:t>
      </w:r>
      <w:r>
        <w:t xml:space="preserve">ZŘEDĚNÉHO </w:t>
      </w:r>
      <w:r w:rsidRPr="005A1625">
        <w:t>negativního kontrolního vzorku (N</w:t>
      </w:r>
      <w:r>
        <w:t>K)</w:t>
      </w:r>
      <w:r w:rsidR="0021030E">
        <w:t xml:space="preserve"> do duplicitních jamek.</w:t>
      </w:r>
    </w:p>
    <w:p w:rsidR="00D5739B" w:rsidRPr="005A1625" w:rsidRDefault="00D5739B" w:rsidP="00D5739B">
      <w:r>
        <w:t>3</w:t>
      </w:r>
      <w:r w:rsidRPr="005A1625">
        <w:t xml:space="preserve">. Dejte </w:t>
      </w:r>
      <w:r>
        <w:t>10</w:t>
      </w:r>
      <w:r w:rsidRPr="005A1625">
        <w:t xml:space="preserve">0 </w:t>
      </w:r>
      <w:proofErr w:type="spellStart"/>
      <w:r w:rsidRPr="005A1625">
        <w:t>μl</w:t>
      </w:r>
      <w:proofErr w:type="spellEnd"/>
      <w:r w:rsidRPr="005A1625">
        <w:t xml:space="preserve"> </w:t>
      </w:r>
      <w:r>
        <w:t xml:space="preserve">ZŘEDĚNÉHO </w:t>
      </w:r>
      <w:r w:rsidRPr="005A1625">
        <w:t>pozitivního kontrolního vzorku (PK</w:t>
      </w:r>
      <w:r>
        <w:t>)</w:t>
      </w:r>
      <w:r w:rsidR="0021030E">
        <w:t xml:space="preserve"> do duplicitních jamek.</w:t>
      </w:r>
    </w:p>
    <w:p w:rsidR="00E71156" w:rsidRDefault="008571FA" w:rsidP="008571FA">
      <w:r>
        <w:t>4</w:t>
      </w:r>
      <w:r w:rsidR="00E71156">
        <w:t>.</w:t>
      </w:r>
      <w:r w:rsidR="00185C32">
        <w:t xml:space="preserve"> Do vyhrazených jamek dejte 100 </w:t>
      </w:r>
      <w:proofErr w:type="spellStart"/>
      <w:r w:rsidR="00185C32">
        <w:t>μL</w:t>
      </w:r>
      <w:proofErr w:type="spellEnd"/>
      <w:r w:rsidR="00185C32">
        <w:t xml:space="preserve"> ZŘEDĚNÉHO vzorku. Vzorky se doporučuje testovat ve dvou opakováních, ale lze i jen v jednom. </w:t>
      </w:r>
    </w:p>
    <w:p w:rsidR="008571FA" w:rsidRDefault="00185C32" w:rsidP="008571FA">
      <w:r>
        <w:t>5.  Zakryjte jamky a inkubujte při teplotě 18–26 °C po dobu 60 minut (±5 minut).</w:t>
      </w:r>
    </w:p>
    <w:p w:rsidR="008571FA" w:rsidRDefault="00185C32" w:rsidP="008571FA">
      <w:r>
        <w:lastRenderedPageBreak/>
        <w:t xml:space="preserve">6. Odstraňte roztok a každou jamku 3-5x propláchněte asi 300 </w:t>
      </w:r>
      <w:proofErr w:type="spellStart"/>
      <w:r w:rsidRPr="003B4DF7">
        <w:t>μ</w:t>
      </w:r>
      <w:r>
        <w:t>l</w:t>
      </w:r>
      <w:proofErr w:type="spellEnd"/>
      <w:r>
        <w:t xml:space="preserve"> </w:t>
      </w:r>
      <w:r w:rsidR="001132FD">
        <w:t>promýva</w:t>
      </w:r>
      <w:r>
        <w:t>cího roztoku. Mezi vymýváním a před přidáním další</w:t>
      </w:r>
      <w:r w:rsidR="0021030E">
        <w:t>ho činidla</w:t>
      </w:r>
      <w:r>
        <w:t xml:space="preserve"> nenechte destičku vyschnout. Pro odstranění zbylého </w:t>
      </w:r>
      <w:r w:rsidR="001132FD">
        <w:t>promývacího</w:t>
      </w:r>
      <w:r>
        <w:t xml:space="preserve"> roztoku</w:t>
      </w:r>
      <w:r w:rsidR="0021030E">
        <w:t>,</w:t>
      </w:r>
      <w:r>
        <w:t xml:space="preserve"> po posledním vymytí destičkou</w:t>
      </w:r>
      <w:r w:rsidR="0021030E">
        <w:t>,</w:t>
      </w:r>
      <w:r>
        <w:t xml:space="preserve"> poklepejte na savý materiál.</w:t>
      </w:r>
    </w:p>
    <w:p w:rsidR="00185C32" w:rsidRDefault="008571FA" w:rsidP="008571FA">
      <w:r>
        <w:t>7</w:t>
      </w:r>
      <w:r w:rsidR="00185C32">
        <w:t xml:space="preserve">. Do každé jamky dejte 100 </w:t>
      </w:r>
      <w:proofErr w:type="spellStart"/>
      <w:r w:rsidR="00185C32">
        <w:t>μL</w:t>
      </w:r>
      <w:proofErr w:type="spellEnd"/>
      <w:r w:rsidR="00185C32">
        <w:t xml:space="preserve"> konjugátu.</w:t>
      </w:r>
    </w:p>
    <w:p w:rsidR="00185C32" w:rsidRDefault="00185C32" w:rsidP="00185C32">
      <w:r>
        <w:t>8. Zakryjte jamky a inkubujte při teplotě 18–26 °C po dobu 30 minut (±2 minuty).</w:t>
      </w:r>
    </w:p>
    <w:p w:rsidR="008571FA" w:rsidRDefault="00185C32" w:rsidP="008571FA">
      <w:r>
        <w:t>9. Opakujte krok 6.</w:t>
      </w:r>
    </w:p>
    <w:p w:rsidR="008571FA" w:rsidRDefault="00A66889" w:rsidP="008571FA">
      <w:r>
        <w:t xml:space="preserve">10. Do každé jamky dejte 100 </w:t>
      </w:r>
      <w:proofErr w:type="spellStart"/>
      <w:r>
        <w:t>μL</w:t>
      </w:r>
      <w:proofErr w:type="spellEnd"/>
      <w:r>
        <w:t xml:space="preserve"> TMB substrátu.</w:t>
      </w:r>
    </w:p>
    <w:p w:rsidR="00A66889" w:rsidRDefault="00A66889" w:rsidP="008571FA">
      <w:r>
        <w:t>11. Zakryjte jamky a inkubujte při teplotě 18–26 °C po dobu 15 minut (±1 minuta).</w:t>
      </w:r>
    </w:p>
    <w:p w:rsidR="00A66889" w:rsidRDefault="00A66889" w:rsidP="008571FA">
      <w:r>
        <w:t xml:space="preserve">12. Do každé jamky přidejte 100 </w:t>
      </w:r>
      <w:proofErr w:type="spellStart"/>
      <w:r w:rsidRPr="003B4DF7">
        <w:t>μl</w:t>
      </w:r>
      <w:proofErr w:type="spellEnd"/>
      <w:r>
        <w:t xml:space="preserve"> zastavovacího roztoku.</w:t>
      </w:r>
    </w:p>
    <w:p w:rsidR="00A66889" w:rsidRDefault="00A66889" w:rsidP="008571FA">
      <w:r>
        <w:t xml:space="preserve">13. Změřte a zaznamenejte absorbanci vzorků při 450 </w:t>
      </w:r>
      <w:proofErr w:type="spellStart"/>
      <w:proofErr w:type="gramStart"/>
      <w:r>
        <w:t>nm</w:t>
      </w:r>
      <w:proofErr w:type="spellEnd"/>
      <w:r>
        <w:t>, A(450</w:t>
      </w:r>
      <w:proofErr w:type="gramEnd"/>
      <w:r>
        <w:t>).</w:t>
      </w:r>
    </w:p>
    <w:p w:rsidR="008571FA" w:rsidRDefault="008571FA" w:rsidP="008571FA"/>
    <w:p w:rsidR="008571FA" w:rsidRDefault="008571FA" w:rsidP="008571FA">
      <w:r>
        <w:t>14</w:t>
      </w:r>
      <w:r w:rsidR="008C7294">
        <w:t>.</w:t>
      </w:r>
      <w:r>
        <w:t xml:space="preserve"> </w:t>
      </w:r>
      <w:r w:rsidR="00A66889">
        <w:t xml:space="preserve"> Výpočty</w:t>
      </w:r>
      <w:r>
        <w:t>:</w:t>
      </w:r>
    </w:p>
    <w:p w:rsidR="00A66889" w:rsidRDefault="00A66889" w:rsidP="00A66889">
      <w:pPr>
        <w:spacing w:after="0"/>
        <w:rPr>
          <w:b/>
        </w:rPr>
      </w:pPr>
      <w:r w:rsidRPr="00B440A5">
        <w:rPr>
          <w:b/>
        </w:rPr>
        <w:t>Kontrolní vzorky</w:t>
      </w:r>
    </w:p>
    <w:p w:rsidR="00A66889" w:rsidRPr="00B440A5" w:rsidRDefault="00A66889" w:rsidP="00A66889">
      <w:pPr>
        <w:spacing w:after="0"/>
        <w:rPr>
          <w:b/>
        </w:rPr>
      </w:pPr>
    </w:p>
    <w:p w:rsidR="008571FA" w:rsidRPr="008571FA" w:rsidRDefault="008571FA" w:rsidP="008571FA">
      <w:proofErr w:type="spellStart"/>
      <w:r>
        <w:rPr>
          <w:u w:val="single"/>
        </w:rPr>
        <w:t>N</w:t>
      </w:r>
      <w:r w:rsidR="00A66889">
        <w:rPr>
          <w:u w:val="single"/>
        </w:rPr>
        <w:t>K</w:t>
      </w:r>
      <w:r>
        <w:rPr>
          <w:u w:val="single"/>
        </w:rPr>
        <w:t>x</w:t>
      </w:r>
      <w:proofErr w:type="spellEnd"/>
      <w:r>
        <w:rPr>
          <w:u w:val="single"/>
        </w:rPr>
        <w:t xml:space="preserve"> = </w:t>
      </w:r>
      <w:proofErr w:type="gramStart"/>
      <w:r>
        <w:rPr>
          <w:u w:val="single"/>
        </w:rPr>
        <w:t>N</w:t>
      </w:r>
      <w:r w:rsidR="00A66889">
        <w:rPr>
          <w:u w:val="single"/>
        </w:rPr>
        <w:t>K</w:t>
      </w:r>
      <w:r>
        <w:rPr>
          <w:u w:val="single"/>
        </w:rPr>
        <w:t>1 A(450</w:t>
      </w:r>
      <w:proofErr w:type="gramEnd"/>
      <w:r>
        <w:rPr>
          <w:u w:val="single"/>
        </w:rPr>
        <w:t>) + N</w:t>
      </w:r>
      <w:r w:rsidR="00A66889">
        <w:rPr>
          <w:u w:val="single"/>
        </w:rPr>
        <w:t>K</w:t>
      </w:r>
      <w:r>
        <w:rPr>
          <w:u w:val="single"/>
        </w:rPr>
        <w:t>2 A(450)</w:t>
      </w:r>
      <w:r w:rsidRPr="008571FA">
        <w:t xml:space="preserve">                                              </w:t>
      </w:r>
      <w:proofErr w:type="spellStart"/>
      <w:r w:rsidRPr="008571FA">
        <w:rPr>
          <w:u w:val="single"/>
        </w:rPr>
        <w:t>P</w:t>
      </w:r>
      <w:r w:rsidR="00A66889">
        <w:rPr>
          <w:u w:val="single"/>
        </w:rPr>
        <w:t>K</w:t>
      </w:r>
      <w:r w:rsidRPr="008571FA">
        <w:rPr>
          <w:u w:val="single"/>
        </w:rPr>
        <w:t>x</w:t>
      </w:r>
      <w:proofErr w:type="spellEnd"/>
      <w:r w:rsidRPr="008571FA">
        <w:rPr>
          <w:u w:val="single"/>
        </w:rPr>
        <w:t xml:space="preserve"> = P</w:t>
      </w:r>
      <w:r w:rsidR="00A66889">
        <w:rPr>
          <w:u w:val="single"/>
        </w:rPr>
        <w:t>K</w:t>
      </w:r>
      <w:r w:rsidRPr="008571FA">
        <w:rPr>
          <w:u w:val="single"/>
        </w:rPr>
        <w:t>1 A(450) + P</w:t>
      </w:r>
      <w:r w:rsidR="00A66889">
        <w:rPr>
          <w:u w:val="single"/>
        </w:rPr>
        <w:t>K</w:t>
      </w:r>
      <w:r w:rsidRPr="008571FA">
        <w:rPr>
          <w:u w:val="single"/>
        </w:rPr>
        <w:t>2 A(450)</w:t>
      </w:r>
      <w:r>
        <w:rPr>
          <w:u w:val="single"/>
        </w:rPr>
        <w:br/>
      </w:r>
      <w:r>
        <w:t xml:space="preserve">                           2                                                                                                    2</w:t>
      </w:r>
    </w:p>
    <w:p w:rsidR="008571FA" w:rsidRPr="00A66889" w:rsidRDefault="008571FA" w:rsidP="00A66889">
      <w:pPr>
        <w:spacing w:after="0"/>
        <w:rPr>
          <w:b/>
        </w:rPr>
      </w:pPr>
      <w:r>
        <w:rPr>
          <w:u w:val="single"/>
        </w:rPr>
        <w:br/>
      </w:r>
      <w:r w:rsidR="00A66889" w:rsidRPr="00B440A5">
        <w:rPr>
          <w:b/>
        </w:rPr>
        <w:t xml:space="preserve">Kritéria validity </w:t>
      </w:r>
      <w:r w:rsidR="00A66889">
        <w:rPr>
          <w:b/>
        </w:rPr>
        <w:br/>
      </w:r>
    </w:p>
    <w:p w:rsidR="003622EF" w:rsidRDefault="008571FA" w:rsidP="008571FA">
      <w:proofErr w:type="spellStart"/>
      <w:r>
        <w:t>N</w:t>
      </w:r>
      <w:r w:rsidR="00A66889">
        <w:t>K</w:t>
      </w:r>
      <w:r>
        <w:t>x</w:t>
      </w:r>
      <w:proofErr w:type="spellEnd"/>
      <w:r>
        <w:t xml:space="preserve"> ≤ 0</w:t>
      </w:r>
      <w:r w:rsidR="00A276E5">
        <w:t>,</w:t>
      </w:r>
      <w:r>
        <w:t xml:space="preserve">200                                  </w:t>
      </w:r>
      <w:proofErr w:type="spellStart"/>
      <w:r>
        <w:t>P</w:t>
      </w:r>
      <w:r w:rsidR="00A66889">
        <w:t>K</w:t>
      </w:r>
      <w:r>
        <w:t>x</w:t>
      </w:r>
      <w:proofErr w:type="spellEnd"/>
      <w:r>
        <w:t xml:space="preserve"> ≥ 0</w:t>
      </w:r>
      <w:r w:rsidR="00A276E5">
        <w:t>,</w:t>
      </w:r>
      <w:r>
        <w:t>300</w:t>
      </w:r>
      <w:r w:rsidRPr="008571FA">
        <w:t xml:space="preserve">   </w:t>
      </w:r>
    </w:p>
    <w:p w:rsidR="00A66889" w:rsidRDefault="00A66889" w:rsidP="003622EF">
      <w:r>
        <w:t>Při neplatnosti výsledků je třeba předpokládat chybu v technice provedení. Doporučuje se důkladně znovu prostudovat př</w:t>
      </w:r>
      <w:r w:rsidR="00754D9B">
        <w:t>íbalovou informaci</w:t>
      </w:r>
      <w:r>
        <w:t xml:space="preserve"> a test provést znovu. </w:t>
      </w:r>
    </w:p>
    <w:p w:rsidR="00A66889" w:rsidRDefault="00A66889" w:rsidP="00A66889">
      <w:pPr>
        <w:spacing w:after="0"/>
        <w:rPr>
          <w:b/>
        </w:rPr>
      </w:pPr>
      <w:r w:rsidRPr="00B440A5">
        <w:rPr>
          <w:b/>
        </w:rPr>
        <w:t>Vzorky</w:t>
      </w:r>
    </w:p>
    <w:p w:rsidR="00A66889" w:rsidRPr="00B440A5" w:rsidRDefault="00A66889" w:rsidP="00A66889">
      <w:pPr>
        <w:spacing w:after="0"/>
        <w:rPr>
          <w:b/>
        </w:rPr>
      </w:pPr>
    </w:p>
    <w:p w:rsidR="008571FA" w:rsidRDefault="003622EF" w:rsidP="003622EF">
      <w:r>
        <w:t>S/P =</w:t>
      </w:r>
      <w:proofErr w:type="gramStart"/>
      <w:r w:rsidR="00A66889" w:rsidRPr="00A276E5">
        <w:rPr>
          <w:u w:val="single"/>
        </w:rPr>
        <w:t>Vzorek</w:t>
      </w:r>
      <w:r w:rsidRPr="00A276E5">
        <w:rPr>
          <w:u w:val="single"/>
        </w:rPr>
        <w:t xml:space="preserve"> A(450</w:t>
      </w:r>
      <w:proofErr w:type="gramEnd"/>
      <w:r w:rsidRPr="00A276E5">
        <w:rPr>
          <w:u w:val="single"/>
        </w:rPr>
        <w:t xml:space="preserve">) – </w:t>
      </w:r>
      <w:proofErr w:type="spellStart"/>
      <w:r w:rsidRPr="00A276E5">
        <w:rPr>
          <w:u w:val="single"/>
        </w:rPr>
        <w:t>N</w:t>
      </w:r>
      <w:r w:rsidR="00A66889" w:rsidRPr="00A276E5">
        <w:rPr>
          <w:u w:val="single"/>
        </w:rPr>
        <w:t>K</w:t>
      </w:r>
      <w:r w:rsidRPr="00A276E5">
        <w:rPr>
          <w:u w:val="single"/>
        </w:rPr>
        <w:t>x</w:t>
      </w:r>
      <w:proofErr w:type="spellEnd"/>
      <m:oMath>
        <m:r>
          <m:rPr>
            <m:sty m:val="p"/>
          </m:rPr>
          <w:rPr>
            <w:rFonts w:ascii="Cambria Math" w:hAnsi="Cambria Math"/>
          </w:rPr>
          <w:br/>
        </m:r>
      </m:oMath>
      <w:r w:rsidR="008571FA" w:rsidRPr="008571FA">
        <w:t xml:space="preserve">            </w:t>
      </w:r>
      <w:r>
        <w:t xml:space="preserve"> </w:t>
      </w:r>
      <w:proofErr w:type="spellStart"/>
      <w:r>
        <w:t>P</w:t>
      </w:r>
      <w:r w:rsidR="00A66889">
        <w:t>K</w:t>
      </w:r>
      <w:r>
        <w:t>x</w:t>
      </w:r>
      <w:proofErr w:type="spellEnd"/>
      <w:r>
        <w:t xml:space="preserve"> – </w:t>
      </w:r>
      <w:proofErr w:type="spellStart"/>
      <w:r>
        <w:t>N</w:t>
      </w:r>
      <w:r w:rsidR="00A66889">
        <w:t>K</w:t>
      </w:r>
      <w:r>
        <w:t>x</w:t>
      </w:r>
      <w:proofErr w:type="spellEnd"/>
    </w:p>
    <w:p w:rsidR="00A276E5" w:rsidRDefault="00A276E5" w:rsidP="003622EF">
      <w:r>
        <w:t xml:space="preserve">Přítomnost nebo nepřítomnost protilátek proti </w:t>
      </w:r>
      <w:r w:rsidRPr="008C7294">
        <w:rPr>
          <w:i/>
        </w:rPr>
        <w:t xml:space="preserve">M. </w:t>
      </w:r>
      <w:proofErr w:type="spellStart"/>
      <w:r w:rsidRPr="008C7294">
        <w:rPr>
          <w:i/>
        </w:rPr>
        <w:t>bovis</w:t>
      </w:r>
      <w:proofErr w:type="spellEnd"/>
      <w:r>
        <w:t xml:space="preserve"> se určuje výpočtem poměru </w:t>
      </w:r>
      <w:r w:rsidR="00C82EE9">
        <w:t xml:space="preserve">absorbance </w:t>
      </w:r>
      <w:r>
        <w:t>vzorku k pozitivnímu kontrolnímu vzorku (S/P) pro každý vzorek zvlášť.</w:t>
      </w:r>
    </w:p>
    <w:p w:rsidR="00A276E5" w:rsidRDefault="00A276E5" w:rsidP="00A276E5">
      <w:r>
        <w:t>15</w:t>
      </w:r>
      <w:r w:rsidR="00754D9B">
        <w:t>.</w:t>
      </w:r>
      <w:r>
        <w:t xml:space="preserve"> Interpretace:</w:t>
      </w:r>
    </w:p>
    <w:p w:rsidR="00A276E5" w:rsidRDefault="00A276E5" w:rsidP="00A276E5">
      <w:r>
        <w:t>Negativní                                            Pozitivní</w:t>
      </w:r>
    </w:p>
    <w:p w:rsidR="008571FA" w:rsidRDefault="00A276E5" w:rsidP="00A276E5">
      <w:r>
        <w:t>S/P &lt; 0,30                                             S/P ≥ 0,30</w:t>
      </w:r>
    </w:p>
    <w:p w:rsidR="00A276E5" w:rsidRDefault="00A276E5" w:rsidP="00A276E5">
      <w:pPr>
        <w:spacing w:after="0"/>
      </w:pPr>
      <w:r w:rsidRPr="007C45B0">
        <w:rPr>
          <w:b/>
        </w:rPr>
        <w:t>Poznámka:</w:t>
      </w:r>
      <w:r>
        <w:t xml:space="preserve"> Společnost IDEXX má přístrojové a softwarové systémy, které vypočítávají výsledky a poskytují souhrny údajů.</w:t>
      </w:r>
    </w:p>
    <w:p w:rsidR="00A276E5" w:rsidRDefault="00A276E5" w:rsidP="00A276E5"/>
    <w:p w:rsidR="00FE6AD3" w:rsidRDefault="00FE6AD3" w:rsidP="00A276E5">
      <w:r>
        <w:t>Omezení použití</w:t>
      </w:r>
    </w:p>
    <w:p w:rsidR="00FE6AD3" w:rsidRDefault="00FE6AD3" w:rsidP="00A276E5">
      <w:r>
        <w:lastRenderedPageBreak/>
        <w:t xml:space="preserve">Negativní výsledek testu nevylučuje možnost infekce </w:t>
      </w:r>
      <w:r w:rsidRPr="008C7294">
        <w:rPr>
          <w:i/>
        </w:rPr>
        <w:t xml:space="preserve">M. </w:t>
      </w:r>
      <w:proofErr w:type="spellStart"/>
      <w:r w:rsidRPr="008C7294">
        <w:rPr>
          <w:i/>
        </w:rPr>
        <w:t>bovis</w:t>
      </w:r>
      <w:proofErr w:type="spellEnd"/>
      <w:r>
        <w:t xml:space="preserve">. Protilátky proti </w:t>
      </w:r>
      <w:r w:rsidRPr="008C7294">
        <w:rPr>
          <w:i/>
        </w:rPr>
        <w:t xml:space="preserve">M. </w:t>
      </w:r>
      <w:proofErr w:type="spellStart"/>
      <w:r w:rsidRPr="008C7294">
        <w:rPr>
          <w:i/>
        </w:rPr>
        <w:t>bovis</w:t>
      </w:r>
      <w:proofErr w:type="spellEnd"/>
      <w:r>
        <w:t xml:space="preserve"> </w:t>
      </w:r>
      <w:r w:rsidR="00C82EE9">
        <w:t>se mohou vyskytnout přechodně nebo se vytvořit</w:t>
      </w:r>
      <w:r>
        <w:t xml:space="preserve"> až v pozdějších fázích infekce a také ne všechna infikovaná </w:t>
      </w:r>
      <w:r w:rsidR="00C82EE9">
        <w:t xml:space="preserve">zvířata </w:t>
      </w:r>
      <w:r w:rsidR="00C76FF1">
        <w:t>vykazují pozitivní reakci</w:t>
      </w:r>
      <w:r>
        <w:t xml:space="preserve">. </w:t>
      </w:r>
      <w:r w:rsidR="008C7294">
        <w:t xml:space="preserve">Pozitivní výsledek testu u testovaného zvířete naznačuje přítomnost protilátek proti </w:t>
      </w:r>
      <w:r w:rsidR="008C7294" w:rsidRPr="008C7294">
        <w:rPr>
          <w:i/>
        </w:rPr>
        <w:t xml:space="preserve">M. </w:t>
      </w:r>
      <w:proofErr w:type="spellStart"/>
      <w:r w:rsidR="008C7294" w:rsidRPr="008C7294">
        <w:rPr>
          <w:i/>
        </w:rPr>
        <w:t>bovis</w:t>
      </w:r>
      <w:proofErr w:type="spellEnd"/>
      <w:r w:rsidR="008C7294">
        <w:t xml:space="preserve">. Vzhledem k možnosti expozice a reakce na mykobakterie přítomné v prostředí (např. </w:t>
      </w:r>
      <w:r w:rsidR="008C7294" w:rsidRPr="008C7294">
        <w:rPr>
          <w:i/>
        </w:rPr>
        <w:t xml:space="preserve">M. </w:t>
      </w:r>
      <w:proofErr w:type="spellStart"/>
      <w:r w:rsidR="008C7294" w:rsidRPr="008C7294">
        <w:rPr>
          <w:i/>
        </w:rPr>
        <w:t>kansasii</w:t>
      </w:r>
      <w:proofErr w:type="spellEnd"/>
      <w:r w:rsidR="008C7294" w:rsidRPr="008C7294">
        <w:rPr>
          <w:i/>
        </w:rPr>
        <w:t>)</w:t>
      </w:r>
      <w:r w:rsidR="008C7294">
        <w:t xml:space="preserve"> by měly být při klasifikování zvířete či stáda zohledněny výsledky všech testů na tuberkulózu (kožní</w:t>
      </w:r>
      <w:r w:rsidR="00422B69">
        <w:t xml:space="preserve"> test</w:t>
      </w:r>
      <w:r w:rsidR="008C7294">
        <w:t xml:space="preserve">, </w:t>
      </w:r>
      <w:r w:rsidR="00C76FF1">
        <w:t xml:space="preserve">test na </w:t>
      </w:r>
      <w:r w:rsidR="008C7294">
        <w:t xml:space="preserve">gama interferon a </w:t>
      </w:r>
      <w:r w:rsidR="00C76FF1">
        <w:t xml:space="preserve">test </w:t>
      </w:r>
      <w:r w:rsidR="008C7294">
        <w:t>ELISA</w:t>
      </w:r>
      <w:r w:rsidR="00C76FF1">
        <w:t xml:space="preserve"> na protilát</w:t>
      </w:r>
      <w:r w:rsidR="008C7294">
        <w:t>k</w:t>
      </w:r>
      <w:r w:rsidR="00C76FF1">
        <w:t>y</w:t>
      </w:r>
      <w:r w:rsidR="008C7294">
        <w:t>) v kombinaci s anamnézou stáda. Na základě testu nelze prohlašovat zvíře či stádo za prosté nákazy.</w:t>
      </w:r>
    </w:p>
    <w:p w:rsidR="008C7294" w:rsidRPr="00754D9B" w:rsidRDefault="008C7294" w:rsidP="00A276E5">
      <w:pPr>
        <w:rPr>
          <w:b/>
        </w:rPr>
      </w:pPr>
      <w:r w:rsidRPr="00754D9B">
        <w:rPr>
          <w:b/>
        </w:rPr>
        <w:t>Certifikace OIE</w:t>
      </w:r>
    </w:p>
    <w:p w:rsidR="008C7294" w:rsidRPr="00754D9B" w:rsidRDefault="008C7294" w:rsidP="00A276E5">
      <w:pPr>
        <w:rPr>
          <w:b/>
        </w:rPr>
      </w:pPr>
      <w:r w:rsidRPr="00754D9B">
        <w:rPr>
          <w:b/>
        </w:rPr>
        <w:t>Souhrn validačních studií</w:t>
      </w:r>
    </w:p>
    <w:p w:rsidR="008C7294" w:rsidRDefault="00F27E4B" w:rsidP="00A276E5">
      <w:r>
        <w:t xml:space="preserve">Komplexní informace najdete v registru diagnostických testů na </w:t>
      </w:r>
      <w:hyperlink r:id="rId7" w:history="1">
        <w:r w:rsidRPr="007F1B35">
          <w:rPr>
            <w:rStyle w:val="Hypertextovodkaz"/>
          </w:rPr>
          <w:t>www.oie.int</w:t>
        </w:r>
      </w:hyperlink>
      <w:r>
        <w:t>.</w:t>
      </w:r>
    </w:p>
    <w:p w:rsidR="00F27E4B" w:rsidRPr="00754D9B" w:rsidRDefault="00C76FF1" w:rsidP="00A276E5">
      <w:pPr>
        <w:rPr>
          <w:b/>
        </w:rPr>
      </w:pPr>
      <w:r w:rsidRPr="00754D9B">
        <w:rPr>
          <w:b/>
        </w:rPr>
        <w:t>Analytické charakteristiky</w:t>
      </w:r>
      <w:r w:rsidR="00F27E4B" w:rsidRPr="00754D9B">
        <w:rPr>
          <w:b/>
        </w:rPr>
        <w:t>:</w:t>
      </w:r>
    </w:p>
    <w:p w:rsidR="00F27E4B" w:rsidRDefault="00F27E4B" w:rsidP="00A276E5">
      <w:r w:rsidRPr="00754D9B">
        <w:rPr>
          <w:b/>
        </w:rPr>
        <w:t>Přesnost:</w:t>
      </w:r>
      <w:r>
        <w:t xml:space="preserve"> CV destiček (optická hustota negativního kontrolního vzorku): 14,5 % - 17.7 %</w:t>
      </w:r>
      <w:r>
        <w:br/>
        <w:t>CV destiček (optická hustota slabě pozitivního vzorku) = 8,7 % - 11,9 %</w:t>
      </w:r>
      <w:r>
        <w:br/>
        <w:t>CV destiček (optická hustota středně pozitivního vzorku) = 5,7 % - 10,3 %</w:t>
      </w:r>
    </w:p>
    <w:p w:rsidR="00F27E4B" w:rsidRDefault="00F27E4B" w:rsidP="00A276E5">
      <w:r w:rsidRPr="00754D9B">
        <w:rPr>
          <w:b/>
        </w:rPr>
        <w:t>Opakovatelnost:</w:t>
      </w:r>
      <w:r>
        <w:t xml:space="preserve"> Mezi destičkami (hodnota S/P pro nejednoznačný vzorek) = 18 % - 27 %</w:t>
      </w:r>
      <w:r>
        <w:br/>
        <w:t>Mezi destičkami (hodnota S/P pro pozitivní vzorek) = 12 % - 21 %</w:t>
      </w:r>
    </w:p>
    <w:p w:rsidR="00F27E4B" w:rsidRDefault="00F27E4B" w:rsidP="00A276E5">
      <w:r w:rsidRPr="00754D9B">
        <w:rPr>
          <w:b/>
        </w:rPr>
        <w:t>Analytická specificita:</w:t>
      </w:r>
      <w:r>
        <w:t xml:space="preserve"> </w:t>
      </w:r>
      <w:r>
        <w:br/>
        <w:t>Data indikují, že tato testovací sada je velmi specifická vůči jiným mykobakteriím z prostředí (např. M</w:t>
      </w:r>
      <w:r w:rsidRPr="00422B69">
        <w:rPr>
          <w:i/>
        </w:rPr>
        <w:t xml:space="preserve">. </w:t>
      </w:r>
      <w:proofErr w:type="spellStart"/>
      <w:r w:rsidRPr="00422B69">
        <w:rPr>
          <w:i/>
        </w:rPr>
        <w:t>avium</w:t>
      </w:r>
      <w:proofErr w:type="spellEnd"/>
      <w:r w:rsidRPr="00422B69">
        <w:rPr>
          <w:i/>
        </w:rPr>
        <w:t xml:space="preserve">, M. </w:t>
      </w:r>
      <w:proofErr w:type="spellStart"/>
      <w:r w:rsidRPr="00422B69">
        <w:rPr>
          <w:i/>
        </w:rPr>
        <w:t>paratuberculosis</w:t>
      </w:r>
      <w:proofErr w:type="spellEnd"/>
      <w:r w:rsidRPr="00422B69">
        <w:rPr>
          <w:i/>
        </w:rPr>
        <w:t xml:space="preserve">, M. </w:t>
      </w:r>
      <w:proofErr w:type="spellStart"/>
      <w:r w:rsidRPr="00422B69">
        <w:rPr>
          <w:i/>
        </w:rPr>
        <w:t>kansasii</w:t>
      </w:r>
      <w:proofErr w:type="spellEnd"/>
      <w:r>
        <w:t xml:space="preserve">). Izolace </w:t>
      </w:r>
      <w:r w:rsidRPr="00422B69">
        <w:rPr>
          <w:i/>
        </w:rPr>
        <w:t xml:space="preserve">M. </w:t>
      </w:r>
      <w:proofErr w:type="spellStart"/>
      <w:r w:rsidRPr="00422B69">
        <w:rPr>
          <w:i/>
        </w:rPr>
        <w:t>kansasii</w:t>
      </w:r>
      <w:proofErr w:type="spellEnd"/>
      <w:r>
        <w:t xml:space="preserve"> jsou vzácné, nicméně infekce </w:t>
      </w:r>
      <w:r w:rsidRPr="00422B69">
        <w:rPr>
          <w:i/>
        </w:rPr>
        <w:t xml:space="preserve">M. </w:t>
      </w:r>
      <w:proofErr w:type="spellStart"/>
      <w:r w:rsidRPr="00422B69">
        <w:rPr>
          <w:i/>
        </w:rPr>
        <w:t>kansasii</w:t>
      </w:r>
      <w:proofErr w:type="spellEnd"/>
      <w:r>
        <w:t xml:space="preserve"> (vysokými dávkami)</w:t>
      </w:r>
      <w:r w:rsidR="00B41873">
        <w:t xml:space="preserve"> může způsobit falešně pozitivní výsledky, což zdůrazňuje omezení screeningových testů založ</w:t>
      </w:r>
      <w:r w:rsidR="00C76FF1">
        <w:t>ených na proteinech obsažených v různých druzích</w:t>
      </w:r>
      <w:r w:rsidR="00B41873">
        <w:t xml:space="preserve"> mykobakterií.</w:t>
      </w:r>
    </w:p>
    <w:p w:rsidR="00B41873" w:rsidRDefault="00EC1744" w:rsidP="00A276E5">
      <w:r w:rsidRPr="00754D9B">
        <w:rPr>
          <w:b/>
        </w:rPr>
        <w:t>Analytická citlivost</w:t>
      </w:r>
      <w:r w:rsidR="00B41873" w:rsidRPr="00754D9B">
        <w:rPr>
          <w:b/>
        </w:rPr>
        <w:t>:</w:t>
      </w:r>
      <w:r w:rsidR="00B41873">
        <w:t xml:space="preserve"> Nelze uplatnit</w:t>
      </w:r>
    </w:p>
    <w:p w:rsidR="00B41873" w:rsidRPr="00754D9B" w:rsidRDefault="00B41873" w:rsidP="00A276E5">
      <w:pPr>
        <w:rPr>
          <w:b/>
        </w:rPr>
      </w:pPr>
      <w:r w:rsidRPr="00754D9B">
        <w:rPr>
          <w:b/>
        </w:rPr>
        <w:t xml:space="preserve">Diagnostické </w:t>
      </w:r>
      <w:r w:rsidR="00C76FF1" w:rsidRPr="00754D9B">
        <w:rPr>
          <w:b/>
        </w:rPr>
        <w:t>charakteristiky</w:t>
      </w:r>
    </w:p>
    <w:p w:rsidR="00B41873" w:rsidRDefault="00B41873" w:rsidP="00A276E5">
      <w:r w:rsidRPr="00754D9B">
        <w:rPr>
          <w:b/>
          <w:sz w:val="20"/>
        </w:rPr>
        <w:t>Stanovení hranice rozsahu testu (</w:t>
      </w:r>
      <w:proofErr w:type="spellStart"/>
      <w:r w:rsidRPr="00754D9B">
        <w:rPr>
          <w:b/>
          <w:sz w:val="20"/>
        </w:rPr>
        <w:t>cut-off</w:t>
      </w:r>
      <w:proofErr w:type="spellEnd"/>
      <w:r w:rsidRPr="00754D9B">
        <w:rPr>
          <w:b/>
          <w:sz w:val="20"/>
        </w:rPr>
        <w:t>)</w:t>
      </w:r>
      <w:r>
        <w:br/>
        <w:t>Hranice rozsahu hodnoty S/P (poměr vzorku vůči pozitivní kontrole)</w:t>
      </w:r>
      <w:r w:rsidR="00754D9B">
        <w:t xml:space="preserve"> 0.30</w:t>
      </w:r>
      <w:r>
        <w:t xml:space="preserve"> byla stanovena zaměřením na celkovou specificitu testu 97 – 98 % během vývoje testu. </w:t>
      </w:r>
    </w:p>
    <w:p w:rsidR="00B41873" w:rsidRPr="00754D9B" w:rsidRDefault="00B41873" w:rsidP="00A276E5">
      <w:pPr>
        <w:rPr>
          <w:b/>
          <w:sz w:val="20"/>
        </w:rPr>
      </w:pPr>
      <w:r w:rsidRPr="00754D9B">
        <w:rPr>
          <w:b/>
          <w:sz w:val="20"/>
        </w:rPr>
        <w:t>Odhady diagnostické citlivosti (</w:t>
      </w:r>
      <w:proofErr w:type="spellStart"/>
      <w:r w:rsidRPr="00754D9B">
        <w:rPr>
          <w:b/>
          <w:sz w:val="20"/>
        </w:rPr>
        <w:t>DSn</w:t>
      </w:r>
      <w:proofErr w:type="spellEnd"/>
      <w:r w:rsidRPr="00754D9B">
        <w:rPr>
          <w:b/>
          <w:sz w:val="20"/>
        </w:rPr>
        <w:t>) a specificity (</w:t>
      </w:r>
      <w:proofErr w:type="spellStart"/>
      <w:r w:rsidRPr="00754D9B">
        <w:rPr>
          <w:b/>
          <w:sz w:val="20"/>
        </w:rPr>
        <w:t>DSp</w:t>
      </w:r>
      <w:proofErr w:type="spellEnd"/>
      <w:r w:rsidRPr="00754D9B">
        <w:rPr>
          <w:b/>
          <w:sz w:val="20"/>
        </w:rPr>
        <w:t>)</w:t>
      </w:r>
    </w:p>
    <w:p w:rsidR="00B41873" w:rsidRDefault="00EC1744" w:rsidP="00A276E5">
      <w:r>
        <w:t>Hladiny</w:t>
      </w:r>
      <w:r w:rsidR="00B41873">
        <w:t xml:space="preserve"> uvedené níže jsou založeny na třech různých šaržích testu ELISA, vyrobených s významnou biologickou diverzitou oproti komponentům testovací sady. </w:t>
      </w:r>
    </w:p>
    <w:p w:rsidR="00A276E5" w:rsidRPr="00754D9B" w:rsidRDefault="00933B2E" w:rsidP="00754D9B">
      <w:pPr>
        <w:jc w:val="center"/>
        <w:rPr>
          <w:b/>
        </w:rPr>
      </w:pPr>
      <w:r w:rsidRPr="00754D9B">
        <w:rPr>
          <w:b/>
        </w:rPr>
        <w:t>Výsledky</w:t>
      </w:r>
      <w:r w:rsidR="00245226" w:rsidRPr="00754D9B">
        <w:rPr>
          <w:b/>
        </w:rPr>
        <w:t xml:space="preserve"> M. </w:t>
      </w:r>
      <w:proofErr w:type="spellStart"/>
      <w:r w:rsidR="00245226" w:rsidRPr="00754D9B">
        <w:rPr>
          <w:b/>
        </w:rPr>
        <w:t>bovis</w:t>
      </w:r>
      <w:proofErr w:type="spellEnd"/>
      <w:r w:rsidR="00245226" w:rsidRPr="00754D9B">
        <w:rPr>
          <w:b/>
        </w:rPr>
        <w:t xml:space="preserve"> ELISA - porovnání s pozitivními kulturami a vzorky z vybraných stád nebo oblastí prostých TB</w:t>
      </w:r>
      <w:r w:rsidR="00BF37C5" w:rsidRPr="00754D9B">
        <w:rPr>
          <w:b/>
        </w:rPr>
        <w:t>C</w:t>
      </w:r>
      <w:r w:rsidR="00245226" w:rsidRPr="00754D9B">
        <w:rPr>
          <w:b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276E5" w:rsidRPr="008C7294" w:rsidTr="00A276E5">
        <w:tc>
          <w:tcPr>
            <w:tcW w:w="3020" w:type="dxa"/>
          </w:tcPr>
          <w:p w:rsidR="00A276E5" w:rsidRPr="00245226" w:rsidRDefault="00245226" w:rsidP="00A276E5">
            <w:r w:rsidRPr="00245226">
              <w:t>Hodnocená testovací metoda</w:t>
            </w:r>
          </w:p>
        </w:tc>
        <w:tc>
          <w:tcPr>
            <w:tcW w:w="3021" w:type="dxa"/>
          </w:tcPr>
          <w:p w:rsidR="00A276E5" w:rsidRPr="00245226" w:rsidRDefault="00A276E5" w:rsidP="00A276E5">
            <w:r w:rsidRPr="00245226">
              <w:t xml:space="preserve">IDEXX M. </w:t>
            </w:r>
            <w:proofErr w:type="spellStart"/>
            <w:r w:rsidRPr="00245226">
              <w:t>bovis</w:t>
            </w:r>
            <w:proofErr w:type="spellEnd"/>
            <w:r w:rsidRPr="00245226">
              <w:t xml:space="preserve"> </w:t>
            </w:r>
            <w:r w:rsidR="00245226" w:rsidRPr="00245226">
              <w:t>–</w:t>
            </w:r>
            <w:r w:rsidRPr="00245226">
              <w:t xml:space="preserve"> ELISA</w:t>
            </w:r>
            <w:r w:rsidR="00245226" w:rsidRPr="00245226">
              <w:t xml:space="preserve"> protilátek</w:t>
            </w:r>
          </w:p>
        </w:tc>
        <w:tc>
          <w:tcPr>
            <w:tcW w:w="3021" w:type="dxa"/>
          </w:tcPr>
          <w:p w:rsidR="00A276E5" w:rsidRPr="00245226" w:rsidRDefault="00245226" w:rsidP="00A276E5">
            <w:r w:rsidRPr="00245226">
              <w:t xml:space="preserve">Cílový </w:t>
            </w:r>
            <w:proofErr w:type="gramStart"/>
            <w:r w:rsidRPr="00245226">
              <w:t xml:space="preserve">druh </w:t>
            </w:r>
            <w:r w:rsidR="00A276E5" w:rsidRPr="00245226">
              <w:t xml:space="preserve"> (</w:t>
            </w:r>
            <w:r w:rsidRPr="00245226">
              <w:t>Skot</w:t>
            </w:r>
            <w:proofErr w:type="gramEnd"/>
            <w:r w:rsidR="00A276E5" w:rsidRPr="00245226">
              <w:t>)</w:t>
            </w:r>
          </w:p>
        </w:tc>
      </w:tr>
      <w:tr w:rsidR="00A276E5" w:rsidRPr="008C7294" w:rsidTr="00A276E5">
        <w:tc>
          <w:tcPr>
            <w:tcW w:w="3020" w:type="dxa"/>
            <w:vMerge w:val="restart"/>
          </w:tcPr>
          <w:p w:rsidR="00A276E5" w:rsidRPr="00245226" w:rsidRDefault="00EC1744" w:rsidP="00A276E5">
            <w:r>
              <w:t>Diagnostická citlivost</w:t>
            </w:r>
          </w:p>
          <w:p w:rsidR="00A276E5" w:rsidRPr="008C7294" w:rsidRDefault="00A276E5" w:rsidP="00A276E5">
            <w:pPr>
              <w:rPr>
                <w:highlight w:val="cyan"/>
              </w:rPr>
            </w:pPr>
          </w:p>
          <w:p w:rsidR="00A276E5" w:rsidRPr="008C7294" w:rsidRDefault="00A276E5" w:rsidP="00A276E5">
            <w:pPr>
              <w:rPr>
                <w:highlight w:val="cyan"/>
              </w:rPr>
            </w:pPr>
            <w:r w:rsidRPr="00245226">
              <w:t>(</w:t>
            </w:r>
            <w:r w:rsidR="00245226" w:rsidRPr="00245226">
              <w:t xml:space="preserve">stanoveno na pozitivních kulturách </w:t>
            </w:r>
            <w:r w:rsidR="00245226" w:rsidRPr="00207C29">
              <w:rPr>
                <w:i/>
              </w:rPr>
              <w:t xml:space="preserve">M. </w:t>
            </w:r>
            <w:proofErr w:type="spellStart"/>
            <w:r w:rsidR="00245226" w:rsidRPr="00207C29">
              <w:rPr>
                <w:i/>
              </w:rPr>
              <w:t>bovis</w:t>
            </w:r>
            <w:proofErr w:type="spellEnd"/>
            <w:r w:rsidRPr="00245226">
              <w:t>)</w:t>
            </w:r>
          </w:p>
        </w:tc>
        <w:tc>
          <w:tcPr>
            <w:tcW w:w="3021" w:type="dxa"/>
          </w:tcPr>
          <w:p w:rsidR="00A276E5" w:rsidRPr="00245226" w:rsidRDefault="00180A4D" w:rsidP="00A276E5">
            <w:r w:rsidRPr="00245226">
              <w:t>N</w:t>
            </w:r>
          </w:p>
        </w:tc>
        <w:tc>
          <w:tcPr>
            <w:tcW w:w="3021" w:type="dxa"/>
          </w:tcPr>
          <w:p w:rsidR="00A276E5" w:rsidRPr="00245226" w:rsidRDefault="00180A4D" w:rsidP="00A276E5">
            <w:r w:rsidRPr="00245226">
              <w:t>307</w:t>
            </w:r>
          </w:p>
        </w:tc>
      </w:tr>
      <w:tr w:rsidR="00A276E5" w:rsidRPr="008C7294" w:rsidTr="00A276E5">
        <w:tc>
          <w:tcPr>
            <w:tcW w:w="3020" w:type="dxa"/>
            <w:vMerge/>
          </w:tcPr>
          <w:p w:rsidR="00A276E5" w:rsidRPr="008C7294" w:rsidRDefault="00A276E5" w:rsidP="00A276E5">
            <w:pPr>
              <w:rPr>
                <w:highlight w:val="cyan"/>
              </w:rPr>
            </w:pPr>
          </w:p>
        </w:tc>
        <w:tc>
          <w:tcPr>
            <w:tcW w:w="3021" w:type="dxa"/>
          </w:tcPr>
          <w:p w:rsidR="00A276E5" w:rsidRPr="00245226" w:rsidRDefault="00180A4D" w:rsidP="00A276E5">
            <w:proofErr w:type="spellStart"/>
            <w:r w:rsidRPr="00245226">
              <w:t>DSn</w:t>
            </w:r>
            <w:proofErr w:type="spellEnd"/>
          </w:p>
        </w:tc>
        <w:tc>
          <w:tcPr>
            <w:tcW w:w="3021" w:type="dxa"/>
          </w:tcPr>
          <w:p w:rsidR="00A276E5" w:rsidRPr="00245226" w:rsidRDefault="00180A4D" w:rsidP="00A276E5">
            <w:r w:rsidRPr="00245226">
              <w:t>(64</w:t>
            </w:r>
            <w:r w:rsidR="00245226" w:rsidRPr="00245226">
              <w:t>,</w:t>
            </w:r>
            <w:r w:rsidRPr="00245226">
              <w:t>6</w:t>
            </w:r>
            <w:r w:rsidR="00245226" w:rsidRPr="00245226">
              <w:t xml:space="preserve"> </w:t>
            </w:r>
            <w:r w:rsidRPr="00245226">
              <w:t>%)</w:t>
            </w:r>
          </w:p>
        </w:tc>
      </w:tr>
      <w:tr w:rsidR="00A276E5" w:rsidRPr="008C7294" w:rsidTr="00A276E5">
        <w:tc>
          <w:tcPr>
            <w:tcW w:w="3020" w:type="dxa"/>
            <w:vMerge/>
          </w:tcPr>
          <w:p w:rsidR="00A276E5" w:rsidRPr="008C7294" w:rsidRDefault="00A276E5" w:rsidP="00A276E5">
            <w:pPr>
              <w:rPr>
                <w:highlight w:val="cyan"/>
              </w:rPr>
            </w:pPr>
          </w:p>
        </w:tc>
        <w:tc>
          <w:tcPr>
            <w:tcW w:w="3021" w:type="dxa"/>
          </w:tcPr>
          <w:p w:rsidR="00A276E5" w:rsidRPr="00245226" w:rsidRDefault="00180A4D" w:rsidP="00A276E5">
            <w:r w:rsidRPr="00245226">
              <w:t>CI</w:t>
            </w:r>
          </w:p>
        </w:tc>
        <w:tc>
          <w:tcPr>
            <w:tcW w:w="3021" w:type="dxa"/>
          </w:tcPr>
          <w:p w:rsidR="00A276E5" w:rsidRPr="00245226" w:rsidRDefault="00180A4D" w:rsidP="00A276E5">
            <w:r w:rsidRPr="00245226">
              <w:t>(59</w:t>
            </w:r>
            <w:r w:rsidR="00245226" w:rsidRPr="00245226">
              <w:t>,</w:t>
            </w:r>
            <w:r w:rsidRPr="00245226">
              <w:t>7</w:t>
            </w:r>
            <w:r w:rsidR="00245226">
              <w:t xml:space="preserve"> </w:t>
            </w:r>
            <w:r w:rsidRPr="00245226">
              <w:t>% - 69</w:t>
            </w:r>
            <w:r w:rsidR="00245226" w:rsidRPr="00245226">
              <w:t>,</w:t>
            </w:r>
            <w:r w:rsidRPr="00245226">
              <w:t>5</w:t>
            </w:r>
            <w:r w:rsidR="00245226" w:rsidRPr="00245226">
              <w:t xml:space="preserve"> </w:t>
            </w:r>
            <w:r w:rsidRPr="00245226">
              <w:t>%)</w:t>
            </w:r>
          </w:p>
        </w:tc>
      </w:tr>
      <w:tr w:rsidR="00A276E5" w:rsidRPr="008C7294" w:rsidTr="00A276E5">
        <w:tc>
          <w:tcPr>
            <w:tcW w:w="3020" w:type="dxa"/>
          </w:tcPr>
          <w:p w:rsidR="00A276E5" w:rsidRPr="008C7294" w:rsidRDefault="00A276E5" w:rsidP="00A276E5">
            <w:pPr>
              <w:rPr>
                <w:highlight w:val="cyan"/>
              </w:rPr>
            </w:pPr>
          </w:p>
        </w:tc>
        <w:tc>
          <w:tcPr>
            <w:tcW w:w="3021" w:type="dxa"/>
          </w:tcPr>
          <w:p w:rsidR="00A276E5" w:rsidRPr="00245226" w:rsidRDefault="00A276E5" w:rsidP="00A276E5"/>
        </w:tc>
        <w:tc>
          <w:tcPr>
            <w:tcW w:w="3021" w:type="dxa"/>
          </w:tcPr>
          <w:p w:rsidR="00A276E5" w:rsidRPr="00245226" w:rsidRDefault="00A276E5" w:rsidP="00A276E5"/>
        </w:tc>
      </w:tr>
      <w:tr w:rsidR="00180A4D" w:rsidRPr="008C7294" w:rsidTr="00A276E5">
        <w:tc>
          <w:tcPr>
            <w:tcW w:w="3020" w:type="dxa"/>
            <w:vMerge w:val="restart"/>
          </w:tcPr>
          <w:p w:rsidR="00180A4D" w:rsidRPr="00245226" w:rsidRDefault="00180A4D" w:rsidP="00180A4D">
            <w:r w:rsidRPr="00245226">
              <w:t>Diagnostic</w:t>
            </w:r>
            <w:r w:rsidR="00245226" w:rsidRPr="00245226">
              <w:t>ká specificita</w:t>
            </w:r>
          </w:p>
          <w:p w:rsidR="00180A4D" w:rsidRPr="008C7294" w:rsidRDefault="00180A4D" w:rsidP="00180A4D">
            <w:pPr>
              <w:rPr>
                <w:highlight w:val="cyan"/>
              </w:rPr>
            </w:pPr>
          </w:p>
          <w:p w:rsidR="00180A4D" w:rsidRPr="008C7294" w:rsidRDefault="00245226" w:rsidP="00180A4D">
            <w:pPr>
              <w:rPr>
                <w:highlight w:val="cyan"/>
              </w:rPr>
            </w:pPr>
            <w:r w:rsidRPr="00245226">
              <w:t>(vzorky z oblastí prostých TB)</w:t>
            </w:r>
          </w:p>
        </w:tc>
        <w:tc>
          <w:tcPr>
            <w:tcW w:w="3021" w:type="dxa"/>
          </w:tcPr>
          <w:p w:rsidR="00180A4D" w:rsidRPr="00245226" w:rsidRDefault="00180A4D" w:rsidP="00A276E5">
            <w:r w:rsidRPr="00245226">
              <w:lastRenderedPageBreak/>
              <w:t>N</w:t>
            </w:r>
          </w:p>
        </w:tc>
        <w:tc>
          <w:tcPr>
            <w:tcW w:w="3021" w:type="dxa"/>
          </w:tcPr>
          <w:p w:rsidR="00180A4D" w:rsidRPr="00245226" w:rsidRDefault="00180A4D" w:rsidP="00A276E5">
            <w:r w:rsidRPr="00245226">
              <w:t>1473</w:t>
            </w:r>
          </w:p>
        </w:tc>
      </w:tr>
      <w:tr w:rsidR="00180A4D" w:rsidRPr="008C7294" w:rsidTr="00A276E5">
        <w:tc>
          <w:tcPr>
            <w:tcW w:w="3020" w:type="dxa"/>
            <w:vMerge/>
          </w:tcPr>
          <w:p w:rsidR="00180A4D" w:rsidRPr="008C7294" w:rsidRDefault="00180A4D" w:rsidP="00A276E5">
            <w:pPr>
              <w:rPr>
                <w:highlight w:val="cyan"/>
              </w:rPr>
            </w:pPr>
          </w:p>
        </w:tc>
        <w:tc>
          <w:tcPr>
            <w:tcW w:w="3021" w:type="dxa"/>
          </w:tcPr>
          <w:p w:rsidR="00180A4D" w:rsidRPr="00245226" w:rsidRDefault="00180A4D" w:rsidP="00A276E5">
            <w:proofErr w:type="spellStart"/>
            <w:r w:rsidRPr="00245226">
              <w:t>DSp</w:t>
            </w:r>
            <w:proofErr w:type="spellEnd"/>
          </w:p>
        </w:tc>
        <w:tc>
          <w:tcPr>
            <w:tcW w:w="3021" w:type="dxa"/>
          </w:tcPr>
          <w:p w:rsidR="00180A4D" w:rsidRPr="00245226" w:rsidRDefault="00180A4D" w:rsidP="00A276E5">
            <w:r w:rsidRPr="00245226">
              <w:t>(98</w:t>
            </w:r>
            <w:r w:rsidR="00245226" w:rsidRPr="00245226">
              <w:t xml:space="preserve"> </w:t>
            </w:r>
            <w:r w:rsidRPr="00245226">
              <w:t>%)</w:t>
            </w:r>
          </w:p>
        </w:tc>
      </w:tr>
      <w:tr w:rsidR="00180A4D" w:rsidRPr="008C7294" w:rsidTr="00A276E5">
        <w:tc>
          <w:tcPr>
            <w:tcW w:w="3020" w:type="dxa"/>
            <w:vMerge/>
          </w:tcPr>
          <w:p w:rsidR="00180A4D" w:rsidRPr="008C7294" w:rsidRDefault="00180A4D" w:rsidP="00A276E5">
            <w:pPr>
              <w:rPr>
                <w:highlight w:val="cyan"/>
              </w:rPr>
            </w:pPr>
          </w:p>
        </w:tc>
        <w:tc>
          <w:tcPr>
            <w:tcW w:w="3021" w:type="dxa"/>
          </w:tcPr>
          <w:p w:rsidR="00180A4D" w:rsidRPr="00245226" w:rsidRDefault="00180A4D" w:rsidP="00A276E5">
            <w:r w:rsidRPr="00245226">
              <w:t>CI</w:t>
            </w:r>
          </w:p>
        </w:tc>
        <w:tc>
          <w:tcPr>
            <w:tcW w:w="3021" w:type="dxa"/>
          </w:tcPr>
          <w:p w:rsidR="00180A4D" w:rsidRPr="00245226" w:rsidRDefault="00180A4D" w:rsidP="00A276E5">
            <w:r w:rsidRPr="00245226">
              <w:t>(97</w:t>
            </w:r>
            <w:r w:rsidR="00245226" w:rsidRPr="00245226">
              <w:t>,</w:t>
            </w:r>
            <w:r w:rsidRPr="00245226">
              <w:t>5</w:t>
            </w:r>
            <w:r w:rsidR="00245226" w:rsidRPr="00245226">
              <w:t xml:space="preserve"> </w:t>
            </w:r>
            <w:r w:rsidRPr="00245226">
              <w:t>% - 98</w:t>
            </w:r>
            <w:r w:rsidR="00245226" w:rsidRPr="00245226">
              <w:t>,</w:t>
            </w:r>
            <w:r w:rsidRPr="00245226">
              <w:t>4</w:t>
            </w:r>
            <w:r w:rsidR="00245226" w:rsidRPr="00245226">
              <w:t xml:space="preserve"> </w:t>
            </w:r>
            <w:r w:rsidRPr="00245226">
              <w:t>%)</w:t>
            </w:r>
          </w:p>
        </w:tc>
      </w:tr>
    </w:tbl>
    <w:p w:rsidR="00A276E5" w:rsidRPr="008C7294" w:rsidRDefault="00A276E5" w:rsidP="00A276E5">
      <w:pPr>
        <w:rPr>
          <w:highlight w:val="cyan"/>
        </w:rPr>
      </w:pPr>
    </w:p>
    <w:p w:rsidR="00180A4D" w:rsidRPr="00245226" w:rsidRDefault="00EC1744" w:rsidP="00180A4D">
      <w:r>
        <w:t>Výsledky porovnání</w:t>
      </w:r>
    </w:p>
    <w:p w:rsidR="00EC1744" w:rsidRDefault="00245226" w:rsidP="00180A4D">
      <w:r w:rsidRPr="00245226">
        <w:t>Hladina citlivosti indikovaná níže je založena na třech různých šaržích testu ELISA s významnou biologickou diverzitou oproti komponentům testu. Údaje o specificitě jsou reprezentativní pouze pro jednu šarži testu ELISA.</w:t>
      </w:r>
    </w:p>
    <w:p w:rsidR="00180A4D" w:rsidRPr="00EA4BD4" w:rsidRDefault="00EC1744" w:rsidP="00EA4BD4">
      <w:pPr>
        <w:jc w:val="center"/>
        <w:rPr>
          <w:b/>
        </w:rPr>
      </w:pPr>
      <w:r w:rsidRPr="00EA4BD4">
        <w:rPr>
          <w:b/>
        </w:rPr>
        <w:t xml:space="preserve">Porovnání </w:t>
      </w:r>
      <w:r w:rsidR="00BF37C5" w:rsidRPr="00EA4BD4">
        <w:rPr>
          <w:b/>
        </w:rPr>
        <w:t xml:space="preserve">výsledků M. </w:t>
      </w:r>
      <w:proofErr w:type="spellStart"/>
      <w:r w:rsidR="00BF37C5" w:rsidRPr="00EA4BD4">
        <w:rPr>
          <w:b/>
        </w:rPr>
        <w:t>bovis</w:t>
      </w:r>
      <w:proofErr w:type="spellEnd"/>
      <w:r w:rsidR="00BF37C5" w:rsidRPr="00EA4BD4">
        <w:rPr>
          <w:b/>
        </w:rPr>
        <w:t xml:space="preserve"> ELISA s pozitivními a negativními výsledky z </w:t>
      </w:r>
      <w:r w:rsidR="00207C29" w:rsidRPr="00EA4BD4">
        <w:rPr>
          <w:b/>
        </w:rPr>
        <w:t>testu SICCT (</w:t>
      </w:r>
      <w:r w:rsidR="00BF37C5" w:rsidRPr="00EA4BD4">
        <w:rPr>
          <w:b/>
        </w:rPr>
        <w:t xml:space="preserve">srovnávací test </w:t>
      </w:r>
      <w:r w:rsidR="00207C29" w:rsidRPr="00EA4BD4">
        <w:rPr>
          <w:b/>
        </w:rPr>
        <w:t xml:space="preserve">pomocí </w:t>
      </w:r>
      <w:r w:rsidR="00BF37C5" w:rsidRPr="00EA4BD4">
        <w:rPr>
          <w:b/>
        </w:rPr>
        <w:t>cervikálního tuberkulinu)</w:t>
      </w:r>
      <w:r w:rsidR="00180A4D" w:rsidRPr="00EA4BD4">
        <w:rPr>
          <w:b/>
          <w:highlight w:val="cyan"/>
        </w:rPr>
        <w:b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45226" w:rsidRPr="008C7294" w:rsidTr="000D7CC3">
        <w:tc>
          <w:tcPr>
            <w:tcW w:w="3020" w:type="dxa"/>
          </w:tcPr>
          <w:p w:rsidR="00245226" w:rsidRPr="00245226" w:rsidRDefault="00245226" w:rsidP="00245226">
            <w:r w:rsidRPr="00245226">
              <w:t>Hodnocená testovací metoda</w:t>
            </w:r>
          </w:p>
        </w:tc>
        <w:tc>
          <w:tcPr>
            <w:tcW w:w="3021" w:type="dxa"/>
          </w:tcPr>
          <w:p w:rsidR="00245226" w:rsidRPr="00245226" w:rsidRDefault="00245226" w:rsidP="00245226">
            <w:r w:rsidRPr="00245226">
              <w:t xml:space="preserve">IDEXX M. </w:t>
            </w:r>
            <w:proofErr w:type="spellStart"/>
            <w:r w:rsidRPr="00245226">
              <w:t>bovis</w:t>
            </w:r>
            <w:proofErr w:type="spellEnd"/>
            <w:r w:rsidRPr="00245226">
              <w:t xml:space="preserve"> – ELISA protilátek</w:t>
            </w:r>
          </w:p>
        </w:tc>
        <w:tc>
          <w:tcPr>
            <w:tcW w:w="3021" w:type="dxa"/>
          </w:tcPr>
          <w:p w:rsidR="00245226" w:rsidRPr="00245226" w:rsidRDefault="00BF37C5" w:rsidP="00245226">
            <w:r>
              <w:t>Cílový druh</w:t>
            </w:r>
            <w:r w:rsidR="00245226" w:rsidRPr="00245226">
              <w:t xml:space="preserve"> (Skot)</w:t>
            </w:r>
          </w:p>
        </w:tc>
      </w:tr>
      <w:tr w:rsidR="000D7CC3" w:rsidRPr="008C7294" w:rsidTr="000D7CC3">
        <w:tc>
          <w:tcPr>
            <w:tcW w:w="3020" w:type="dxa"/>
            <w:vMerge w:val="restart"/>
          </w:tcPr>
          <w:p w:rsidR="00245226" w:rsidRPr="00245226" w:rsidRDefault="00EC1744" w:rsidP="00245226">
            <w:r>
              <w:t>Diagnostická citlivost</w:t>
            </w:r>
          </w:p>
          <w:p w:rsidR="000D7CC3" w:rsidRPr="008C7294" w:rsidRDefault="000D7CC3" w:rsidP="000D7CC3">
            <w:pPr>
              <w:rPr>
                <w:highlight w:val="cyan"/>
              </w:rPr>
            </w:pPr>
          </w:p>
          <w:p w:rsidR="000D7CC3" w:rsidRPr="008C7294" w:rsidRDefault="00245226" w:rsidP="000D7CC3">
            <w:pPr>
              <w:rPr>
                <w:highlight w:val="cyan"/>
              </w:rPr>
            </w:pPr>
            <w:r>
              <w:t>(oproti</w:t>
            </w:r>
            <w:r w:rsidR="000D7CC3" w:rsidRPr="00245226">
              <w:t xml:space="preserve"> SICCT)</w:t>
            </w:r>
          </w:p>
        </w:tc>
        <w:tc>
          <w:tcPr>
            <w:tcW w:w="3021" w:type="dxa"/>
          </w:tcPr>
          <w:p w:rsidR="000D7CC3" w:rsidRPr="00245226" w:rsidRDefault="000D7CC3" w:rsidP="000D7CC3">
            <w:r w:rsidRPr="00245226">
              <w:t>N</w:t>
            </w:r>
          </w:p>
        </w:tc>
        <w:tc>
          <w:tcPr>
            <w:tcW w:w="3021" w:type="dxa"/>
          </w:tcPr>
          <w:p w:rsidR="000D7CC3" w:rsidRPr="00245226" w:rsidRDefault="000D7CC3" w:rsidP="000D7CC3">
            <w:r w:rsidRPr="00245226">
              <w:t>344</w:t>
            </w:r>
          </w:p>
        </w:tc>
      </w:tr>
      <w:tr w:rsidR="000D7CC3" w:rsidRPr="008C7294" w:rsidTr="000D7CC3">
        <w:tc>
          <w:tcPr>
            <w:tcW w:w="3020" w:type="dxa"/>
            <w:vMerge/>
          </w:tcPr>
          <w:p w:rsidR="000D7CC3" w:rsidRPr="008C7294" w:rsidRDefault="000D7CC3" w:rsidP="000D7CC3">
            <w:pPr>
              <w:rPr>
                <w:highlight w:val="cyan"/>
              </w:rPr>
            </w:pPr>
          </w:p>
        </w:tc>
        <w:tc>
          <w:tcPr>
            <w:tcW w:w="3021" w:type="dxa"/>
          </w:tcPr>
          <w:p w:rsidR="000D7CC3" w:rsidRPr="00245226" w:rsidRDefault="00207C29" w:rsidP="000D7CC3">
            <w:proofErr w:type="spellStart"/>
            <w:r>
              <w:t>DSn</w:t>
            </w:r>
            <w:proofErr w:type="spellEnd"/>
          </w:p>
        </w:tc>
        <w:tc>
          <w:tcPr>
            <w:tcW w:w="3021" w:type="dxa"/>
          </w:tcPr>
          <w:p w:rsidR="000D7CC3" w:rsidRPr="00245226" w:rsidRDefault="000D7CC3" w:rsidP="000D7CC3">
            <w:r w:rsidRPr="00245226">
              <w:t>(69</w:t>
            </w:r>
            <w:r w:rsidR="00245226" w:rsidRPr="00245226">
              <w:t>,</w:t>
            </w:r>
            <w:r w:rsidRPr="00245226">
              <w:t>5</w:t>
            </w:r>
            <w:r w:rsidR="00245226" w:rsidRPr="00245226">
              <w:t xml:space="preserve"> </w:t>
            </w:r>
            <w:r w:rsidRPr="00245226">
              <w:t>%)</w:t>
            </w:r>
          </w:p>
        </w:tc>
      </w:tr>
      <w:tr w:rsidR="000D7CC3" w:rsidRPr="008C7294" w:rsidTr="000D7CC3">
        <w:tc>
          <w:tcPr>
            <w:tcW w:w="3020" w:type="dxa"/>
            <w:vMerge/>
          </w:tcPr>
          <w:p w:rsidR="000D7CC3" w:rsidRPr="008C7294" w:rsidRDefault="000D7CC3" w:rsidP="000D7CC3">
            <w:pPr>
              <w:rPr>
                <w:highlight w:val="cyan"/>
              </w:rPr>
            </w:pPr>
          </w:p>
        </w:tc>
        <w:tc>
          <w:tcPr>
            <w:tcW w:w="3021" w:type="dxa"/>
          </w:tcPr>
          <w:p w:rsidR="000D7CC3" w:rsidRPr="00245226" w:rsidRDefault="000D7CC3" w:rsidP="000D7CC3">
            <w:r w:rsidRPr="00245226">
              <w:t>CI</w:t>
            </w:r>
          </w:p>
        </w:tc>
        <w:tc>
          <w:tcPr>
            <w:tcW w:w="3021" w:type="dxa"/>
          </w:tcPr>
          <w:p w:rsidR="000D7CC3" w:rsidRPr="00245226" w:rsidRDefault="000D7CC3" w:rsidP="000D7CC3">
            <w:r w:rsidRPr="00245226">
              <w:t>(64</w:t>
            </w:r>
            <w:r w:rsidR="00245226" w:rsidRPr="00245226">
              <w:t>,</w:t>
            </w:r>
            <w:r w:rsidRPr="00245226">
              <w:t>4</w:t>
            </w:r>
            <w:r w:rsidR="00245226" w:rsidRPr="00245226">
              <w:t xml:space="preserve"> % - 74,</w:t>
            </w:r>
            <w:r w:rsidRPr="00245226">
              <w:t>1</w:t>
            </w:r>
            <w:r w:rsidR="00245226" w:rsidRPr="00245226">
              <w:t xml:space="preserve"> </w:t>
            </w:r>
            <w:r w:rsidRPr="00245226">
              <w:t>%)</w:t>
            </w:r>
          </w:p>
        </w:tc>
      </w:tr>
      <w:tr w:rsidR="000D7CC3" w:rsidRPr="008C7294" w:rsidTr="000D7CC3">
        <w:tc>
          <w:tcPr>
            <w:tcW w:w="3020" w:type="dxa"/>
          </w:tcPr>
          <w:p w:rsidR="000D7CC3" w:rsidRPr="008C7294" w:rsidRDefault="000D7CC3" w:rsidP="00180A4D">
            <w:pPr>
              <w:rPr>
                <w:highlight w:val="cyan"/>
              </w:rPr>
            </w:pPr>
          </w:p>
        </w:tc>
        <w:tc>
          <w:tcPr>
            <w:tcW w:w="3021" w:type="dxa"/>
          </w:tcPr>
          <w:p w:rsidR="000D7CC3" w:rsidRPr="00245226" w:rsidRDefault="000D7CC3" w:rsidP="00180A4D"/>
        </w:tc>
        <w:tc>
          <w:tcPr>
            <w:tcW w:w="3021" w:type="dxa"/>
          </w:tcPr>
          <w:p w:rsidR="000D7CC3" w:rsidRPr="00245226" w:rsidRDefault="000D7CC3" w:rsidP="00180A4D"/>
        </w:tc>
      </w:tr>
      <w:tr w:rsidR="000D7CC3" w:rsidRPr="008C7294" w:rsidTr="000D7CC3">
        <w:tc>
          <w:tcPr>
            <w:tcW w:w="3020" w:type="dxa"/>
            <w:vMerge w:val="restart"/>
          </w:tcPr>
          <w:p w:rsidR="00245226" w:rsidRPr="00245226" w:rsidRDefault="00245226" w:rsidP="00245226">
            <w:r w:rsidRPr="00245226">
              <w:t>Diagnostická specificita</w:t>
            </w:r>
          </w:p>
          <w:p w:rsidR="000D7CC3" w:rsidRPr="008C7294" w:rsidRDefault="000D7CC3" w:rsidP="000D7CC3">
            <w:pPr>
              <w:rPr>
                <w:highlight w:val="cyan"/>
              </w:rPr>
            </w:pPr>
          </w:p>
          <w:p w:rsidR="000D7CC3" w:rsidRPr="008C7294" w:rsidRDefault="00245226" w:rsidP="000D7CC3">
            <w:pPr>
              <w:rPr>
                <w:highlight w:val="cyan"/>
              </w:rPr>
            </w:pPr>
            <w:r>
              <w:t>(oproti</w:t>
            </w:r>
            <w:r w:rsidR="000D7CC3" w:rsidRPr="00245226">
              <w:t xml:space="preserve"> SICCT)</w:t>
            </w:r>
          </w:p>
        </w:tc>
        <w:tc>
          <w:tcPr>
            <w:tcW w:w="3021" w:type="dxa"/>
          </w:tcPr>
          <w:p w:rsidR="000D7CC3" w:rsidRPr="00245226" w:rsidRDefault="000D7CC3" w:rsidP="000D7CC3">
            <w:r w:rsidRPr="00245226">
              <w:t>N</w:t>
            </w:r>
          </w:p>
        </w:tc>
        <w:tc>
          <w:tcPr>
            <w:tcW w:w="3021" w:type="dxa"/>
          </w:tcPr>
          <w:p w:rsidR="000D7CC3" w:rsidRPr="00245226" w:rsidRDefault="000D7CC3" w:rsidP="000D7CC3">
            <w:r w:rsidRPr="00245226">
              <w:t>144</w:t>
            </w:r>
          </w:p>
        </w:tc>
      </w:tr>
      <w:tr w:rsidR="000D7CC3" w:rsidRPr="008C7294" w:rsidTr="000D7CC3">
        <w:tc>
          <w:tcPr>
            <w:tcW w:w="3020" w:type="dxa"/>
            <w:vMerge/>
          </w:tcPr>
          <w:p w:rsidR="000D7CC3" w:rsidRPr="008C7294" w:rsidRDefault="000D7CC3" w:rsidP="000D7CC3">
            <w:pPr>
              <w:rPr>
                <w:highlight w:val="cyan"/>
              </w:rPr>
            </w:pPr>
          </w:p>
        </w:tc>
        <w:tc>
          <w:tcPr>
            <w:tcW w:w="3021" w:type="dxa"/>
          </w:tcPr>
          <w:p w:rsidR="000D7CC3" w:rsidRPr="00245226" w:rsidRDefault="000D7CC3" w:rsidP="000D7CC3">
            <w:proofErr w:type="spellStart"/>
            <w:r w:rsidRPr="00245226">
              <w:t>DSp</w:t>
            </w:r>
            <w:proofErr w:type="spellEnd"/>
          </w:p>
        </w:tc>
        <w:tc>
          <w:tcPr>
            <w:tcW w:w="3021" w:type="dxa"/>
          </w:tcPr>
          <w:p w:rsidR="000D7CC3" w:rsidRPr="00245226" w:rsidRDefault="000D7CC3" w:rsidP="000D7CC3">
            <w:r w:rsidRPr="00245226">
              <w:t>(97</w:t>
            </w:r>
            <w:r w:rsidR="00245226" w:rsidRPr="00245226">
              <w:t>,</w:t>
            </w:r>
            <w:r w:rsidRPr="00245226">
              <w:t>2</w:t>
            </w:r>
            <w:r w:rsidR="00245226" w:rsidRPr="00245226">
              <w:t xml:space="preserve"> </w:t>
            </w:r>
            <w:r w:rsidRPr="00245226">
              <w:t>%)</w:t>
            </w:r>
          </w:p>
        </w:tc>
      </w:tr>
      <w:tr w:rsidR="000D7CC3" w:rsidRPr="008C7294" w:rsidTr="000D7CC3">
        <w:tc>
          <w:tcPr>
            <w:tcW w:w="3020" w:type="dxa"/>
            <w:vMerge/>
          </w:tcPr>
          <w:p w:rsidR="000D7CC3" w:rsidRPr="008C7294" w:rsidRDefault="000D7CC3" w:rsidP="000D7CC3">
            <w:pPr>
              <w:rPr>
                <w:highlight w:val="cyan"/>
              </w:rPr>
            </w:pPr>
          </w:p>
        </w:tc>
        <w:tc>
          <w:tcPr>
            <w:tcW w:w="3021" w:type="dxa"/>
          </w:tcPr>
          <w:p w:rsidR="000D7CC3" w:rsidRPr="00245226" w:rsidRDefault="000D7CC3" w:rsidP="000D7CC3">
            <w:r w:rsidRPr="00245226">
              <w:t>CI</w:t>
            </w:r>
          </w:p>
        </w:tc>
        <w:tc>
          <w:tcPr>
            <w:tcW w:w="3021" w:type="dxa"/>
          </w:tcPr>
          <w:p w:rsidR="000D7CC3" w:rsidRPr="00245226" w:rsidRDefault="000D7CC3" w:rsidP="000D7CC3">
            <w:r w:rsidRPr="00245226">
              <w:t>(92</w:t>
            </w:r>
            <w:r w:rsidR="00245226" w:rsidRPr="00245226">
              <w:t>,</w:t>
            </w:r>
            <w:r w:rsidRPr="00245226">
              <w:t>8</w:t>
            </w:r>
            <w:r w:rsidR="00245226" w:rsidRPr="00245226">
              <w:t xml:space="preserve"> </w:t>
            </w:r>
            <w:r w:rsidRPr="00245226">
              <w:t>% - 99</w:t>
            </w:r>
            <w:r w:rsidR="00245226" w:rsidRPr="00245226">
              <w:t>,</w:t>
            </w:r>
            <w:r w:rsidRPr="00245226">
              <w:t>1</w:t>
            </w:r>
            <w:r w:rsidR="00245226" w:rsidRPr="00245226">
              <w:t xml:space="preserve"> </w:t>
            </w:r>
            <w:r w:rsidRPr="00245226">
              <w:t>%)</w:t>
            </w:r>
          </w:p>
        </w:tc>
      </w:tr>
    </w:tbl>
    <w:p w:rsidR="000D7CC3" w:rsidRPr="008C7294" w:rsidRDefault="000D7CC3" w:rsidP="00180A4D">
      <w:pPr>
        <w:rPr>
          <w:highlight w:val="cyan"/>
        </w:rPr>
      </w:pPr>
    </w:p>
    <w:p w:rsidR="000D7CC3" w:rsidRPr="00EA4BD4" w:rsidRDefault="00BF37C5" w:rsidP="00EA4BD4">
      <w:pPr>
        <w:jc w:val="center"/>
        <w:rPr>
          <w:b/>
        </w:rPr>
      </w:pPr>
      <w:r w:rsidRPr="00EA4BD4">
        <w:rPr>
          <w:b/>
        </w:rPr>
        <w:t xml:space="preserve">Srovnání výsledků M. </w:t>
      </w:r>
      <w:proofErr w:type="spellStart"/>
      <w:r w:rsidRPr="00EA4BD4">
        <w:rPr>
          <w:b/>
        </w:rPr>
        <w:t>bovis</w:t>
      </w:r>
      <w:proofErr w:type="spellEnd"/>
      <w:r w:rsidRPr="00EA4BD4">
        <w:rPr>
          <w:b/>
        </w:rPr>
        <w:t xml:space="preserve"> ELISA s pozitivními výsledky testu GIFN (test pomocí interferonu gama)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45226" w:rsidRPr="008C7294" w:rsidTr="00180A4D">
        <w:tc>
          <w:tcPr>
            <w:tcW w:w="3020" w:type="dxa"/>
          </w:tcPr>
          <w:p w:rsidR="00245226" w:rsidRPr="00245226" w:rsidRDefault="00245226" w:rsidP="00245226">
            <w:r w:rsidRPr="00245226">
              <w:t>Hodnocená testovací metoda</w:t>
            </w:r>
          </w:p>
        </w:tc>
        <w:tc>
          <w:tcPr>
            <w:tcW w:w="3021" w:type="dxa"/>
          </w:tcPr>
          <w:p w:rsidR="00245226" w:rsidRPr="00245226" w:rsidRDefault="00245226" w:rsidP="00245226">
            <w:r w:rsidRPr="00245226">
              <w:t xml:space="preserve">IDEXX M. </w:t>
            </w:r>
            <w:proofErr w:type="spellStart"/>
            <w:r w:rsidRPr="00245226">
              <w:t>bovis</w:t>
            </w:r>
            <w:proofErr w:type="spellEnd"/>
            <w:r w:rsidRPr="00245226">
              <w:t xml:space="preserve"> – ELISA protilátek</w:t>
            </w:r>
          </w:p>
        </w:tc>
        <w:tc>
          <w:tcPr>
            <w:tcW w:w="3021" w:type="dxa"/>
          </w:tcPr>
          <w:p w:rsidR="00245226" w:rsidRPr="00245226" w:rsidRDefault="00245226" w:rsidP="00245226">
            <w:r w:rsidRPr="00245226">
              <w:t>Cílový druh (Skot)</w:t>
            </w:r>
          </w:p>
        </w:tc>
      </w:tr>
      <w:tr w:rsidR="00180A4D" w:rsidRPr="008C7294" w:rsidTr="00180A4D">
        <w:tc>
          <w:tcPr>
            <w:tcW w:w="3020" w:type="dxa"/>
            <w:vMerge w:val="restart"/>
          </w:tcPr>
          <w:p w:rsidR="00245226" w:rsidRPr="00245226" w:rsidRDefault="00245226" w:rsidP="00245226">
            <w:r w:rsidRPr="00245226">
              <w:t>Diagnostická senzitivita</w:t>
            </w:r>
          </w:p>
          <w:p w:rsidR="00180A4D" w:rsidRPr="00245226" w:rsidRDefault="00180A4D" w:rsidP="00180A4D"/>
          <w:p w:rsidR="00180A4D" w:rsidRPr="00245226" w:rsidRDefault="00245226" w:rsidP="00180A4D">
            <w:r w:rsidRPr="00245226">
              <w:t>(oproti</w:t>
            </w:r>
            <w:r w:rsidR="00180A4D" w:rsidRPr="00245226">
              <w:t xml:space="preserve"> </w:t>
            </w:r>
            <w:proofErr w:type="spellStart"/>
            <w:r w:rsidR="00180A4D" w:rsidRPr="00245226">
              <w:t>Gamma</w:t>
            </w:r>
            <w:proofErr w:type="spellEnd"/>
            <w:r w:rsidR="00180A4D" w:rsidRPr="00245226">
              <w:t xml:space="preserve"> IFN)</w:t>
            </w:r>
          </w:p>
        </w:tc>
        <w:tc>
          <w:tcPr>
            <w:tcW w:w="3021" w:type="dxa"/>
          </w:tcPr>
          <w:p w:rsidR="00180A4D" w:rsidRPr="00245226" w:rsidRDefault="00180A4D" w:rsidP="00180A4D">
            <w:r w:rsidRPr="00245226">
              <w:t>N</w:t>
            </w:r>
          </w:p>
        </w:tc>
        <w:tc>
          <w:tcPr>
            <w:tcW w:w="3021" w:type="dxa"/>
          </w:tcPr>
          <w:p w:rsidR="00180A4D" w:rsidRPr="00245226" w:rsidRDefault="00180A4D" w:rsidP="00180A4D">
            <w:r w:rsidRPr="00245226">
              <w:t>166</w:t>
            </w:r>
          </w:p>
        </w:tc>
      </w:tr>
      <w:tr w:rsidR="00180A4D" w:rsidRPr="008C7294" w:rsidTr="00180A4D">
        <w:tc>
          <w:tcPr>
            <w:tcW w:w="3020" w:type="dxa"/>
            <w:vMerge/>
          </w:tcPr>
          <w:p w:rsidR="00180A4D" w:rsidRPr="00245226" w:rsidRDefault="00180A4D" w:rsidP="00180A4D"/>
        </w:tc>
        <w:tc>
          <w:tcPr>
            <w:tcW w:w="3021" w:type="dxa"/>
          </w:tcPr>
          <w:p w:rsidR="00180A4D" w:rsidRPr="00245226" w:rsidRDefault="00207C29" w:rsidP="00180A4D">
            <w:proofErr w:type="spellStart"/>
            <w:r>
              <w:t>DSn</w:t>
            </w:r>
            <w:proofErr w:type="spellEnd"/>
          </w:p>
        </w:tc>
        <w:tc>
          <w:tcPr>
            <w:tcW w:w="3021" w:type="dxa"/>
          </w:tcPr>
          <w:p w:rsidR="00180A4D" w:rsidRPr="00245226" w:rsidRDefault="00180A4D" w:rsidP="00180A4D">
            <w:r w:rsidRPr="00245226">
              <w:t>(62</w:t>
            </w:r>
            <w:r w:rsidR="00245226" w:rsidRPr="00245226">
              <w:t>,</w:t>
            </w:r>
            <w:r w:rsidRPr="00245226">
              <w:t>7</w:t>
            </w:r>
            <w:r w:rsidR="00245226" w:rsidRPr="00245226">
              <w:t xml:space="preserve"> </w:t>
            </w:r>
            <w:r w:rsidRPr="00245226">
              <w:t>%)</w:t>
            </w:r>
          </w:p>
        </w:tc>
      </w:tr>
      <w:tr w:rsidR="00180A4D" w:rsidRPr="008C7294" w:rsidTr="00180A4D">
        <w:tc>
          <w:tcPr>
            <w:tcW w:w="3020" w:type="dxa"/>
            <w:vMerge/>
          </w:tcPr>
          <w:p w:rsidR="00180A4D" w:rsidRPr="00245226" w:rsidRDefault="00180A4D" w:rsidP="00180A4D"/>
        </w:tc>
        <w:tc>
          <w:tcPr>
            <w:tcW w:w="3021" w:type="dxa"/>
          </w:tcPr>
          <w:p w:rsidR="00180A4D" w:rsidRPr="00245226" w:rsidRDefault="00180A4D" w:rsidP="00180A4D">
            <w:r w:rsidRPr="00245226">
              <w:t>CI</w:t>
            </w:r>
          </w:p>
        </w:tc>
        <w:tc>
          <w:tcPr>
            <w:tcW w:w="3021" w:type="dxa"/>
          </w:tcPr>
          <w:p w:rsidR="00180A4D" w:rsidRPr="00245226" w:rsidRDefault="00180A4D" w:rsidP="00180A4D">
            <w:r w:rsidRPr="00245226">
              <w:t>(64</w:t>
            </w:r>
            <w:r w:rsidR="00245226" w:rsidRPr="00245226">
              <w:t>,</w:t>
            </w:r>
            <w:r w:rsidRPr="00245226">
              <w:t>4</w:t>
            </w:r>
            <w:r w:rsidR="00245226" w:rsidRPr="00245226">
              <w:t xml:space="preserve"> </w:t>
            </w:r>
            <w:r w:rsidRPr="00245226">
              <w:t>% - 74</w:t>
            </w:r>
            <w:r w:rsidR="00245226" w:rsidRPr="00245226">
              <w:t>,</w:t>
            </w:r>
            <w:r w:rsidRPr="00245226">
              <w:t>1</w:t>
            </w:r>
            <w:r w:rsidR="00245226" w:rsidRPr="00245226">
              <w:t xml:space="preserve"> </w:t>
            </w:r>
            <w:r w:rsidRPr="00245226">
              <w:t>%)</w:t>
            </w:r>
          </w:p>
        </w:tc>
      </w:tr>
      <w:tr w:rsidR="00180A4D" w:rsidRPr="008C7294" w:rsidTr="00180A4D">
        <w:tc>
          <w:tcPr>
            <w:tcW w:w="3020" w:type="dxa"/>
          </w:tcPr>
          <w:p w:rsidR="00180A4D" w:rsidRPr="00245226" w:rsidRDefault="00180A4D" w:rsidP="00180A4D"/>
        </w:tc>
        <w:tc>
          <w:tcPr>
            <w:tcW w:w="3021" w:type="dxa"/>
          </w:tcPr>
          <w:p w:rsidR="00180A4D" w:rsidRPr="00245226" w:rsidRDefault="00180A4D" w:rsidP="00180A4D"/>
        </w:tc>
        <w:tc>
          <w:tcPr>
            <w:tcW w:w="3021" w:type="dxa"/>
          </w:tcPr>
          <w:p w:rsidR="00180A4D" w:rsidRPr="00245226" w:rsidRDefault="00180A4D" w:rsidP="00180A4D"/>
        </w:tc>
      </w:tr>
      <w:tr w:rsidR="00180A4D" w:rsidRPr="008C7294" w:rsidTr="00180A4D">
        <w:tc>
          <w:tcPr>
            <w:tcW w:w="3020" w:type="dxa"/>
            <w:vMerge w:val="restart"/>
          </w:tcPr>
          <w:p w:rsidR="00245226" w:rsidRPr="00245226" w:rsidRDefault="00245226" w:rsidP="00245226">
            <w:r w:rsidRPr="00245226">
              <w:t>Diagnostická specificita</w:t>
            </w:r>
          </w:p>
          <w:p w:rsidR="00180A4D" w:rsidRPr="00245226" w:rsidRDefault="00180A4D" w:rsidP="00180A4D"/>
          <w:p w:rsidR="00180A4D" w:rsidRPr="00245226" w:rsidRDefault="00245226" w:rsidP="00180A4D">
            <w:r w:rsidRPr="00245226">
              <w:t>(oproti</w:t>
            </w:r>
            <w:r w:rsidR="00180A4D" w:rsidRPr="00245226">
              <w:t xml:space="preserve"> </w:t>
            </w:r>
            <w:proofErr w:type="spellStart"/>
            <w:r w:rsidR="00180A4D" w:rsidRPr="00245226">
              <w:t>Gamma</w:t>
            </w:r>
            <w:proofErr w:type="spellEnd"/>
            <w:r w:rsidR="00180A4D" w:rsidRPr="00245226">
              <w:t xml:space="preserve"> IFN)</w:t>
            </w:r>
          </w:p>
        </w:tc>
        <w:tc>
          <w:tcPr>
            <w:tcW w:w="3021" w:type="dxa"/>
          </w:tcPr>
          <w:p w:rsidR="00180A4D" w:rsidRPr="00245226" w:rsidRDefault="00180A4D" w:rsidP="00180A4D">
            <w:r w:rsidRPr="00245226">
              <w:t>N</w:t>
            </w:r>
          </w:p>
        </w:tc>
        <w:tc>
          <w:tcPr>
            <w:tcW w:w="3021" w:type="dxa"/>
            <w:vMerge w:val="restart"/>
          </w:tcPr>
          <w:p w:rsidR="00245226" w:rsidRPr="00245226" w:rsidRDefault="00245226" w:rsidP="00245226">
            <w:r w:rsidRPr="00245226">
              <w:t xml:space="preserve">S gama negativními vzorky z negativních stád nebylo provedeno přímé srovnání </w:t>
            </w:r>
          </w:p>
          <w:p w:rsidR="00180A4D" w:rsidRPr="00245226" w:rsidRDefault="00180A4D" w:rsidP="00180A4D"/>
        </w:tc>
      </w:tr>
      <w:tr w:rsidR="00180A4D" w:rsidRPr="008C7294" w:rsidTr="00180A4D">
        <w:tc>
          <w:tcPr>
            <w:tcW w:w="3020" w:type="dxa"/>
            <w:vMerge/>
          </w:tcPr>
          <w:p w:rsidR="00180A4D" w:rsidRPr="008C7294" w:rsidRDefault="00180A4D" w:rsidP="00180A4D">
            <w:pPr>
              <w:rPr>
                <w:highlight w:val="cyan"/>
              </w:rPr>
            </w:pPr>
          </w:p>
        </w:tc>
        <w:tc>
          <w:tcPr>
            <w:tcW w:w="3021" w:type="dxa"/>
          </w:tcPr>
          <w:p w:rsidR="00180A4D" w:rsidRPr="00245226" w:rsidRDefault="00180A4D" w:rsidP="00180A4D">
            <w:proofErr w:type="spellStart"/>
            <w:r w:rsidRPr="00245226">
              <w:t>DSp</w:t>
            </w:r>
            <w:proofErr w:type="spellEnd"/>
          </w:p>
        </w:tc>
        <w:tc>
          <w:tcPr>
            <w:tcW w:w="3021" w:type="dxa"/>
            <w:vMerge/>
          </w:tcPr>
          <w:p w:rsidR="00180A4D" w:rsidRPr="008C7294" w:rsidRDefault="00180A4D" w:rsidP="00180A4D">
            <w:pPr>
              <w:rPr>
                <w:highlight w:val="cyan"/>
              </w:rPr>
            </w:pPr>
          </w:p>
        </w:tc>
      </w:tr>
      <w:tr w:rsidR="00180A4D" w:rsidRPr="008C7294" w:rsidTr="00180A4D">
        <w:tc>
          <w:tcPr>
            <w:tcW w:w="3020" w:type="dxa"/>
            <w:vMerge/>
          </w:tcPr>
          <w:p w:rsidR="00180A4D" w:rsidRPr="008C7294" w:rsidRDefault="00180A4D" w:rsidP="00180A4D">
            <w:pPr>
              <w:rPr>
                <w:highlight w:val="cyan"/>
              </w:rPr>
            </w:pPr>
          </w:p>
        </w:tc>
        <w:tc>
          <w:tcPr>
            <w:tcW w:w="3021" w:type="dxa"/>
          </w:tcPr>
          <w:p w:rsidR="00180A4D" w:rsidRPr="00245226" w:rsidRDefault="00180A4D" w:rsidP="00180A4D">
            <w:r w:rsidRPr="00245226">
              <w:t>CI</w:t>
            </w:r>
          </w:p>
        </w:tc>
        <w:tc>
          <w:tcPr>
            <w:tcW w:w="3021" w:type="dxa"/>
            <w:vMerge/>
          </w:tcPr>
          <w:p w:rsidR="00180A4D" w:rsidRPr="008C7294" w:rsidRDefault="00180A4D" w:rsidP="00180A4D">
            <w:pPr>
              <w:rPr>
                <w:highlight w:val="cyan"/>
              </w:rPr>
            </w:pPr>
          </w:p>
        </w:tc>
      </w:tr>
    </w:tbl>
    <w:p w:rsidR="00180A4D" w:rsidRPr="008C7294" w:rsidRDefault="00180A4D" w:rsidP="00180A4D">
      <w:pPr>
        <w:rPr>
          <w:highlight w:val="cyan"/>
        </w:rPr>
      </w:pPr>
    </w:p>
    <w:p w:rsidR="00BF37C5" w:rsidRPr="00EA4BD4" w:rsidRDefault="00BF37C5" w:rsidP="000D7CC3">
      <w:pPr>
        <w:rPr>
          <w:b/>
        </w:rPr>
      </w:pPr>
      <w:r w:rsidRPr="00EA4BD4">
        <w:rPr>
          <w:b/>
        </w:rPr>
        <w:t xml:space="preserve">Shody a </w:t>
      </w:r>
      <w:r w:rsidR="00933B2E" w:rsidRPr="00EA4BD4">
        <w:rPr>
          <w:b/>
        </w:rPr>
        <w:t>odchylky</w:t>
      </w:r>
    </w:p>
    <w:p w:rsidR="00BF37C5" w:rsidRPr="00BF37C5" w:rsidRDefault="00BE5FFD" w:rsidP="000D7CC3">
      <w:r>
        <w:t xml:space="preserve"> T</w:t>
      </w:r>
      <w:r w:rsidR="00BF37C5" w:rsidRPr="00BF37C5">
        <w:t>es</w:t>
      </w:r>
      <w:r w:rsidR="00BF37C5">
        <w:t>tování na tuberkulózu (klasifikace založena na vizuální inspekci při</w:t>
      </w:r>
      <w:r w:rsidR="001F42E3">
        <w:t xml:space="preserve"> porážce, relativní úspěšnost </w:t>
      </w:r>
      <w:r w:rsidR="00BF37C5">
        <w:t>kultivac</w:t>
      </w:r>
      <w:r w:rsidR="001F42E3">
        <w:t>e,</w:t>
      </w:r>
      <w:r w:rsidR="00BF37C5">
        <w:t xml:space="preserve"> rozdíly mezi </w:t>
      </w:r>
      <w:r w:rsidR="00BF37C5" w:rsidRPr="00933B2E">
        <w:t>buněčnou [GIFN and SICCT]</w:t>
      </w:r>
      <w:r w:rsidR="00BF37C5">
        <w:t xml:space="preserve"> a humor</w:t>
      </w:r>
      <w:r>
        <w:t>ální imunitní odpovědí) přineslo</w:t>
      </w:r>
      <w:r w:rsidR="00BF37C5">
        <w:t xml:space="preserve"> podl</w:t>
      </w:r>
      <w:r>
        <w:t>e očekávání značný počet rozporných výsledků</w:t>
      </w:r>
      <w:r w:rsidR="00BF37C5">
        <w:t xml:space="preserve">. Tyto rozpory ilustrují komplexní podstatu bovinní TBC a zdůrazňují význam uplatňování více různých diagnostických metod pro lepší porozumění této infekci. </w:t>
      </w:r>
      <w:r w:rsidR="00933B2E">
        <w:t>I přes významné odchylky mezi jednotlivý</w:t>
      </w:r>
      <w:r w:rsidR="00EB2246">
        <w:t xml:space="preserve">mi metodami data ukazují zvýšenou citlivost, které lze využít </w:t>
      </w:r>
      <w:r w:rsidR="00933B2E">
        <w:t xml:space="preserve">strategickým použitím testu na protilátky (zachycení podskupin skutečně pozitivních zvířat nezachycených jinými metodami). </w:t>
      </w:r>
    </w:p>
    <w:p w:rsidR="000D7CC3" w:rsidRPr="00EA4BD4" w:rsidRDefault="00933B2E" w:rsidP="000D7CC3">
      <w:pPr>
        <w:rPr>
          <w:b/>
        </w:rPr>
      </w:pPr>
      <w:r w:rsidRPr="00EA4BD4">
        <w:rPr>
          <w:b/>
        </w:rPr>
        <w:t>Reprodukovatelnost</w:t>
      </w:r>
    </w:p>
    <w:p w:rsidR="00933B2E" w:rsidRPr="00933B2E" w:rsidRDefault="00933B2E" w:rsidP="000D7CC3">
      <w:r w:rsidRPr="00933B2E">
        <w:lastRenderedPageBreak/>
        <w:t xml:space="preserve">Pro stanovení reprodukovatelnosti na úrovni koncového uživatele byly dvěma laboratořím poskytnuty soubory popsaných vzorků (n=30) a rozdílné šarže testovacích sad. Každá laboratoř otestovala celý soubor vzorků (dvojitě, bez supervize) pomocí tří poskytnutých šarží testu. </w:t>
      </w:r>
    </w:p>
    <w:p w:rsidR="00933B2E" w:rsidRPr="00933B2E" w:rsidRDefault="00933B2E" w:rsidP="000D7CC3">
      <w:r w:rsidRPr="00933B2E">
        <w:t xml:space="preserve">Soubor vzorků byl tvořen celkem 30 vzorky (10 negativních a 20 pozitivních). Mezi šaržemi testovacích sad byla na všech třech testovacích pracovištích (včetně testování v laboratořích IDEXX) zaznamenána 100% shoda.   </w:t>
      </w:r>
    </w:p>
    <w:p w:rsidR="000D7CC3" w:rsidRDefault="00933B2E" w:rsidP="000D7CC3">
      <w:r>
        <w:t>Reference</w:t>
      </w:r>
    </w:p>
    <w:p w:rsidR="001344F3" w:rsidRPr="001344F3" w:rsidRDefault="001344F3" w:rsidP="001344F3">
      <w:pPr>
        <w:pStyle w:val="Pa40"/>
        <w:spacing w:after="40"/>
        <w:rPr>
          <w:rFonts w:asciiTheme="minorHAnsi" w:hAnsiTheme="minorHAnsi" w:cs="Swiss 72 1 BT"/>
          <w:color w:val="000000"/>
          <w:sz w:val="22"/>
          <w:szCs w:val="22"/>
        </w:rPr>
      </w:pPr>
      <w:r w:rsidRPr="001344F3">
        <w:rPr>
          <w:rStyle w:val="A1"/>
          <w:rFonts w:asciiTheme="minorHAnsi" w:hAnsiTheme="minorHAnsi"/>
          <w:sz w:val="22"/>
          <w:szCs w:val="22"/>
        </w:rPr>
        <w:t xml:space="preserve">1. de la </w:t>
      </w:r>
      <w:proofErr w:type="spellStart"/>
      <w:r w:rsidRPr="001344F3">
        <w:rPr>
          <w:rStyle w:val="A1"/>
          <w:rFonts w:asciiTheme="minorHAnsi" w:hAnsiTheme="minorHAnsi"/>
          <w:sz w:val="22"/>
          <w:szCs w:val="22"/>
        </w:rPr>
        <w:t>Rua-Domenech</w:t>
      </w:r>
      <w:proofErr w:type="spellEnd"/>
      <w:r w:rsidRPr="001344F3">
        <w:rPr>
          <w:rStyle w:val="A1"/>
          <w:rFonts w:asciiTheme="minorHAnsi" w:hAnsiTheme="minorHAnsi"/>
          <w:sz w:val="22"/>
          <w:szCs w:val="22"/>
        </w:rPr>
        <w:t xml:space="preserve">, R., A. T. </w:t>
      </w:r>
      <w:proofErr w:type="spellStart"/>
      <w:r w:rsidRPr="001344F3">
        <w:rPr>
          <w:rStyle w:val="A1"/>
          <w:rFonts w:asciiTheme="minorHAnsi" w:hAnsiTheme="minorHAnsi"/>
          <w:sz w:val="22"/>
          <w:szCs w:val="22"/>
        </w:rPr>
        <w:t>Goodchild</w:t>
      </w:r>
      <w:proofErr w:type="spellEnd"/>
      <w:r w:rsidRPr="001344F3">
        <w:rPr>
          <w:rStyle w:val="A1"/>
          <w:rFonts w:asciiTheme="minorHAnsi" w:hAnsiTheme="minorHAnsi"/>
          <w:sz w:val="22"/>
          <w:szCs w:val="22"/>
        </w:rPr>
        <w:t xml:space="preserve">, H. M. </w:t>
      </w:r>
      <w:proofErr w:type="spellStart"/>
      <w:r w:rsidRPr="001344F3">
        <w:rPr>
          <w:rStyle w:val="A1"/>
          <w:rFonts w:asciiTheme="minorHAnsi" w:hAnsiTheme="minorHAnsi"/>
          <w:sz w:val="22"/>
          <w:szCs w:val="22"/>
        </w:rPr>
        <w:t>Vordermeier</w:t>
      </w:r>
      <w:proofErr w:type="spellEnd"/>
      <w:r w:rsidRPr="001344F3">
        <w:rPr>
          <w:rStyle w:val="A1"/>
          <w:rFonts w:asciiTheme="minorHAnsi" w:hAnsiTheme="minorHAnsi"/>
          <w:sz w:val="22"/>
          <w:szCs w:val="22"/>
        </w:rPr>
        <w:t xml:space="preserve">, R. G. </w:t>
      </w:r>
      <w:proofErr w:type="spellStart"/>
      <w:r w:rsidRPr="001344F3">
        <w:rPr>
          <w:rStyle w:val="A1"/>
          <w:rFonts w:asciiTheme="minorHAnsi" w:hAnsiTheme="minorHAnsi"/>
          <w:sz w:val="22"/>
          <w:szCs w:val="22"/>
        </w:rPr>
        <w:t>Hewinson</w:t>
      </w:r>
      <w:proofErr w:type="spellEnd"/>
      <w:r w:rsidRPr="001344F3">
        <w:rPr>
          <w:rStyle w:val="A1"/>
          <w:rFonts w:asciiTheme="minorHAnsi" w:hAnsiTheme="minorHAnsi"/>
          <w:sz w:val="22"/>
          <w:szCs w:val="22"/>
        </w:rPr>
        <w:t xml:space="preserve">, K. H. </w:t>
      </w:r>
      <w:proofErr w:type="spellStart"/>
      <w:r w:rsidRPr="001344F3">
        <w:rPr>
          <w:rStyle w:val="A1"/>
          <w:rFonts w:asciiTheme="minorHAnsi" w:hAnsiTheme="minorHAnsi"/>
          <w:sz w:val="22"/>
          <w:szCs w:val="22"/>
        </w:rPr>
        <w:t>Christiansen</w:t>
      </w:r>
      <w:proofErr w:type="spellEnd"/>
      <w:r w:rsidRPr="001344F3">
        <w:rPr>
          <w:rStyle w:val="A1"/>
          <w:rFonts w:asciiTheme="minorHAnsi" w:hAnsiTheme="minorHAnsi"/>
          <w:sz w:val="22"/>
          <w:szCs w:val="22"/>
        </w:rPr>
        <w:t xml:space="preserve">, and R. S. </w:t>
      </w:r>
      <w:proofErr w:type="spellStart"/>
      <w:r w:rsidRPr="001344F3">
        <w:rPr>
          <w:rStyle w:val="A1"/>
          <w:rFonts w:asciiTheme="minorHAnsi" w:hAnsiTheme="minorHAnsi"/>
          <w:sz w:val="22"/>
          <w:szCs w:val="22"/>
        </w:rPr>
        <w:t>Clifton</w:t>
      </w:r>
      <w:proofErr w:type="spellEnd"/>
      <w:r w:rsidRPr="001344F3">
        <w:rPr>
          <w:rStyle w:val="A1"/>
          <w:rFonts w:asciiTheme="minorHAnsi" w:hAnsiTheme="minorHAnsi"/>
          <w:sz w:val="22"/>
          <w:szCs w:val="22"/>
        </w:rPr>
        <w:t xml:space="preserve">- </w:t>
      </w:r>
      <w:proofErr w:type="spellStart"/>
      <w:r w:rsidRPr="001344F3">
        <w:rPr>
          <w:rStyle w:val="A1"/>
          <w:rFonts w:asciiTheme="minorHAnsi" w:hAnsiTheme="minorHAnsi"/>
          <w:sz w:val="22"/>
          <w:szCs w:val="22"/>
        </w:rPr>
        <w:t>Hadley</w:t>
      </w:r>
      <w:proofErr w:type="spellEnd"/>
      <w:r w:rsidRPr="001344F3">
        <w:rPr>
          <w:rStyle w:val="A1"/>
          <w:rFonts w:asciiTheme="minorHAnsi" w:hAnsiTheme="minorHAnsi"/>
          <w:sz w:val="22"/>
          <w:szCs w:val="22"/>
        </w:rPr>
        <w:t xml:space="preserve">. 2006. Ante </w:t>
      </w:r>
      <w:proofErr w:type="spellStart"/>
      <w:r w:rsidRPr="001344F3">
        <w:rPr>
          <w:rStyle w:val="A1"/>
          <w:rFonts w:asciiTheme="minorHAnsi" w:hAnsiTheme="minorHAnsi"/>
          <w:sz w:val="22"/>
          <w:szCs w:val="22"/>
        </w:rPr>
        <w:t>mortem</w:t>
      </w:r>
      <w:proofErr w:type="spellEnd"/>
      <w:r w:rsidRPr="001344F3">
        <w:rPr>
          <w:rStyle w:val="A1"/>
          <w:rFonts w:asciiTheme="minorHAnsi" w:hAnsiTheme="minorHAnsi"/>
          <w:sz w:val="22"/>
          <w:szCs w:val="22"/>
        </w:rPr>
        <w:t xml:space="preserve"> </w:t>
      </w:r>
      <w:proofErr w:type="spellStart"/>
      <w:r w:rsidRPr="001344F3">
        <w:rPr>
          <w:rStyle w:val="A1"/>
          <w:rFonts w:asciiTheme="minorHAnsi" w:hAnsiTheme="minorHAnsi"/>
          <w:sz w:val="22"/>
          <w:szCs w:val="22"/>
        </w:rPr>
        <w:t>diagnosis</w:t>
      </w:r>
      <w:proofErr w:type="spellEnd"/>
      <w:r w:rsidRPr="001344F3">
        <w:rPr>
          <w:rStyle w:val="A1"/>
          <w:rFonts w:asciiTheme="minorHAnsi" w:hAnsiTheme="minorHAnsi"/>
          <w:sz w:val="22"/>
          <w:szCs w:val="22"/>
        </w:rPr>
        <w:t xml:space="preserve"> </w:t>
      </w:r>
      <w:proofErr w:type="spellStart"/>
      <w:r w:rsidRPr="001344F3">
        <w:rPr>
          <w:rStyle w:val="A1"/>
          <w:rFonts w:asciiTheme="minorHAnsi" w:hAnsiTheme="minorHAnsi"/>
          <w:sz w:val="22"/>
          <w:szCs w:val="22"/>
        </w:rPr>
        <w:t>of</w:t>
      </w:r>
      <w:proofErr w:type="spellEnd"/>
      <w:r w:rsidRPr="001344F3">
        <w:rPr>
          <w:rStyle w:val="A1"/>
          <w:rFonts w:asciiTheme="minorHAnsi" w:hAnsiTheme="minorHAnsi"/>
          <w:sz w:val="22"/>
          <w:szCs w:val="22"/>
        </w:rPr>
        <w:t xml:space="preserve"> </w:t>
      </w:r>
      <w:proofErr w:type="spellStart"/>
      <w:r w:rsidRPr="001344F3">
        <w:rPr>
          <w:rStyle w:val="A1"/>
          <w:rFonts w:asciiTheme="minorHAnsi" w:hAnsiTheme="minorHAnsi"/>
          <w:sz w:val="22"/>
          <w:szCs w:val="22"/>
        </w:rPr>
        <w:t>tuberculosis</w:t>
      </w:r>
      <w:proofErr w:type="spellEnd"/>
      <w:r w:rsidRPr="001344F3">
        <w:rPr>
          <w:rStyle w:val="A1"/>
          <w:rFonts w:asciiTheme="minorHAnsi" w:hAnsiTheme="minorHAnsi"/>
          <w:sz w:val="22"/>
          <w:szCs w:val="22"/>
        </w:rPr>
        <w:t xml:space="preserve"> in </w:t>
      </w:r>
      <w:proofErr w:type="spellStart"/>
      <w:r w:rsidRPr="001344F3">
        <w:rPr>
          <w:rStyle w:val="A1"/>
          <w:rFonts w:asciiTheme="minorHAnsi" w:hAnsiTheme="minorHAnsi"/>
          <w:sz w:val="22"/>
          <w:szCs w:val="22"/>
        </w:rPr>
        <w:t>cattle</w:t>
      </w:r>
      <w:proofErr w:type="spellEnd"/>
      <w:r w:rsidRPr="001344F3">
        <w:rPr>
          <w:rStyle w:val="A1"/>
          <w:rFonts w:asciiTheme="minorHAnsi" w:hAnsiTheme="minorHAnsi"/>
          <w:sz w:val="22"/>
          <w:szCs w:val="22"/>
        </w:rPr>
        <w:t xml:space="preserve">: a </w:t>
      </w:r>
      <w:proofErr w:type="spellStart"/>
      <w:r w:rsidRPr="001344F3">
        <w:rPr>
          <w:rStyle w:val="A1"/>
          <w:rFonts w:asciiTheme="minorHAnsi" w:hAnsiTheme="minorHAnsi"/>
          <w:sz w:val="22"/>
          <w:szCs w:val="22"/>
        </w:rPr>
        <w:t>review</w:t>
      </w:r>
      <w:proofErr w:type="spellEnd"/>
      <w:r w:rsidRPr="001344F3">
        <w:rPr>
          <w:rStyle w:val="A1"/>
          <w:rFonts w:asciiTheme="minorHAnsi" w:hAnsiTheme="minorHAnsi"/>
          <w:sz w:val="22"/>
          <w:szCs w:val="22"/>
        </w:rPr>
        <w:t xml:space="preserve"> </w:t>
      </w:r>
      <w:proofErr w:type="spellStart"/>
      <w:r w:rsidRPr="001344F3">
        <w:rPr>
          <w:rStyle w:val="A1"/>
          <w:rFonts w:asciiTheme="minorHAnsi" w:hAnsiTheme="minorHAnsi"/>
          <w:sz w:val="22"/>
          <w:szCs w:val="22"/>
        </w:rPr>
        <w:t>of</w:t>
      </w:r>
      <w:proofErr w:type="spellEnd"/>
      <w:r w:rsidRPr="001344F3">
        <w:rPr>
          <w:rStyle w:val="A1"/>
          <w:rFonts w:asciiTheme="minorHAnsi" w:hAnsiTheme="minorHAnsi"/>
          <w:sz w:val="22"/>
          <w:szCs w:val="22"/>
        </w:rPr>
        <w:t xml:space="preserve"> </w:t>
      </w:r>
      <w:proofErr w:type="spellStart"/>
      <w:r w:rsidRPr="001344F3">
        <w:rPr>
          <w:rStyle w:val="A1"/>
          <w:rFonts w:asciiTheme="minorHAnsi" w:hAnsiTheme="minorHAnsi"/>
          <w:sz w:val="22"/>
          <w:szCs w:val="22"/>
        </w:rPr>
        <w:t>the</w:t>
      </w:r>
      <w:proofErr w:type="spellEnd"/>
      <w:r w:rsidRPr="001344F3">
        <w:rPr>
          <w:rStyle w:val="A1"/>
          <w:rFonts w:asciiTheme="minorHAnsi" w:hAnsiTheme="minorHAnsi"/>
          <w:sz w:val="22"/>
          <w:szCs w:val="22"/>
        </w:rPr>
        <w:t xml:space="preserve"> </w:t>
      </w:r>
      <w:proofErr w:type="spellStart"/>
      <w:r w:rsidRPr="001344F3">
        <w:rPr>
          <w:rStyle w:val="A1"/>
          <w:rFonts w:asciiTheme="minorHAnsi" w:hAnsiTheme="minorHAnsi"/>
          <w:sz w:val="22"/>
          <w:szCs w:val="22"/>
        </w:rPr>
        <w:t>tuberculin</w:t>
      </w:r>
      <w:proofErr w:type="spellEnd"/>
      <w:r w:rsidRPr="001344F3">
        <w:rPr>
          <w:rStyle w:val="A1"/>
          <w:rFonts w:asciiTheme="minorHAnsi" w:hAnsiTheme="minorHAnsi"/>
          <w:sz w:val="22"/>
          <w:szCs w:val="22"/>
        </w:rPr>
        <w:t xml:space="preserve"> </w:t>
      </w:r>
      <w:proofErr w:type="spellStart"/>
      <w:r w:rsidRPr="001344F3">
        <w:rPr>
          <w:rStyle w:val="A1"/>
          <w:rFonts w:asciiTheme="minorHAnsi" w:hAnsiTheme="minorHAnsi"/>
          <w:sz w:val="22"/>
          <w:szCs w:val="22"/>
        </w:rPr>
        <w:t>tests</w:t>
      </w:r>
      <w:proofErr w:type="spellEnd"/>
      <w:r w:rsidRPr="001344F3">
        <w:rPr>
          <w:rStyle w:val="A1"/>
          <w:rFonts w:asciiTheme="minorHAnsi" w:hAnsiTheme="minorHAnsi"/>
          <w:sz w:val="22"/>
          <w:szCs w:val="22"/>
        </w:rPr>
        <w:t xml:space="preserve">, -interferon </w:t>
      </w:r>
      <w:proofErr w:type="spellStart"/>
      <w:r w:rsidRPr="001344F3">
        <w:rPr>
          <w:rStyle w:val="A1"/>
          <w:rFonts w:asciiTheme="minorHAnsi" w:hAnsiTheme="minorHAnsi"/>
          <w:sz w:val="22"/>
          <w:szCs w:val="22"/>
        </w:rPr>
        <w:t>assay</w:t>
      </w:r>
      <w:proofErr w:type="spellEnd"/>
      <w:r w:rsidRPr="001344F3">
        <w:rPr>
          <w:rStyle w:val="A1"/>
          <w:rFonts w:asciiTheme="minorHAnsi" w:hAnsiTheme="minorHAnsi"/>
          <w:sz w:val="22"/>
          <w:szCs w:val="22"/>
        </w:rPr>
        <w:t xml:space="preserve"> and </w:t>
      </w:r>
      <w:proofErr w:type="spellStart"/>
      <w:r w:rsidRPr="001344F3">
        <w:rPr>
          <w:rStyle w:val="A1"/>
          <w:rFonts w:asciiTheme="minorHAnsi" w:hAnsiTheme="minorHAnsi"/>
          <w:sz w:val="22"/>
          <w:szCs w:val="22"/>
        </w:rPr>
        <w:t>other</w:t>
      </w:r>
      <w:proofErr w:type="spellEnd"/>
      <w:r w:rsidRPr="001344F3">
        <w:rPr>
          <w:rStyle w:val="A1"/>
          <w:rFonts w:asciiTheme="minorHAnsi" w:hAnsiTheme="minorHAnsi"/>
          <w:sz w:val="22"/>
          <w:szCs w:val="22"/>
        </w:rPr>
        <w:t xml:space="preserve"> </w:t>
      </w:r>
      <w:proofErr w:type="spellStart"/>
      <w:r w:rsidRPr="001344F3">
        <w:rPr>
          <w:rStyle w:val="A1"/>
          <w:rFonts w:asciiTheme="minorHAnsi" w:hAnsiTheme="minorHAnsi"/>
          <w:sz w:val="22"/>
          <w:szCs w:val="22"/>
        </w:rPr>
        <w:t>ancillary</w:t>
      </w:r>
      <w:proofErr w:type="spellEnd"/>
      <w:r w:rsidRPr="001344F3">
        <w:rPr>
          <w:rStyle w:val="A1"/>
          <w:rFonts w:asciiTheme="minorHAnsi" w:hAnsiTheme="minorHAnsi"/>
          <w:sz w:val="22"/>
          <w:szCs w:val="22"/>
        </w:rPr>
        <w:t xml:space="preserve"> </w:t>
      </w:r>
      <w:proofErr w:type="spellStart"/>
      <w:r w:rsidRPr="001344F3">
        <w:rPr>
          <w:rStyle w:val="A1"/>
          <w:rFonts w:asciiTheme="minorHAnsi" w:hAnsiTheme="minorHAnsi"/>
          <w:sz w:val="22"/>
          <w:szCs w:val="22"/>
        </w:rPr>
        <w:t>diagnostic</w:t>
      </w:r>
      <w:proofErr w:type="spellEnd"/>
      <w:r w:rsidRPr="001344F3">
        <w:rPr>
          <w:rStyle w:val="A1"/>
          <w:rFonts w:asciiTheme="minorHAnsi" w:hAnsiTheme="minorHAnsi"/>
          <w:sz w:val="22"/>
          <w:szCs w:val="22"/>
        </w:rPr>
        <w:t xml:space="preserve"> </w:t>
      </w:r>
      <w:proofErr w:type="spellStart"/>
      <w:r w:rsidRPr="001344F3">
        <w:rPr>
          <w:rStyle w:val="A1"/>
          <w:rFonts w:asciiTheme="minorHAnsi" w:hAnsiTheme="minorHAnsi"/>
          <w:sz w:val="22"/>
          <w:szCs w:val="22"/>
        </w:rPr>
        <w:t>techniques</w:t>
      </w:r>
      <w:proofErr w:type="spellEnd"/>
      <w:r w:rsidRPr="001344F3">
        <w:rPr>
          <w:rStyle w:val="A1"/>
          <w:rFonts w:asciiTheme="minorHAnsi" w:hAnsiTheme="minorHAnsi"/>
          <w:sz w:val="22"/>
          <w:szCs w:val="22"/>
        </w:rPr>
        <w:t xml:space="preserve">. Res. Vet. </w:t>
      </w:r>
      <w:proofErr w:type="spellStart"/>
      <w:r w:rsidRPr="001344F3">
        <w:rPr>
          <w:rStyle w:val="A1"/>
          <w:rFonts w:asciiTheme="minorHAnsi" w:hAnsiTheme="minorHAnsi"/>
          <w:sz w:val="22"/>
          <w:szCs w:val="22"/>
        </w:rPr>
        <w:t>Sci</w:t>
      </w:r>
      <w:proofErr w:type="spellEnd"/>
      <w:r w:rsidRPr="001344F3">
        <w:rPr>
          <w:rStyle w:val="A1"/>
          <w:rFonts w:asciiTheme="minorHAnsi" w:hAnsiTheme="minorHAnsi"/>
          <w:sz w:val="22"/>
          <w:szCs w:val="22"/>
        </w:rPr>
        <w:t>. 81:190-210.</w:t>
      </w:r>
    </w:p>
    <w:p w:rsidR="001344F3" w:rsidRPr="001344F3" w:rsidRDefault="001344F3" w:rsidP="001344F3">
      <w:pPr>
        <w:pStyle w:val="Pa40"/>
        <w:spacing w:after="40"/>
        <w:rPr>
          <w:rFonts w:asciiTheme="minorHAnsi" w:hAnsiTheme="minorHAnsi" w:cs="Swiss 72 1 BT"/>
          <w:color w:val="000000"/>
          <w:sz w:val="22"/>
          <w:szCs w:val="22"/>
        </w:rPr>
      </w:pPr>
      <w:r w:rsidRPr="001344F3">
        <w:rPr>
          <w:rStyle w:val="A1"/>
          <w:rFonts w:asciiTheme="minorHAnsi" w:hAnsiTheme="minorHAnsi"/>
          <w:sz w:val="22"/>
          <w:szCs w:val="22"/>
        </w:rPr>
        <w:t xml:space="preserve">2. </w:t>
      </w:r>
      <w:proofErr w:type="spellStart"/>
      <w:r w:rsidRPr="001344F3">
        <w:rPr>
          <w:rStyle w:val="A1"/>
          <w:rFonts w:asciiTheme="minorHAnsi" w:hAnsiTheme="minorHAnsi"/>
          <w:sz w:val="22"/>
          <w:szCs w:val="22"/>
        </w:rPr>
        <w:t>Coad</w:t>
      </w:r>
      <w:proofErr w:type="spellEnd"/>
      <w:r w:rsidRPr="001344F3">
        <w:rPr>
          <w:rStyle w:val="A1"/>
          <w:rFonts w:asciiTheme="minorHAnsi" w:hAnsiTheme="minorHAnsi"/>
          <w:sz w:val="22"/>
          <w:szCs w:val="22"/>
        </w:rPr>
        <w:t xml:space="preserve">, M., </w:t>
      </w:r>
      <w:proofErr w:type="spellStart"/>
      <w:r w:rsidRPr="001344F3">
        <w:rPr>
          <w:rStyle w:val="A1"/>
          <w:rFonts w:asciiTheme="minorHAnsi" w:hAnsiTheme="minorHAnsi"/>
          <w:sz w:val="22"/>
          <w:szCs w:val="22"/>
        </w:rPr>
        <w:t>Downs</w:t>
      </w:r>
      <w:proofErr w:type="spellEnd"/>
      <w:r w:rsidRPr="001344F3">
        <w:rPr>
          <w:rStyle w:val="A1"/>
          <w:rFonts w:asciiTheme="minorHAnsi" w:hAnsiTheme="minorHAnsi"/>
          <w:sz w:val="22"/>
          <w:szCs w:val="22"/>
        </w:rPr>
        <w:t xml:space="preserve">, S.H., </w:t>
      </w:r>
      <w:proofErr w:type="spellStart"/>
      <w:r w:rsidRPr="001344F3">
        <w:rPr>
          <w:rStyle w:val="A1"/>
          <w:rFonts w:asciiTheme="minorHAnsi" w:hAnsiTheme="minorHAnsi"/>
          <w:sz w:val="22"/>
          <w:szCs w:val="22"/>
        </w:rPr>
        <w:t>Durr</w:t>
      </w:r>
      <w:proofErr w:type="spellEnd"/>
      <w:r w:rsidRPr="001344F3">
        <w:rPr>
          <w:rStyle w:val="A1"/>
          <w:rFonts w:asciiTheme="minorHAnsi" w:hAnsiTheme="minorHAnsi"/>
          <w:sz w:val="22"/>
          <w:szCs w:val="22"/>
        </w:rPr>
        <w:t xml:space="preserve">, P.A., </w:t>
      </w:r>
      <w:proofErr w:type="spellStart"/>
      <w:r w:rsidRPr="001344F3">
        <w:rPr>
          <w:rStyle w:val="A1"/>
          <w:rFonts w:asciiTheme="minorHAnsi" w:hAnsiTheme="minorHAnsi"/>
          <w:sz w:val="22"/>
          <w:szCs w:val="22"/>
        </w:rPr>
        <w:t>Clifton-Hadley</w:t>
      </w:r>
      <w:proofErr w:type="spellEnd"/>
      <w:r w:rsidRPr="001344F3">
        <w:rPr>
          <w:rStyle w:val="A1"/>
          <w:rFonts w:asciiTheme="minorHAnsi" w:hAnsiTheme="minorHAnsi"/>
          <w:sz w:val="22"/>
          <w:szCs w:val="22"/>
        </w:rPr>
        <w:t xml:space="preserve">, R.S., </w:t>
      </w:r>
      <w:proofErr w:type="spellStart"/>
      <w:r w:rsidRPr="001344F3">
        <w:rPr>
          <w:rStyle w:val="A1"/>
          <w:rFonts w:asciiTheme="minorHAnsi" w:hAnsiTheme="minorHAnsi"/>
          <w:sz w:val="22"/>
          <w:szCs w:val="22"/>
        </w:rPr>
        <w:t>Hewinson</w:t>
      </w:r>
      <w:proofErr w:type="spellEnd"/>
      <w:r w:rsidRPr="001344F3">
        <w:rPr>
          <w:rStyle w:val="A1"/>
          <w:rFonts w:asciiTheme="minorHAnsi" w:hAnsiTheme="minorHAnsi"/>
          <w:sz w:val="22"/>
          <w:szCs w:val="22"/>
        </w:rPr>
        <w:t xml:space="preserve">, R.G. </w:t>
      </w:r>
      <w:proofErr w:type="spellStart"/>
      <w:r w:rsidRPr="001344F3">
        <w:rPr>
          <w:rStyle w:val="A1"/>
          <w:rFonts w:asciiTheme="minorHAnsi" w:hAnsiTheme="minorHAnsi"/>
          <w:sz w:val="22"/>
          <w:szCs w:val="22"/>
        </w:rPr>
        <w:t>Vordermeier</w:t>
      </w:r>
      <w:proofErr w:type="spellEnd"/>
      <w:r w:rsidRPr="001344F3">
        <w:rPr>
          <w:rStyle w:val="A1"/>
          <w:rFonts w:asciiTheme="minorHAnsi" w:hAnsiTheme="minorHAnsi"/>
          <w:sz w:val="22"/>
          <w:szCs w:val="22"/>
        </w:rPr>
        <w:t xml:space="preserve">, H.M., </w:t>
      </w:r>
      <w:proofErr w:type="spellStart"/>
      <w:r w:rsidRPr="001344F3">
        <w:rPr>
          <w:rStyle w:val="A1"/>
          <w:rFonts w:asciiTheme="minorHAnsi" w:hAnsiTheme="minorHAnsi"/>
          <w:sz w:val="22"/>
          <w:szCs w:val="22"/>
        </w:rPr>
        <w:t>Whelan</w:t>
      </w:r>
      <w:proofErr w:type="spellEnd"/>
      <w:r w:rsidRPr="001344F3">
        <w:rPr>
          <w:rStyle w:val="A1"/>
          <w:rFonts w:asciiTheme="minorHAnsi" w:hAnsiTheme="minorHAnsi"/>
          <w:sz w:val="22"/>
          <w:szCs w:val="22"/>
        </w:rPr>
        <w:t xml:space="preserve">, A.O., 2008. </w:t>
      </w:r>
      <w:proofErr w:type="spellStart"/>
      <w:r w:rsidRPr="001344F3">
        <w:rPr>
          <w:rStyle w:val="A1"/>
          <w:rFonts w:asciiTheme="minorHAnsi" w:hAnsiTheme="minorHAnsi"/>
          <w:sz w:val="22"/>
          <w:szCs w:val="22"/>
        </w:rPr>
        <w:t>The</w:t>
      </w:r>
      <w:proofErr w:type="spellEnd"/>
      <w:r w:rsidRPr="001344F3">
        <w:rPr>
          <w:rStyle w:val="A1"/>
          <w:rFonts w:asciiTheme="minorHAnsi" w:hAnsiTheme="minorHAnsi"/>
          <w:sz w:val="22"/>
          <w:szCs w:val="22"/>
        </w:rPr>
        <w:t xml:space="preserve"> </w:t>
      </w:r>
      <w:proofErr w:type="spellStart"/>
      <w:r w:rsidRPr="001344F3">
        <w:rPr>
          <w:rStyle w:val="A1"/>
          <w:rFonts w:asciiTheme="minorHAnsi" w:hAnsiTheme="minorHAnsi"/>
          <w:sz w:val="22"/>
          <w:szCs w:val="22"/>
        </w:rPr>
        <w:t>Veterinary</w:t>
      </w:r>
      <w:proofErr w:type="spellEnd"/>
      <w:r w:rsidRPr="001344F3">
        <w:rPr>
          <w:rStyle w:val="A1"/>
          <w:rFonts w:asciiTheme="minorHAnsi" w:hAnsiTheme="minorHAnsi"/>
          <w:sz w:val="22"/>
          <w:szCs w:val="22"/>
        </w:rPr>
        <w:t xml:space="preserve"> </w:t>
      </w:r>
      <w:proofErr w:type="spellStart"/>
      <w:r w:rsidRPr="001344F3">
        <w:rPr>
          <w:rStyle w:val="A1"/>
          <w:rFonts w:asciiTheme="minorHAnsi" w:hAnsiTheme="minorHAnsi"/>
          <w:sz w:val="22"/>
          <w:szCs w:val="22"/>
        </w:rPr>
        <w:t>Record</w:t>
      </w:r>
      <w:proofErr w:type="spellEnd"/>
      <w:r w:rsidRPr="001344F3">
        <w:rPr>
          <w:rStyle w:val="A1"/>
          <w:rFonts w:asciiTheme="minorHAnsi" w:hAnsiTheme="minorHAnsi"/>
          <w:sz w:val="22"/>
          <w:szCs w:val="22"/>
        </w:rPr>
        <w:t>. 162: 382-384.</w:t>
      </w:r>
    </w:p>
    <w:p w:rsidR="001344F3" w:rsidRPr="001344F3" w:rsidRDefault="001344F3" w:rsidP="001344F3">
      <w:pPr>
        <w:pStyle w:val="Pa40"/>
        <w:spacing w:after="40"/>
        <w:rPr>
          <w:rFonts w:asciiTheme="minorHAnsi" w:hAnsiTheme="minorHAnsi" w:cs="Swiss 72 1 BT"/>
          <w:color w:val="000000"/>
          <w:sz w:val="22"/>
          <w:szCs w:val="22"/>
        </w:rPr>
      </w:pPr>
      <w:r w:rsidRPr="001344F3">
        <w:rPr>
          <w:rStyle w:val="A1"/>
          <w:rFonts w:asciiTheme="minorHAnsi" w:hAnsiTheme="minorHAnsi"/>
          <w:sz w:val="22"/>
          <w:szCs w:val="22"/>
        </w:rPr>
        <w:t xml:space="preserve">3. </w:t>
      </w:r>
      <w:proofErr w:type="spellStart"/>
      <w:r w:rsidRPr="001344F3">
        <w:rPr>
          <w:rStyle w:val="A1"/>
          <w:rFonts w:asciiTheme="minorHAnsi" w:hAnsiTheme="minorHAnsi"/>
          <w:sz w:val="22"/>
          <w:szCs w:val="22"/>
        </w:rPr>
        <w:t>Gormley</w:t>
      </w:r>
      <w:proofErr w:type="spellEnd"/>
      <w:r w:rsidRPr="001344F3">
        <w:rPr>
          <w:rStyle w:val="A1"/>
          <w:rFonts w:asciiTheme="minorHAnsi" w:hAnsiTheme="minorHAnsi"/>
          <w:sz w:val="22"/>
          <w:szCs w:val="22"/>
        </w:rPr>
        <w:t xml:space="preserve">, E., </w:t>
      </w:r>
      <w:proofErr w:type="spellStart"/>
      <w:r w:rsidRPr="001344F3">
        <w:rPr>
          <w:rStyle w:val="A1"/>
          <w:rFonts w:asciiTheme="minorHAnsi" w:hAnsiTheme="minorHAnsi"/>
          <w:sz w:val="22"/>
          <w:szCs w:val="22"/>
        </w:rPr>
        <w:t>Doyle</w:t>
      </w:r>
      <w:proofErr w:type="spellEnd"/>
      <w:r w:rsidRPr="001344F3">
        <w:rPr>
          <w:rStyle w:val="A1"/>
          <w:rFonts w:asciiTheme="minorHAnsi" w:hAnsiTheme="minorHAnsi"/>
          <w:sz w:val="22"/>
          <w:szCs w:val="22"/>
        </w:rPr>
        <w:t xml:space="preserve">, M.B., </w:t>
      </w:r>
      <w:proofErr w:type="spellStart"/>
      <w:r w:rsidRPr="001344F3">
        <w:rPr>
          <w:rStyle w:val="A1"/>
          <w:rFonts w:asciiTheme="minorHAnsi" w:hAnsiTheme="minorHAnsi"/>
          <w:sz w:val="22"/>
          <w:szCs w:val="22"/>
        </w:rPr>
        <w:t>Fitzsimons</w:t>
      </w:r>
      <w:proofErr w:type="spellEnd"/>
      <w:r w:rsidRPr="001344F3">
        <w:rPr>
          <w:rStyle w:val="A1"/>
          <w:rFonts w:asciiTheme="minorHAnsi" w:hAnsiTheme="minorHAnsi"/>
          <w:sz w:val="22"/>
          <w:szCs w:val="22"/>
        </w:rPr>
        <w:t xml:space="preserve">, T. </w:t>
      </w:r>
      <w:proofErr w:type="spellStart"/>
      <w:r w:rsidRPr="001344F3">
        <w:rPr>
          <w:rStyle w:val="A1"/>
          <w:rFonts w:asciiTheme="minorHAnsi" w:hAnsiTheme="minorHAnsi"/>
          <w:sz w:val="22"/>
          <w:szCs w:val="22"/>
        </w:rPr>
        <w:t>McGill</w:t>
      </w:r>
      <w:proofErr w:type="spellEnd"/>
      <w:r w:rsidRPr="001344F3">
        <w:rPr>
          <w:rStyle w:val="A1"/>
          <w:rFonts w:asciiTheme="minorHAnsi" w:hAnsiTheme="minorHAnsi"/>
          <w:sz w:val="22"/>
          <w:szCs w:val="22"/>
        </w:rPr>
        <w:t xml:space="preserve">, K., </w:t>
      </w:r>
      <w:proofErr w:type="spellStart"/>
      <w:r w:rsidRPr="001344F3">
        <w:rPr>
          <w:rStyle w:val="A1"/>
          <w:rFonts w:asciiTheme="minorHAnsi" w:hAnsiTheme="minorHAnsi"/>
          <w:sz w:val="22"/>
          <w:szCs w:val="22"/>
        </w:rPr>
        <w:t>Collins</w:t>
      </w:r>
      <w:proofErr w:type="spellEnd"/>
      <w:r w:rsidRPr="001344F3">
        <w:rPr>
          <w:rStyle w:val="A1"/>
          <w:rFonts w:asciiTheme="minorHAnsi" w:hAnsiTheme="minorHAnsi"/>
          <w:sz w:val="22"/>
          <w:szCs w:val="22"/>
        </w:rPr>
        <w:t xml:space="preserve">, J.D. 2006. Vet. </w:t>
      </w:r>
      <w:proofErr w:type="spellStart"/>
      <w:r w:rsidRPr="001344F3">
        <w:rPr>
          <w:rStyle w:val="A1"/>
          <w:rFonts w:asciiTheme="minorHAnsi" w:hAnsiTheme="minorHAnsi"/>
          <w:sz w:val="22"/>
          <w:szCs w:val="22"/>
        </w:rPr>
        <w:t>Microbiol</w:t>
      </w:r>
      <w:proofErr w:type="spellEnd"/>
      <w:r w:rsidRPr="001344F3">
        <w:rPr>
          <w:rStyle w:val="A1"/>
          <w:rFonts w:asciiTheme="minorHAnsi" w:hAnsiTheme="minorHAnsi"/>
          <w:sz w:val="22"/>
          <w:szCs w:val="22"/>
        </w:rPr>
        <w:t>. 112, 171-179.</w:t>
      </w:r>
    </w:p>
    <w:p w:rsidR="001344F3" w:rsidRPr="001344F3" w:rsidRDefault="001344F3" w:rsidP="001344F3">
      <w:r w:rsidRPr="001344F3">
        <w:rPr>
          <w:rStyle w:val="A1"/>
          <w:sz w:val="22"/>
          <w:szCs w:val="22"/>
        </w:rPr>
        <w:t xml:space="preserve">4. </w:t>
      </w:r>
      <w:proofErr w:type="spellStart"/>
      <w:r w:rsidRPr="001344F3">
        <w:rPr>
          <w:rStyle w:val="A1"/>
          <w:sz w:val="22"/>
          <w:szCs w:val="22"/>
        </w:rPr>
        <w:t>Palmer</w:t>
      </w:r>
      <w:proofErr w:type="spellEnd"/>
      <w:r w:rsidRPr="001344F3">
        <w:rPr>
          <w:rStyle w:val="A1"/>
          <w:sz w:val="22"/>
          <w:szCs w:val="22"/>
        </w:rPr>
        <w:t xml:space="preserve">, M. V., </w:t>
      </w:r>
      <w:proofErr w:type="spellStart"/>
      <w:r w:rsidRPr="001344F3">
        <w:rPr>
          <w:rStyle w:val="A1"/>
          <w:sz w:val="22"/>
          <w:szCs w:val="22"/>
        </w:rPr>
        <w:t>Waters</w:t>
      </w:r>
      <w:proofErr w:type="spellEnd"/>
      <w:r w:rsidRPr="001344F3">
        <w:rPr>
          <w:rStyle w:val="A1"/>
          <w:sz w:val="22"/>
          <w:szCs w:val="22"/>
        </w:rPr>
        <w:t xml:space="preserve">, W. R., 2006. </w:t>
      </w:r>
      <w:proofErr w:type="spellStart"/>
      <w:r w:rsidRPr="001344F3">
        <w:rPr>
          <w:rStyle w:val="A1"/>
          <w:sz w:val="22"/>
          <w:szCs w:val="22"/>
        </w:rPr>
        <w:t>Advances</w:t>
      </w:r>
      <w:proofErr w:type="spellEnd"/>
      <w:r w:rsidRPr="001344F3">
        <w:rPr>
          <w:rStyle w:val="A1"/>
          <w:sz w:val="22"/>
          <w:szCs w:val="22"/>
        </w:rPr>
        <w:t xml:space="preserve"> in </w:t>
      </w:r>
      <w:proofErr w:type="spellStart"/>
      <w:r w:rsidRPr="001344F3">
        <w:rPr>
          <w:rStyle w:val="A1"/>
          <w:sz w:val="22"/>
          <w:szCs w:val="22"/>
        </w:rPr>
        <w:t>bovine</w:t>
      </w:r>
      <w:proofErr w:type="spellEnd"/>
      <w:r w:rsidRPr="001344F3">
        <w:rPr>
          <w:rStyle w:val="A1"/>
          <w:sz w:val="22"/>
          <w:szCs w:val="22"/>
        </w:rPr>
        <w:t xml:space="preserve"> </w:t>
      </w:r>
      <w:proofErr w:type="spellStart"/>
      <w:r w:rsidRPr="001344F3">
        <w:rPr>
          <w:rStyle w:val="A1"/>
          <w:sz w:val="22"/>
          <w:szCs w:val="22"/>
        </w:rPr>
        <w:t>tuberculosis</w:t>
      </w:r>
      <w:proofErr w:type="spellEnd"/>
      <w:r w:rsidRPr="001344F3">
        <w:rPr>
          <w:rStyle w:val="A1"/>
          <w:sz w:val="22"/>
          <w:szCs w:val="22"/>
        </w:rPr>
        <w:t xml:space="preserve"> </w:t>
      </w:r>
      <w:proofErr w:type="spellStart"/>
      <w:r w:rsidRPr="001344F3">
        <w:rPr>
          <w:rStyle w:val="A1"/>
          <w:sz w:val="22"/>
          <w:szCs w:val="22"/>
        </w:rPr>
        <w:t>diagnosis</w:t>
      </w:r>
      <w:proofErr w:type="spellEnd"/>
      <w:r w:rsidRPr="001344F3">
        <w:rPr>
          <w:rStyle w:val="A1"/>
          <w:sz w:val="22"/>
          <w:szCs w:val="22"/>
        </w:rPr>
        <w:t xml:space="preserve"> and </w:t>
      </w:r>
      <w:proofErr w:type="spellStart"/>
      <w:r w:rsidRPr="001344F3">
        <w:rPr>
          <w:rStyle w:val="A1"/>
          <w:sz w:val="22"/>
          <w:szCs w:val="22"/>
        </w:rPr>
        <w:t>pathogenesis</w:t>
      </w:r>
      <w:proofErr w:type="spellEnd"/>
      <w:r w:rsidRPr="001344F3">
        <w:rPr>
          <w:rStyle w:val="A1"/>
          <w:sz w:val="22"/>
          <w:szCs w:val="22"/>
        </w:rPr>
        <w:t xml:space="preserve">: </w:t>
      </w:r>
      <w:proofErr w:type="spellStart"/>
      <w:r w:rsidRPr="001344F3">
        <w:rPr>
          <w:rStyle w:val="A1"/>
          <w:sz w:val="22"/>
          <w:szCs w:val="22"/>
        </w:rPr>
        <w:t>What</w:t>
      </w:r>
      <w:proofErr w:type="spellEnd"/>
      <w:r w:rsidRPr="001344F3">
        <w:rPr>
          <w:rStyle w:val="A1"/>
          <w:sz w:val="22"/>
          <w:szCs w:val="22"/>
        </w:rPr>
        <w:t xml:space="preserve"> </w:t>
      </w:r>
      <w:proofErr w:type="spellStart"/>
      <w:r w:rsidRPr="001344F3">
        <w:rPr>
          <w:rStyle w:val="A1"/>
          <w:sz w:val="22"/>
          <w:szCs w:val="22"/>
        </w:rPr>
        <w:t>policy</w:t>
      </w:r>
      <w:proofErr w:type="spellEnd"/>
      <w:r w:rsidRPr="001344F3">
        <w:rPr>
          <w:rStyle w:val="A1"/>
          <w:sz w:val="22"/>
          <w:szCs w:val="22"/>
        </w:rPr>
        <w:t xml:space="preserve"> </w:t>
      </w:r>
      <w:proofErr w:type="spellStart"/>
      <w:r w:rsidRPr="001344F3">
        <w:rPr>
          <w:rStyle w:val="A1"/>
          <w:sz w:val="22"/>
          <w:szCs w:val="22"/>
        </w:rPr>
        <w:t>makers</w:t>
      </w:r>
      <w:proofErr w:type="spellEnd"/>
      <w:r w:rsidRPr="001344F3">
        <w:rPr>
          <w:rStyle w:val="A1"/>
          <w:sz w:val="22"/>
          <w:szCs w:val="22"/>
        </w:rPr>
        <w:t xml:space="preserve"> </w:t>
      </w:r>
      <w:proofErr w:type="spellStart"/>
      <w:r w:rsidRPr="001344F3">
        <w:rPr>
          <w:rStyle w:val="A1"/>
          <w:sz w:val="22"/>
          <w:szCs w:val="22"/>
        </w:rPr>
        <w:t>need</w:t>
      </w:r>
      <w:proofErr w:type="spellEnd"/>
      <w:r w:rsidRPr="001344F3">
        <w:rPr>
          <w:rStyle w:val="A1"/>
          <w:sz w:val="22"/>
          <w:szCs w:val="22"/>
        </w:rPr>
        <w:t xml:space="preserve"> to </w:t>
      </w:r>
      <w:proofErr w:type="spellStart"/>
      <w:r w:rsidRPr="001344F3">
        <w:rPr>
          <w:rStyle w:val="A1"/>
          <w:sz w:val="22"/>
          <w:szCs w:val="22"/>
        </w:rPr>
        <w:t>know</w:t>
      </w:r>
      <w:proofErr w:type="spellEnd"/>
      <w:r w:rsidRPr="001344F3">
        <w:rPr>
          <w:rStyle w:val="A1"/>
          <w:sz w:val="22"/>
          <w:szCs w:val="22"/>
        </w:rPr>
        <w:t xml:space="preserve">. Vet. </w:t>
      </w:r>
      <w:proofErr w:type="spellStart"/>
      <w:r w:rsidRPr="001344F3">
        <w:rPr>
          <w:rStyle w:val="A1"/>
          <w:sz w:val="22"/>
          <w:szCs w:val="22"/>
        </w:rPr>
        <w:t>Microbiol</w:t>
      </w:r>
      <w:proofErr w:type="spellEnd"/>
      <w:r w:rsidRPr="001344F3">
        <w:rPr>
          <w:rStyle w:val="A1"/>
          <w:sz w:val="22"/>
          <w:szCs w:val="22"/>
        </w:rPr>
        <w:t>. 112, 181-190.</w:t>
      </w:r>
    </w:p>
    <w:p w:rsidR="00F54549" w:rsidRPr="005618F5" w:rsidRDefault="00F54549" w:rsidP="00F54549">
      <w:pPr>
        <w:spacing w:after="0"/>
        <w:rPr>
          <w:b/>
        </w:rPr>
      </w:pPr>
      <w:r>
        <w:rPr>
          <w:b/>
        </w:rPr>
        <w:t>Technická podpora</w:t>
      </w:r>
      <w:r w:rsidRPr="005618F5">
        <w:rPr>
          <w:b/>
        </w:rPr>
        <w:t>:</w:t>
      </w:r>
    </w:p>
    <w:p w:rsidR="00F54549" w:rsidRDefault="00F54549" w:rsidP="00F54549">
      <w:pPr>
        <w:spacing w:after="0"/>
      </w:pPr>
    </w:p>
    <w:p w:rsidR="00F54549" w:rsidRDefault="00F54549" w:rsidP="00F54549">
      <w:pPr>
        <w:spacing w:after="0"/>
      </w:pPr>
      <w:r>
        <w:t>IDEXX USA Tel: +1 800 548 9997 nebo +1 207 556 4895</w:t>
      </w:r>
    </w:p>
    <w:p w:rsidR="00F54549" w:rsidRDefault="00F54549" w:rsidP="00F54549">
      <w:pPr>
        <w:spacing w:after="0"/>
      </w:pPr>
      <w:r>
        <w:t>IDEXX Evropa Tel: +800 727 43399</w:t>
      </w:r>
    </w:p>
    <w:p w:rsidR="00F54549" w:rsidRDefault="00F54549" w:rsidP="00F54549">
      <w:pPr>
        <w:spacing w:after="0"/>
      </w:pPr>
      <w:r>
        <w:t xml:space="preserve">Obraťte se na manažera nebo distributora společnosti IDEXX pro Vaši oblast nebo navštivte naši webovou stránku: </w:t>
      </w:r>
      <w:hyperlink r:id="rId8" w:history="1">
        <w:r w:rsidRPr="005E13F1">
          <w:rPr>
            <w:rStyle w:val="Hypertextovodkaz"/>
          </w:rPr>
          <w:t>www.idexx.com/production/contactlpd</w:t>
        </w:r>
      </w:hyperlink>
    </w:p>
    <w:p w:rsidR="000D7CC3" w:rsidRDefault="00EA4BD4" w:rsidP="000D7CC3">
      <w:r>
        <w:t>VLN/PCN: 313/5A65.20</w:t>
      </w:r>
    </w:p>
    <w:p w:rsidR="000D7CC3" w:rsidRDefault="00F54549" w:rsidP="000D7CC3">
      <w:r>
        <w:t>IDEXX a</w:t>
      </w:r>
      <w:r w:rsidR="000D7CC3">
        <w:t xml:space="preserve"> Test </w:t>
      </w:r>
      <w:proofErr w:type="spellStart"/>
      <w:r w:rsidR="000D7CC3">
        <w:t>With</w:t>
      </w:r>
      <w:proofErr w:type="spellEnd"/>
      <w:r w:rsidR="000D7CC3">
        <w:t xml:space="preserve"> </w:t>
      </w:r>
      <w:proofErr w:type="spellStart"/>
      <w:r w:rsidR="000D7CC3">
        <w:t>Confidence</w:t>
      </w:r>
      <w:proofErr w:type="spellEnd"/>
      <w:r w:rsidR="000D7CC3">
        <w:t xml:space="preserve"> </w:t>
      </w:r>
      <w:r>
        <w:t>jsou obchodní značky nebo registrované ochranné známky</w:t>
      </w:r>
      <w:r w:rsidR="000D7CC3">
        <w:t xml:space="preserve"> </w:t>
      </w:r>
      <w:r>
        <w:t>společnosti</w:t>
      </w:r>
      <w:r w:rsidR="000D7CC3">
        <w:t xml:space="preserve"> IDEXX </w:t>
      </w:r>
      <w:proofErr w:type="spellStart"/>
      <w:r w:rsidR="000D7CC3">
        <w:t>Laboratories</w:t>
      </w:r>
      <w:proofErr w:type="spellEnd"/>
      <w:r w:rsidR="000D7CC3">
        <w:t xml:space="preserve">, </w:t>
      </w:r>
      <w:proofErr w:type="spellStart"/>
      <w:r w:rsidR="000D7CC3">
        <w:t>Inc</w:t>
      </w:r>
      <w:proofErr w:type="spellEnd"/>
      <w:r w:rsidR="000D7CC3">
        <w:t xml:space="preserve"> </w:t>
      </w:r>
      <w:r>
        <w:t>nebo jejích dceřiných společností ve Spojených státech a/nebo</w:t>
      </w:r>
      <w:r w:rsidR="000D7CC3">
        <w:t xml:space="preserve"> </w:t>
      </w:r>
      <w:r>
        <w:t>jiných zemích.</w:t>
      </w:r>
    </w:p>
    <w:p w:rsidR="000D7CC3" w:rsidRDefault="000D7CC3" w:rsidP="000D7CC3">
      <w:r>
        <w:t>©20</w:t>
      </w:r>
      <w:r w:rsidR="00EA4BD4">
        <w:t>21</w:t>
      </w:r>
      <w:r>
        <w:t xml:space="preserve"> IDEXX </w:t>
      </w:r>
      <w:proofErr w:type="spellStart"/>
      <w:r>
        <w:t>Labora</w:t>
      </w:r>
      <w:r w:rsidR="001344F3">
        <w:t>tories</w:t>
      </w:r>
      <w:proofErr w:type="spellEnd"/>
      <w:r w:rsidR="001344F3">
        <w:t>, Inc. Všechna práva vyhrazena</w:t>
      </w:r>
      <w:r>
        <w:t>.</w:t>
      </w:r>
    </w:p>
    <w:p w:rsidR="00F54549" w:rsidRPr="001344F3" w:rsidRDefault="00EA4BD4" w:rsidP="00EA4BD4">
      <w:pPr>
        <w:jc w:val="center"/>
        <w:rPr>
          <w:b/>
        </w:rPr>
      </w:pPr>
      <w:r>
        <w:rPr>
          <w:b/>
        </w:rPr>
        <w:t>VAROVÁNÍ</w:t>
      </w:r>
    </w:p>
    <w:p w:rsidR="00F54549" w:rsidRDefault="00EA4BD4" w:rsidP="00F54549">
      <w:r>
        <w:rPr>
          <w:noProof/>
          <w:lang w:eastAsia="cs-CZ"/>
        </w:rPr>
        <w:drawing>
          <wp:inline distT="0" distB="0" distL="0" distR="0">
            <wp:extent cx="5761355" cy="30670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7CC3">
        <w:br/>
      </w:r>
      <w:r w:rsidR="00F54549" w:rsidRPr="001344F3">
        <w:rPr>
          <w:b/>
        </w:rPr>
        <w:t>Roztok k ředění vzorků</w:t>
      </w:r>
      <w:r w:rsidR="000D7CC3">
        <w:t xml:space="preserve"> − </w:t>
      </w:r>
      <w:r w:rsidR="00F54549">
        <w:t>Způsobuje závažné podráždění očí. Noste ochranné brýle</w:t>
      </w:r>
      <w:r w:rsidR="000D7CC3">
        <w:t xml:space="preserve">. </w:t>
      </w:r>
      <w:r w:rsidR="00F54549">
        <w:t>Přetrvá-li podráždění očí, poraďte se s lékařem/navštivte lékaře.</w:t>
      </w:r>
    </w:p>
    <w:p w:rsidR="000D7CC3" w:rsidRDefault="00EA4BD4" w:rsidP="000D7CC3">
      <w:r>
        <w:rPr>
          <w:noProof/>
          <w:lang w:eastAsia="cs-CZ"/>
        </w:rPr>
        <w:drawing>
          <wp:inline distT="0" distB="0" distL="0" distR="0">
            <wp:extent cx="5756275" cy="322580"/>
            <wp:effectExtent l="0" t="0" r="0" b="127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32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7CC3">
        <w:br/>
      </w:r>
      <w:r w:rsidR="00F54549" w:rsidRPr="001344F3">
        <w:rPr>
          <w:b/>
        </w:rPr>
        <w:t>TMB Substrát</w:t>
      </w:r>
      <w:r w:rsidR="000D7CC3">
        <w:t xml:space="preserve"> − </w:t>
      </w:r>
      <w:r w:rsidR="00AC3393">
        <w:t>Z</w:t>
      </w:r>
      <w:r w:rsidR="00F54549">
        <w:t>působuje podrážení pokožky. Způsobuje závažné podráždění očí. Noste ochranné rukavice/brýle/obličejový štít.  Dojde-li k podráždění pokožky: poraďte se s lékařem/navštivte lékaře. Přetrvá-li podráždění očí, poraďte se s lékařem/navštivte lékaře.</w:t>
      </w:r>
    </w:p>
    <w:p w:rsidR="00F54549" w:rsidRDefault="00EA4BD4" w:rsidP="00F54549">
      <w:r>
        <w:rPr>
          <w:noProof/>
          <w:lang w:eastAsia="cs-CZ"/>
        </w:rPr>
        <w:drawing>
          <wp:inline distT="0" distB="0" distL="0" distR="0">
            <wp:extent cx="5756275" cy="285115"/>
            <wp:effectExtent l="0" t="0" r="0" b="63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285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54549">
        <w:br/>
      </w:r>
      <w:r w:rsidR="00F54549" w:rsidRPr="001344F3">
        <w:rPr>
          <w:b/>
        </w:rPr>
        <w:t>Zastavovací roztok</w:t>
      </w:r>
      <w:r w:rsidR="00F54549">
        <w:t xml:space="preserve">- Způsobuje podráždění pokožky. Může způsobit alergickou kožní reakci. Dojde-li k podráždění pokožky/výskytu vyrážky: poraďte se s lékařem/navštivte lékaře.  Kontaminovaný oděv před novým použitím vyperte. </w:t>
      </w:r>
    </w:p>
    <w:p w:rsidR="00EA4BD4" w:rsidRPr="00A14CEA" w:rsidRDefault="00EA4BD4" w:rsidP="00EA4BD4">
      <w:pPr>
        <w:rPr>
          <w:rFonts w:cs="TTE1965D00t00"/>
          <w:b/>
          <w:noProof/>
          <w:color w:val="000000"/>
        </w:rPr>
      </w:pPr>
      <w:r w:rsidRPr="00A14CEA">
        <w:rPr>
          <w:rFonts w:cs="TTE1965D00t00"/>
          <w:b/>
          <w:noProof/>
          <w:color w:val="000000"/>
        </w:rPr>
        <w:lastRenderedPageBreak/>
        <w:t>Popis symbolů</w:t>
      </w:r>
    </w:p>
    <w:p w:rsidR="00EA4BD4" w:rsidRPr="00A14CEA" w:rsidRDefault="00EA4BD4" w:rsidP="00EA4BD4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A14CEA">
        <w:rPr>
          <w:rFonts w:cs="TTE1965D00t00"/>
          <w:noProof/>
          <w:color w:val="000000"/>
          <w:lang w:eastAsia="cs-CZ"/>
        </w:rPr>
        <w:drawing>
          <wp:inline distT="0" distB="0" distL="0" distR="0" wp14:anchorId="56B5B4B6" wp14:editId="13E29A10">
            <wp:extent cx="445135" cy="314960"/>
            <wp:effectExtent l="0" t="0" r="0" b="8890"/>
            <wp:docPr id="48" name="Obráze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31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TTE1965D00t00"/>
          <w:noProof/>
          <w:color w:val="000000"/>
        </w:rPr>
        <w:tab/>
        <w:t>Kód šarže</w:t>
      </w:r>
    </w:p>
    <w:p w:rsidR="00EA4BD4" w:rsidRPr="00A14CEA" w:rsidRDefault="00EA4BD4" w:rsidP="00EA4BD4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EA4BD4" w:rsidRPr="00A14CEA" w:rsidRDefault="00EA4BD4" w:rsidP="00EA4BD4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A14CEA">
        <w:rPr>
          <w:rFonts w:cs="TTE1965D00t00"/>
          <w:noProof/>
          <w:color w:val="000000"/>
          <w:lang w:eastAsia="cs-CZ"/>
        </w:rPr>
        <w:drawing>
          <wp:inline distT="0" distB="0" distL="0" distR="0" wp14:anchorId="773D1986" wp14:editId="7E090EFB">
            <wp:extent cx="522605" cy="421640"/>
            <wp:effectExtent l="0" t="0" r="0" b="0"/>
            <wp:docPr id="49" name="Obrázek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TTE1965D00t00"/>
          <w:noProof/>
          <w:color w:val="000000"/>
        </w:rPr>
        <w:tab/>
        <w:t>Sériové číslo</w:t>
      </w:r>
    </w:p>
    <w:p w:rsidR="00EA4BD4" w:rsidRPr="00A14CEA" w:rsidRDefault="00EA4BD4" w:rsidP="00EA4BD4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EA4BD4" w:rsidRPr="00A14CEA" w:rsidRDefault="00EA4BD4" w:rsidP="00EA4BD4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A14CEA">
        <w:rPr>
          <w:rFonts w:cs="TTE1965D00t00"/>
          <w:noProof/>
          <w:color w:val="000000"/>
          <w:lang w:eastAsia="cs-CZ"/>
        </w:rPr>
        <w:drawing>
          <wp:inline distT="0" distB="0" distL="0" distR="0" wp14:anchorId="3C90A334" wp14:editId="13D1CAA6">
            <wp:extent cx="487045" cy="421640"/>
            <wp:effectExtent l="0" t="0" r="8255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TTE1965D00t00"/>
          <w:noProof/>
          <w:color w:val="000000"/>
        </w:rPr>
        <w:tab/>
        <w:t>Katalogové číslo</w:t>
      </w:r>
    </w:p>
    <w:p w:rsidR="00EA4BD4" w:rsidRPr="00A14CEA" w:rsidRDefault="00EA4BD4" w:rsidP="00EA4BD4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EA4BD4" w:rsidRPr="00A14CEA" w:rsidRDefault="00EA4BD4" w:rsidP="00EA4BD4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A14CEA">
        <w:rPr>
          <w:rFonts w:cs="TTE1965D00t00"/>
          <w:noProof/>
          <w:color w:val="000000"/>
          <w:lang w:eastAsia="cs-CZ"/>
        </w:rPr>
        <w:drawing>
          <wp:inline distT="0" distB="0" distL="0" distR="0" wp14:anchorId="72580417" wp14:editId="35A1D2A1">
            <wp:extent cx="563880" cy="409575"/>
            <wp:effectExtent l="0" t="0" r="7620" b="952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TTE1965D00t00"/>
          <w:noProof/>
          <w:color w:val="000000"/>
        </w:rPr>
        <w:tab/>
        <w:t>Diagnostika in vitro</w:t>
      </w:r>
    </w:p>
    <w:p w:rsidR="00EA4BD4" w:rsidRPr="00A14CEA" w:rsidRDefault="00EA4BD4" w:rsidP="00EA4BD4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EA4BD4" w:rsidRPr="00A14CEA" w:rsidRDefault="00EA4BD4" w:rsidP="00EA4BD4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A14CEA">
        <w:rPr>
          <w:rFonts w:cs="TTE1965D00t00"/>
          <w:noProof/>
          <w:color w:val="000000"/>
          <w:lang w:eastAsia="cs-CZ"/>
        </w:rPr>
        <w:drawing>
          <wp:inline distT="0" distB="0" distL="0" distR="0" wp14:anchorId="1C1A3019" wp14:editId="33B3FF1B">
            <wp:extent cx="563880" cy="445135"/>
            <wp:effectExtent l="0" t="0" r="762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TTE1965D00t00"/>
          <w:noProof/>
          <w:color w:val="000000"/>
        </w:rPr>
        <w:tab/>
        <w:t>Autorizovaný zástupce v Evropském společenství</w:t>
      </w:r>
    </w:p>
    <w:p w:rsidR="00EA4BD4" w:rsidRPr="00A14CEA" w:rsidRDefault="00EA4BD4" w:rsidP="00EA4BD4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EA4BD4" w:rsidRPr="00A14CEA" w:rsidRDefault="00EA4BD4" w:rsidP="00EA4BD4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A14CEA">
        <w:rPr>
          <w:rFonts w:cs="TTE1965D00t00"/>
          <w:noProof/>
          <w:color w:val="000000"/>
          <w:lang w:eastAsia="cs-CZ"/>
        </w:rPr>
        <w:drawing>
          <wp:inline distT="0" distB="0" distL="0" distR="0" wp14:anchorId="1B4E885A" wp14:editId="2ED19A7F">
            <wp:extent cx="754380" cy="379730"/>
            <wp:effectExtent l="0" t="0" r="7620" b="127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TTE1965D00t00"/>
          <w:noProof/>
          <w:color w:val="000000"/>
        </w:rPr>
        <w:tab/>
        <w:t>Pozitivní kontrolní vzorek</w:t>
      </w:r>
    </w:p>
    <w:p w:rsidR="00EA4BD4" w:rsidRPr="00A14CEA" w:rsidRDefault="00EA4BD4" w:rsidP="00EA4BD4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EA4BD4" w:rsidRPr="00A14CEA" w:rsidRDefault="00EA4BD4" w:rsidP="00EA4BD4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A14CEA">
        <w:rPr>
          <w:rFonts w:cs="TTE1965D00t00"/>
          <w:noProof/>
          <w:color w:val="000000"/>
          <w:lang w:eastAsia="cs-CZ"/>
        </w:rPr>
        <w:drawing>
          <wp:inline distT="0" distB="0" distL="0" distR="0" wp14:anchorId="3A20BDA6" wp14:editId="15185609">
            <wp:extent cx="789940" cy="297180"/>
            <wp:effectExtent l="0" t="0" r="0" b="762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TTE1965D00t00"/>
          <w:noProof/>
          <w:color w:val="000000"/>
        </w:rPr>
        <w:tab/>
        <w:t>Negativní kontrolní vzorek</w:t>
      </w:r>
    </w:p>
    <w:p w:rsidR="00EA4BD4" w:rsidRPr="00A14CEA" w:rsidRDefault="00EA4BD4" w:rsidP="00EA4BD4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EA4BD4" w:rsidRPr="00A14CEA" w:rsidRDefault="00EA4BD4" w:rsidP="00EA4BD4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A14CEA">
        <w:rPr>
          <w:rFonts w:cs="TTE1965D00t00"/>
          <w:noProof/>
          <w:color w:val="000000"/>
          <w:lang w:eastAsia="cs-CZ"/>
        </w:rPr>
        <w:drawing>
          <wp:inline distT="0" distB="0" distL="0" distR="0" wp14:anchorId="61A94ABE" wp14:editId="36A5530F">
            <wp:extent cx="445135" cy="581660"/>
            <wp:effectExtent l="0" t="0" r="0" b="889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8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TTE1965D00t00"/>
          <w:noProof/>
          <w:color w:val="000000"/>
        </w:rPr>
        <w:tab/>
        <w:t>Použijte do</w:t>
      </w:r>
    </w:p>
    <w:p w:rsidR="00EA4BD4" w:rsidRPr="00A14CEA" w:rsidRDefault="00EA4BD4" w:rsidP="00EA4BD4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EA4BD4" w:rsidRPr="00A14CEA" w:rsidRDefault="00EA4BD4" w:rsidP="00EA4BD4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A14CEA">
        <w:rPr>
          <w:rFonts w:cs="TTE1965D00t00"/>
          <w:noProof/>
          <w:color w:val="000000"/>
          <w:lang w:eastAsia="cs-CZ"/>
        </w:rPr>
        <w:drawing>
          <wp:inline distT="0" distB="0" distL="0" distR="0" wp14:anchorId="7F703FD6" wp14:editId="104DE955">
            <wp:extent cx="487045" cy="487045"/>
            <wp:effectExtent l="0" t="0" r="8255" b="8255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8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TTE1965D00t00"/>
          <w:noProof/>
          <w:color w:val="000000"/>
        </w:rPr>
        <w:tab/>
        <w:t>Datum výroby</w:t>
      </w:r>
    </w:p>
    <w:p w:rsidR="00EA4BD4" w:rsidRPr="00A14CEA" w:rsidRDefault="00EA4BD4" w:rsidP="00EA4BD4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EA4BD4" w:rsidRPr="00A14CEA" w:rsidRDefault="00EA4BD4" w:rsidP="00EA4BD4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A14CEA">
        <w:rPr>
          <w:rFonts w:cs="TTE1965D00t00"/>
          <w:noProof/>
          <w:color w:val="000000"/>
          <w:lang w:eastAsia="cs-CZ"/>
        </w:rPr>
        <w:drawing>
          <wp:inline distT="0" distB="0" distL="0" distR="0" wp14:anchorId="17FD2DA2" wp14:editId="66CC6BD4">
            <wp:extent cx="487045" cy="611505"/>
            <wp:effectExtent l="0" t="0" r="8255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TTE1965D00t00"/>
          <w:noProof/>
          <w:color w:val="000000"/>
        </w:rPr>
        <w:tab/>
        <w:t>Výrobce</w:t>
      </w:r>
    </w:p>
    <w:p w:rsidR="00EA4BD4" w:rsidRPr="00A14CEA" w:rsidRDefault="00EA4BD4" w:rsidP="00EA4BD4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EA4BD4" w:rsidRPr="00A14CEA" w:rsidRDefault="00EA4BD4" w:rsidP="00EA4BD4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A14CEA">
        <w:rPr>
          <w:rFonts w:cs="TTE1965D00t00"/>
          <w:noProof/>
          <w:color w:val="000000"/>
          <w:lang w:eastAsia="cs-CZ"/>
        </w:rPr>
        <w:drawing>
          <wp:inline distT="0" distB="0" distL="0" distR="0" wp14:anchorId="4B5184E6" wp14:editId="11644014">
            <wp:extent cx="445135" cy="647065"/>
            <wp:effectExtent l="0" t="0" r="0" b="635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TTE1965D00t00"/>
          <w:noProof/>
          <w:color w:val="000000"/>
        </w:rPr>
        <w:tab/>
        <w:t>Teplotní omezení</w:t>
      </w:r>
    </w:p>
    <w:p w:rsidR="00EA4BD4" w:rsidRPr="00A14CEA" w:rsidRDefault="00EA4BD4" w:rsidP="00EA4BD4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EA4BD4" w:rsidRPr="00A14CEA" w:rsidRDefault="00EA4BD4" w:rsidP="00EA4BD4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  <w:r w:rsidRPr="00A14CEA">
        <w:rPr>
          <w:rFonts w:cs="TTE1965D00t00"/>
          <w:noProof/>
          <w:color w:val="000000"/>
          <w:lang w:eastAsia="cs-CZ"/>
        </w:rPr>
        <w:drawing>
          <wp:inline distT="0" distB="0" distL="0" distR="0" wp14:anchorId="4DFAEE8B" wp14:editId="2E9E3BF0">
            <wp:extent cx="599440" cy="647065"/>
            <wp:effectExtent l="0" t="0" r="0" b="635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TTE1965D00t00"/>
          <w:noProof/>
          <w:color w:val="000000"/>
        </w:rPr>
        <w:tab/>
        <w:t>Čtěte návod na použití</w:t>
      </w:r>
    </w:p>
    <w:p w:rsidR="00EA4BD4" w:rsidRPr="00A14CEA" w:rsidRDefault="00EA4BD4" w:rsidP="00EA4BD4">
      <w:pPr>
        <w:autoSpaceDE w:val="0"/>
        <w:autoSpaceDN w:val="0"/>
        <w:adjustRightInd w:val="0"/>
        <w:spacing w:after="0" w:line="240" w:lineRule="auto"/>
        <w:ind w:left="2268" w:hanging="2268"/>
        <w:jc w:val="both"/>
        <w:rPr>
          <w:rFonts w:cs="TTE1965D00t00"/>
          <w:noProof/>
          <w:color w:val="000000"/>
        </w:rPr>
      </w:pPr>
    </w:p>
    <w:p w:rsidR="00EA4BD4" w:rsidRPr="00A14CEA" w:rsidRDefault="00EA4BD4" w:rsidP="00EA4BD4">
      <w:pPr>
        <w:autoSpaceDE w:val="0"/>
        <w:autoSpaceDN w:val="0"/>
        <w:adjustRightInd w:val="0"/>
        <w:spacing w:after="0" w:line="240" w:lineRule="auto"/>
        <w:rPr>
          <w:rFonts w:cs="Swiss721BT-Bold"/>
          <w:b/>
          <w:bCs/>
          <w:noProof/>
          <w:color w:val="000000"/>
          <w:sz w:val="24"/>
          <w:szCs w:val="24"/>
        </w:rPr>
      </w:pPr>
      <w:r w:rsidRPr="00A14CEA">
        <w:rPr>
          <w:rFonts w:cs="Swiss721BT-Bold"/>
          <w:b/>
          <w:bCs/>
          <w:noProof/>
          <w:color w:val="000000"/>
          <w:sz w:val="24"/>
          <w:szCs w:val="24"/>
          <w:lang w:eastAsia="cs-CZ"/>
        </w:rPr>
        <w:lastRenderedPageBreak/>
        <w:drawing>
          <wp:inline distT="0" distB="0" distL="0" distR="0" wp14:anchorId="076E402E" wp14:editId="2BA0DDF5">
            <wp:extent cx="332740" cy="302895"/>
            <wp:effectExtent l="0" t="0" r="0" b="1905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40" cy="30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4CEA">
        <w:rPr>
          <w:rFonts w:cs="Swiss721BT-Bold"/>
          <w:b/>
          <w:bCs/>
          <w:noProof/>
          <w:color w:val="000000"/>
          <w:sz w:val="24"/>
          <w:szCs w:val="24"/>
        </w:rPr>
        <w:t xml:space="preserve"> </w:t>
      </w:r>
      <w:r w:rsidRPr="00A14CEA">
        <w:rPr>
          <w:rFonts w:cs="Swiss721BT-Bold"/>
          <w:bCs/>
          <w:noProof/>
          <w:color w:val="000000"/>
          <w:sz w:val="24"/>
          <w:szCs w:val="24"/>
        </w:rPr>
        <w:t xml:space="preserve"> </w:t>
      </w:r>
      <w:r w:rsidRPr="00A14CEA">
        <w:rPr>
          <w:rFonts w:cs="Swiss721BT-Bold"/>
          <w:bCs/>
          <w:noProof/>
          <w:color w:val="000000"/>
          <w:sz w:val="24"/>
          <w:szCs w:val="24"/>
        </w:rPr>
        <w:tab/>
      </w:r>
      <w:r w:rsidRPr="00A14CEA">
        <w:rPr>
          <w:rFonts w:cs="Swiss721BT-Bold"/>
          <w:bCs/>
          <w:noProof/>
          <w:color w:val="000000"/>
          <w:sz w:val="24"/>
          <w:szCs w:val="24"/>
        </w:rPr>
        <w:tab/>
      </w:r>
      <w:r w:rsidRPr="00A14CEA">
        <w:rPr>
          <w:rFonts w:cs="Swiss721BT-Bold"/>
          <w:bCs/>
          <w:noProof/>
          <w:color w:val="000000"/>
          <w:sz w:val="24"/>
          <w:szCs w:val="24"/>
        </w:rPr>
        <w:tab/>
      </w:r>
      <w:r w:rsidRPr="00A14CEA">
        <w:rPr>
          <w:rFonts w:cs="Swiss721BT-Bold"/>
          <w:bCs/>
          <w:noProof/>
          <w:color w:val="000000"/>
        </w:rPr>
        <w:t>Větší změna v návodu na použití</w:t>
      </w:r>
    </w:p>
    <w:p w:rsidR="00EA4BD4" w:rsidRDefault="00EA4BD4" w:rsidP="00F54549"/>
    <w:p w:rsidR="00F54549" w:rsidRDefault="00F54549" w:rsidP="00F54549">
      <w:pPr>
        <w:spacing w:after="0"/>
      </w:pPr>
    </w:p>
    <w:p w:rsidR="00EA4BD4" w:rsidRPr="00534C81" w:rsidRDefault="00EA4BD4" w:rsidP="00EA4BD4">
      <w:pPr>
        <w:spacing w:after="0"/>
        <w:jc w:val="right"/>
        <w:rPr>
          <w:i/>
        </w:rPr>
      </w:pPr>
      <w:r w:rsidRPr="00534C81">
        <w:rPr>
          <w:i/>
        </w:rPr>
        <w:t>Výrobce</w:t>
      </w:r>
    </w:p>
    <w:p w:rsidR="00EA4BD4" w:rsidRDefault="00EA4BD4" w:rsidP="00EA4BD4">
      <w:pPr>
        <w:spacing w:after="0"/>
        <w:jc w:val="right"/>
      </w:pPr>
      <w:r>
        <w:t xml:space="preserve">IDEXX </w:t>
      </w:r>
      <w:proofErr w:type="spellStart"/>
      <w:r>
        <w:t>Laboratories</w:t>
      </w:r>
      <w:proofErr w:type="spellEnd"/>
      <w:r>
        <w:t>, Inc.</w:t>
      </w:r>
    </w:p>
    <w:p w:rsidR="00EA4BD4" w:rsidRDefault="00EA4BD4" w:rsidP="00EA4BD4">
      <w:pPr>
        <w:spacing w:after="0"/>
        <w:jc w:val="right"/>
      </w:pPr>
      <w:proofErr w:type="spellStart"/>
      <w:r>
        <w:t>One</w:t>
      </w:r>
      <w:proofErr w:type="spellEnd"/>
      <w:r>
        <w:t xml:space="preserve"> IDEXX Drive</w:t>
      </w:r>
    </w:p>
    <w:p w:rsidR="00EA4BD4" w:rsidRDefault="00EA4BD4" w:rsidP="00EA4BD4">
      <w:pPr>
        <w:spacing w:after="0"/>
        <w:jc w:val="right"/>
      </w:pPr>
      <w:proofErr w:type="spellStart"/>
      <w:r>
        <w:t>Westbrook</w:t>
      </w:r>
      <w:proofErr w:type="spellEnd"/>
      <w:r>
        <w:t>, Maine 04092</w:t>
      </w:r>
    </w:p>
    <w:p w:rsidR="00EA4BD4" w:rsidRDefault="00EA4BD4" w:rsidP="00EA4BD4">
      <w:pPr>
        <w:spacing w:after="0"/>
        <w:jc w:val="right"/>
      </w:pPr>
      <w:r>
        <w:t>USA</w:t>
      </w:r>
    </w:p>
    <w:p w:rsidR="00EA4BD4" w:rsidRDefault="00EA4BD4" w:rsidP="00EA4BD4">
      <w:pPr>
        <w:spacing w:after="0"/>
        <w:jc w:val="right"/>
      </w:pPr>
    </w:p>
    <w:p w:rsidR="00EA4BD4" w:rsidRPr="00534C81" w:rsidRDefault="00EA4BD4" w:rsidP="00EA4BD4">
      <w:pPr>
        <w:spacing w:after="0"/>
        <w:jc w:val="right"/>
        <w:rPr>
          <w:i/>
        </w:rPr>
      </w:pPr>
      <w:r w:rsidRPr="00534C81">
        <w:rPr>
          <w:i/>
        </w:rPr>
        <w:t>Zástupce pro EU</w:t>
      </w:r>
    </w:p>
    <w:p w:rsidR="00EA4BD4" w:rsidRDefault="00EA4BD4" w:rsidP="00EA4BD4">
      <w:pPr>
        <w:spacing w:after="0"/>
        <w:jc w:val="right"/>
      </w:pPr>
      <w:r>
        <w:t xml:space="preserve">IDEXX </w:t>
      </w:r>
      <w:proofErr w:type="spellStart"/>
      <w:r>
        <w:t>Europe</w:t>
      </w:r>
      <w:proofErr w:type="spellEnd"/>
      <w:r>
        <w:t xml:space="preserve"> B.V.</w:t>
      </w:r>
    </w:p>
    <w:p w:rsidR="00EA4BD4" w:rsidRDefault="00EA4BD4" w:rsidP="00EA4BD4">
      <w:pPr>
        <w:spacing w:after="0"/>
        <w:jc w:val="right"/>
      </w:pPr>
      <w:r>
        <w:t>P.O. Box 1334</w:t>
      </w:r>
    </w:p>
    <w:p w:rsidR="00EA4BD4" w:rsidRDefault="00EA4BD4" w:rsidP="00EA4BD4">
      <w:pPr>
        <w:spacing w:after="0"/>
        <w:jc w:val="right"/>
      </w:pPr>
      <w:r>
        <w:t xml:space="preserve">2130 EK </w:t>
      </w:r>
      <w:proofErr w:type="spellStart"/>
      <w:r>
        <w:t>Hoofddorp</w:t>
      </w:r>
      <w:proofErr w:type="spellEnd"/>
    </w:p>
    <w:p w:rsidR="00EA4BD4" w:rsidRPr="00B440A5" w:rsidRDefault="00EA4BD4" w:rsidP="00EA4BD4">
      <w:pPr>
        <w:spacing w:after="0"/>
        <w:jc w:val="right"/>
      </w:pPr>
      <w:r>
        <w:t>Nizozemsko</w:t>
      </w:r>
    </w:p>
    <w:p w:rsidR="00F54549" w:rsidRDefault="00EA4BD4" w:rsidP="00EA4BD4">
      <w:pPr>
        <w:spacing w:after="0"/>
        <w:jc w:val="right"/>
      </w:pPr>
      <w:r>
        <w:t>idexx.com</w:t>
      </w:r>
    </w:p>
    <w:p w:rsidR="001344F3" w:rsidRDefault="001344F3" w:rsidP="00F54549">
      <w:pPr>
        <w:spacing w:after="0"/>
      </w:pPr>
    </w:p>
    <w:p w:rsidR="0085727A" w:rsidRPr="00807F65" w:rsidRDefault="0085727A" w:rsidP="000D7CC3"/>
    <w:p w:rsidR="00DE0027" w:rsidRPr="00807F65" w:rsidRDefault="00DE0027" w:rsidP="000D7CC3"/>
    <w:sectPr w:rsidR="00DE0027" w:rsidRPr="00807F65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530" w:rsidRDefault="00335530" w:rsidP="00C71995">
      <w:pPr>
        <w:spacing w:after="0" w:line="240" w:lineRule="auto"/>
      </w:pPr>
      <w:r>
        <w:separator/>
      </w:r>
    </w:p>
  </w:endnote>
  <w:endnote w:type="continuationSeparator" w:id="0">
    <w:p w:rsidR="00335530" w:rsidRDefault="00335530" w:rsidP="00C71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s 72 1 B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E1965D0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wiss721BT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2E4" w:rsidRDefault="007C62E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2E4" w:rsidRDefault="007C62E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2E4" w:rsidRDefault="007C62E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530" w:rsidRDefault="00335530" w:rsidP="00C71995">
      <w:pPr>
        <w:spacing w:after="0" w:line="240" w:lineRule="auto"/>
      </w:pPr>
      <w:r>
        <w:separator/>
      </w:r>
    </w:p>
  </w:footnote>
  <w:footnote w:type="continuationSeparator" w:id="0">
    <w:p w:rsidR="00335530" w:rsidRDefault="00335530" w:rsidP="00C71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2E4" w:rsidRDefault="007C62E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995" w:rsidRDefault="00C71995" w:rsidP="00DE0D3A">
    <w:pPr>
      <w:jc w:val="both"/>
      <w:rPr>
        <w:b/>
        <w:bCs/>
      </w:rPr>
    </w:pPr>
    <w:r w:rsidRPr="00AD42B7">
      <w:rPr>
        <w:bCs/>
      </w:rPr>
      <w:t xml:space="preserve">Text příbalové informace součást dokumentace schválené rozhodnutím </w:t>
    </w:r>
    <w:proofErr w:type="spellStart"/>
    <w:proofErr w:type="gramStart"/>
    <w:r w:rsidRPr="00AD42B7">
      <w:rPr>
        <w:bCs/>
      </w:rPr>
      <w:t>sp.zn</w:t>
    </w:r>
    <w:proofErr w:type="spellEnd"/>
    <w:r w:rsidRPr="00AD42B7">
      <w:rPr>
        <w:bCs/>
      </w:rPr>
      <w:t>.</w:t>
    </w:r>
    <w:proofErr w:type="gramEnd"/>
    <w:r w:rsidRPr="00AD42B7">
      <w:rPr>
        <w:bCs/>
      </w:rPr>
      <w:t xml:space="preserve"> </w:t>
    </w:r>
    <w:sdt>
      <w:sdtPr>
        <w:rPr>
          <w:bCs/>
        </w:rPr>
        <w:id w:val="-1399593560"/>
        <w:placeholder>
          <w:docPart w:val="C0F610745CE04867B66A6D285BD202A1"/>
        </w:placeholder>
        <w:text/>
      </w:sdtPr>
      <w:sdtEndPr/>
      <w:sdtContent>
        <w:r>
          <w:rPr>
            <w:bCs/>
          </w:rPr>
          <w:t>USKVBL/9340/2022/POD</w:t>
        </w:r>
      </w:sdtContent>
    </w:sdt>
    <w:r>
      <w:rPr>
        <w:bCs/>
      </w:rPr>
      <w:t xml:space="preserve">, </w:t>
    </w:r>
    <w:r w:rsidRPr="00AD42B7">
      <w:rPr>
        <w:bCs/>
      </w:rPr>
      <w:t xml:space="preserve">č.j. </w:t>
    </w:r>
    <w:sdt>
      <w:sdtPr>
        <w:rPr>
          <w:rFonts w:eastAsia="Times New Roman"/>
          <w:lang w:eastAsia="cs-CZ"/>
        </w:rPr>
        <w:id w:val="-968128157"/>
        <w:placeholder>
          <w:docPart w:val="C0F610745CE04867B66A6D285BD202A1"/>
        </w:placeholder>
        <w:text/>
      </w:sdtPr>
      <w:sdtContent>
        <w:r w:rsidR="007C62E4" w:rsidRPr="007C62E4">
          <w:rPr>
            <w:rFonts w:eastAsia="Times New Roman"/>
            <w:lang w:eastAsia="cs-CZ"/>
          </w:rPr>
          <w:t>USKVBL/13238/2022/REG-</w:t>
        </w:r>
        <w:proofErr w:type="spellStart"/>
        <w:r w:rsidR="007C62E4" w:rsidRPr="007C62E4">
          <w:rPr>
            <w:rFonts w:eastAsia="Times New Roman"/>
            <w:lang w:eastAsia="cs-CZ"/>
          </w:rPr>
          <w:t>Gro</w:t>
        </w:r>
        <w:proofErr w:type="spellEnd"/>
      </w:sdtContent>
    </w:sdt>
    <w:r w:rsidRPr="00AD42B7">
      <w:rPr>
        <w:bCs/>
      </w:rPr>
      <w:t xml:space="preserve"> ze dne </w:t>
    </w:r>
    <w:sdt>
      <w:sdtPr>
        <w:rPr>
          <w:bCs/>
        </w:rPr>
        <w:id w:val="-34740600"/>
        <w:placeholder>
          <w:docPart w:val="C57F9DC5693B4185BEA0DE41E224E800"/>
        </w:placeholder>
        <w:date w:fullDate="2022-10-2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C62E4">
          <w:rPr>
            <w:bCs/>
          </w:rPr>
          <w:t>20.10.2022</w:t>
        </w:r>
      </w:sdtContent>
    </w:sdt>
    <w:r w:rsidRPr="00AD42B7">
      <w:rPr>
        <w:bCs/>
      </w:rPr>
      <w:t xml:space="preserve"> o </w:t>
    </w:r>
    <w:sdt>
      <w:sdtPr>
        <w:id w:val="1347596108"/>
        <w:placeholder>
          <w:docPart w:val="9AE102C370704600967AEFAF6511B527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 w:cs="Calibri"/>
        </w:rPr>
      </w:sdtEndPr>
      <w:sdtContent>
        <w:r>
          <w:t>prodloužení platnosti rozhodnutí o schválení veterinárního přípravku</w:t>
        </w:r>
      </w:sdtContent>
    </w:sdt>
    <w:r w:rsidRPr="00AD42B7">
      <w:rPr>
        <w:bCs/>
      </w:rPr>
      <w:t xml:space="preserve"> </w:t>
    </w:r>
    <w:sdt>
      <w:sdtPr>
        <w:rPr>
          <w:rFonts w:cstheme="minorHAnsi"/>
        </w:rPr>
        <w:id w:val="1654029424"/>
        <w:placeholder>
          <w:docPart w:val="0027E04C2CC64A10B66C757FF11106B3"/>
        </w:placeholder>
        <w:text/>
      </w:sdtPr>
      <w:sdtEndPr/>
      <w:sdtContent>
        <w:r w:rsidRPr="00C71995">
          <w:rPr>
            <w:rFonts w:cstheme="minorHAnsi"/>
          </w:rPr>
          <w:t xml:space="preserve">IDEXX M. </w:t>
        </w:r>
        <w:proofErr w:type="spellStart"/>
        <w:r w:rsidRPr="00C71995">
          <w:rPr>
            <w:rFonts w:cstheme="minorHAnsi"/>
          </w:rPr>
          <w:t>Bovis</w:t>
        </w:r>
        <w:proofErr w:type="spellEnd"/>
      </w:sdtContent>
    </w:sdt>
  </w:p>
  <w:p w:rsidR="00C71995" w:rsidRDefault="00C71995">
    <w:pPr>
      <w:pStyle w:val="Zhlav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2E4" w:rsidRDefault="007C62E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55FF5"/>
    <w:multiLevelType w:val="hybridMultilevel"/>
    <w:tmpl w:val="9350D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1C54D9"/>
    <w:multiLevelType w:val="hybridMultilevel"/>
    <w:tmpl w:val="1522F7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B490A"/>
    <w:multiLevelType w:val="hybridMultilevel"/>
    <w:tmpl w:val="8B18B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3A0"/>
    <w:rsid w:val="000753A8"/>
    <w:rsid w:val="000D7CC3"/>
    <w:rsid w:val="00103D67"/>
    <w:rsid w:val="001132FD"/>
    <w:rsid w:val="001344F3"/>
    <w:rsid w:val="00180A4D"/>
    <w:rsid w:val="00185C32"/>
    <w:rsid w:val="001A4753"/>
    <w:rsid w:val="001F3375"/>
    <w:rsid w:val="001F42E3"/>
    <w:rsid w:val="00207C29"/>
    <w:rsid w:val="0021030E"/>
    <w:rsid w:val="00245226"/>
    <w:rsid w:val="00300B17"/>
    <w:rsid w:val="00315045"/>
    <w:rsid w:val="0032459E"/>
    <w:rsid w:val="00335530"/>
    <w:rsid w:val="003622EF"/>
    <w:rsid w:val="00422B69"/>
    <w:rsid w:val="00507873"/>
    <w:rsid w:val="005604BB"/>
    <w:rsid w:val="005F052E"/>
    <w:rsid w:val="005F0A6D"/>
    <w:rsid w:val="00690E90"/>
    <w:rsid w:val="00697B36"/>
    <w:rsid w:val="006B2515"/>
    <w:rsid w:val="007532E7"/>
    <w:rsid w:val="00754D9B"/>
    <w:rsid w:val="007C62E4"/>
    <w:rsid w:val="00801004"/>
    <w:rsid w:val="00807F65"/>
    <w:rsid w:val="00847CCD"/>
    <w:rsid w:val="008571FA"/>
    <w:rsid w:val="0085727A"/>
    <w:rsid w:val="008C7294"/>
    <w:rsid w:val="00917093"/>
    <w:rsid w:val="00933B2E"/>
    <w:rsid w:val="00A011BE"/>
    <w:rsid w:val="00A25749"/>
    <w:rsid w:val="00A276E5"/>
    <w:rsid w:val="00A35A95"/>
    <w:rsid w:val="00A608E5"/>
    <w:rsid w:val="00A66889"/>
    <w:rsid w:val="00AC3393"/>
    <w:rsid w:val="00B2273B"/>
    <w:rsid w:val="00B41873"/>
    <w:rsid w:val="00BE5FFD"/>
    <w:rsid w:val="00BF37C5"/>
    <w:rsid w:val="00C542E3"/>
    <w:rsid w:val="00C71995"/>
    <w:rsid w:val="00C71D32"/>
    <w:rsid w:val="00C76FF1"/>
    <w:rsid w:val="00C82EE9"/>
    <w:rsid w:val="00CC23A0"/>
    <w:rsid w:val="00CD39E1"/>
    <w:rsid w:val="00CE38D5"/>
    <w:rsid w:val="00D37EE4"/>
    <w:rsid w:val="00D5739B"/>
    <w:rsid w:val="00DE0027"/>
    <w:rsid w:val="00E57DE3"/>
    <w:rsid w:val="00E71156"/>
    <w:rsid w:val="00EA4BD4"/>
    <w:rsid w:val="00EB2246"/>
    <w:rsid w:val="00EC1744"/>
    <w:rsid w:val="00F27E4B"/>
    <w:rsid w:val="00F3286F"/>
    <w:rsid w:val="00F54549"/>
    <w:rsid w:val="00F865DF"/>
    <w:rsid w:val="00FC5389"/>
    <w:rsid w:val="00FE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85237D-6F49-4C94-8159-C1F9564A6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C2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rsid w:val="003622EF"/>
    <w:rPr>
      <w:color w:val="808080"/>
    </w:rPr>
  </w:style>
  <w:style w:type="paragraph" w:styleId="Odstavecseseznamem">
    <w:name w:val="List Paragraph"/>
    <w:basedOn w:val="Normln"/>
    <w:uiPriority w:val="34"/>
    <w:qFormat/>
    <w:rsid w:val="00D5739B"/>
    <w:pPr>
      <w:spacing w:after="200" w:line="27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54549"/>
    <w:rPr>
      <w:color w:val="0563C1" w:themeColor="hyperlink"/>
      <w:u w:val="single"/>
    </w:rPr>
  </w:style>
  <w:style w:type="paragraph" w:customStyle="1" w:styleId="Pa40">
    <w:name w:val="Pa40"/>
    <w:basedOn w:val="Normln"/>
    <w:next w:val="Normln"/>
    <w:uiPriority w:val="99"/>
    <w:rsid w:val="001344F3"/>
    <w:pPr>
      <w:autoSpaceDE w:val="0"/>
      <w:autoSpaceDN w:val="0"/>
      <w:adjustRightInd w:val="0"/>
      <w:spacing w:after="0" w:line="171" w:lineRule="atLeast"/>
    </w:pPr>
    <w:rPr>
      <w:rFonts w:ascii="Swiss 72 1 BT" w:hAnsi="Swiss 72 1 BT"/>
      <w:sz w:val="24"/>
      <w:szCs w:val="24"/>
    </w:rPr>
  </w:style>
  <w:style w:type="character" w:customStyle="1" w:styleId="A1">
    <w:name w:val="A1"/>
    <w:uiPriority w:val="99"/>
    <w:rsid w:val="001344F3"/>
    <w:rPr>
      <w:rFonts w:cs="Swiss 72 1 BT"/>
      <w:color w:val="000000"/>
      <w:sz w:val="14"/>
      <w:szCs w:val="1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0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0B1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71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71995"/>
  </w:style>
  <w:style w:type="paragraph" w:styleId="Zpat">
    <w:name w:val="footer"/>
    <w:basedOn w:val="Normln"/>
    <w:link w:val="ZpatChar"/>
    <w:uiPriority w:val="99"/>
    <w:unhideWhenUsed/>
    <w:rsid w:val="00C719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71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exx.com/production/contactlpd" TargetMode="Externa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13.emf"/><Relationship Id="rId7" Type="http://schemas.openxmlformats.org/officeDocument/2006/relationships/hyperlink" Target="http://www.oie.int" TargetMode="Externa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header" Target="header1.xm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6.emf"/><Relationship Id="rId32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11.emf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0F610745CE04867B66A6D285BD202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A5969A-AE26-41B7-AD6E-75BB03210448}"/>
      </w:docPartPr>
      <w:docPartBody>
        <w:p w:rsidR="00253913" w:rsidRDefault="004F7FC1" w:rsidP="004F7FC1">
          <w:pPr>
            <w:pStyle w:val="C0F610745CE04867B66A6D285BD202A1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C57F9DC5693B4185BEA0DE41E224E8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EAF02D-4001-412C-B0A2-DBA43891CFFB}"/>
      </w:docPartPr>
      <w:docPartBody>
        <w:p w:rsidR="00253913" w:rsidRDefault="004F7FC1" w:rsidP="004F7FC1">
          <w:pPr>
            <w:pStyle w:val="C57F9DC5693B4185BEA0DE41E224E800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9AE102C370704600967AEFAF6511B5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9645CF-9D05-4AEA-A23B-D2CE08C8935C}"/>
      </w:docPartPr>
      <w:docPartBody>
        <w:p w:rsidR="00253913" w:rsidRDefault="004F7FC1" w:rsidP="004F7FC1">
          <w:pPr>
            <w:pStyle w:val="9AE102C370704600967AEFAF6511B527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0027E04C2CC64A10B66C757FF11106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A404B8-FD18-4ECF-8173-063F1C549896}"/>
      </w:docPartPr>
      <w:docPartBody>
        <w:p w:rsidR="00253913" w:rsidRDefault="004F7FC1" w:rsidP="004F7FC1">
          <w:pPr>
            <w:pStyle w:val="0027E04C2CC64A10B66C757FF11106B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wiss 72 1 B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TE1965D0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wiss721BT-Bol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FC1"/>
    <w:rsid w:val="000341D3"/>
    <w:rsid w:val="00253913"/>
    <w:rsid w:val="003D7BE0"/>
    <w:rsid w:val="004F7FC1"/>
    <w:rsid w:val="0066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4F7FC1"/>
    <w:rPr>
      <w:color w:val="808080"/>
    </w:rPr>
  </w:style>
  <w:style w:type="paragraph" w:customStyle="1" w:styleId="C0F610745CE04867B66A6D285BD202A1">
    <w:name w:val="C0F610745CE04867B66A6D285BD202A1"/>
    <w:rsid w:val="004F7FC1"/>
  </w:style>
  <w:style w:type="paragraph" w:customStyle="1" w:styleId="C57F9DC5693B4185BEA0DE41E224E800">
    <w:name w:val="C57F9DC5693B4185BEA0DE41E224E800"/>
    <w:rsid w:val="004F7FC1"/>
  </w:style>
  <w:style w:type="paragraph" w:customStyle="1" w:styleId="9AE102C370704600967AEFAF6511B527">
    <w:name w:val="9AE102C370704600967AEFAF6511B527"/>
    <w:rsid w:val="004F7FC1"/>
  </w:style>
  <w:style w:type="paragraph" w:customStyle="1" w:styleId="0027E04C2CC64A10B66C757FF11106B3">
    <w:name w:val="0027E04C2CC64A10B66C757FF11106B3"/>
    <w:rsid w:val="004F7F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2247</Words>
  <Characters>13262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Nekvapilová Alena</dc:creator>
  <cp:lastModifiedBy>Grodová Lenka</cp:lastModifiedBy>
  <cp:revision>6</cp:revision>
  <cp:lastPrinted>2017-08-21T15:44:00Z</cp:lastPrinted>
  <dcterms:created xsi:type="dcterms:W3CDTF">2022-10-07T10:33:00Z</dcterms:created>
  <dcterms:modified xsi:type="dcterms:W3CDTF">2022-10-20T13:14:00Z</dcterms:modified>
</cp:coreProperties>
</file>