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4D" w:rsidRPr="00BB69BF" w:rsidRDefault="00666A71">
      <w:pPr>
        <w:rPr>
          <w:b/>
        </w:rPr>
      </w:pPr>
      <w:r w:rsidRPr="00BB69BF">
        <w:rPr>
          <w:b/>
        </w:rPr>
        <w:t xml:space="preserve">Testovací </w:t>
      </w:r>
      <w:r w:rsidR="00E30576" w:rsidRPr="00BB69BF">
        <w:rPr>
          <w:b/>
        </w:rPr>
        <w:t>souprava k prokázání</w:t>
      </w:r>
      <w:r w:rsidRPr="00BB69BF">
        <w:rPr>
          <w:b/>
        </w:rPr>
        <w:t xml:space="preserve"> protilátek proti viru </w:t>
      </w:r>
      <w:proofErr w:type="spellStart"/>
      <w:r w:rsidRPr="00BB69BF">
        <w:rPr>
          <w:b/>
        </w:rPr>
        <w:t>parainfluenzy</w:t>
      </w:r>
      <w:proofErr w:type="spellEnd"/>
      <w:r w:rsidRPr="00BB69BF">
        <w:rPr>
          <w:b/>
        </w:rPr>
        <w:t xml:space="preserve"> 3 (PI3)</w:t>
      </w:r>
    </w:p>
    <w:p w:rsidR="00666A71" w:rsidRPr="00BB69BF" w:rsidRDefault="00666A71">
      <w:r w:rsidRPr="00BB69BF">
        <w:t>Pouze k veterinárnímu užití</w:t>
      </w:r>
    </w:p>
    <w:p w:rsidR="00666A71" w:rsidRPr="00BB69BF" w:rsidRDefault="00754E37">
      <w:pPr>
        <w:rPr>
          <w:b/>
        </w:rPr>
      </w:pPr>
      <w:r w:rsidRPr="00BB69BF">
        <w:rPr>
          <w:b/>
        </w:rPr>
        <w:t>Název a zamýšlené užití</w:t>
      </w:r>
    </w:p>
    <w:p w:rsidR="00754E37" w:rsidRPr="00BB69BF" w:rsidRDefault="007A32BB">
      <w:r w:rsidRPr="00BB69BF">
        <w:t>IDEXX PI-3 je enzymatick</w:t>
      </w:r>
      <w:r w:rsidR="00754E37" w:rsidRPr="00BB69BF">
        <w:t xml:space="preserve">ý </w:t>
      </w:r>
      <w:proofErr w:type="spellStart"/>
      <w:r w:rsidR="00754E37" w:rsidRPr="00BB69BF">
        <w:t>imunotest</w:t>
      </w:r>
      <w:proofErr w:type="spellEnd"/>
      <w:r w:rsidR="00754E37" w:rsidRPr="00BB69BF">
        <w:t xml:space="preserve"> od firmy IDEXX, sloužící k detekci protilátek proti viru </w:t>
      </w:r>
      <w:proofErr w:type="spellStart"/>
      <w:r w:rsidR="00754E37" w:rsidRPr="00BB69BF">
        <w:t>parainfluenzy</w:t>
      </w:r>
      <w:proofErr w:type="spellEnd"/>
      <w:r w:rsidR="00754E37" w:rsidRPr="00BB69BF">
        <w:t xml:space="preserve"> 3 (PI3) v individuálních vzorcích bovinního séra a plazmy. </w:t>
      </w:r>
    </w:p>
    <w:p w:rsidR="00754E37" w:rsidRPr="00BB69BF" w:rsidRDefault="00754E37">
      <w:pPr>
        <w:rPr>
          <w:b/>
        </w:rPr>
      </w:pPr>
      <w:r w:rsidRPr="00BB69BF">
        <w:rPr>
          <w:b/>
        </w:rPr>
        <w:t>Obecné informace</w:t>
      </w:r>
    </w:p>
    <w:p w:rsidR="00754E37" w:rsidRPr="00BB69BF" w:rsidRDefault="00754E37">
      <w:r w:rsidRPr="00BB69BF">
        <w:t xml:space="preserve">Virus </w:t>
      </w:r>
      <w:proofErr w:type="spellStart"/>
      <w:r w:rsidRPr="00BB69BF">
        <w:t>parainfluenzy</w:t>
      </w:r>
      <w:proofErr w:type="spellEnd"/>
      <w:r w:rsidRPr="00BB69BF">
        <w:t xml:space="preserve"> 3 (PI3) je </w:t>
      </w:r>
      <w:proofErr w:type="spellStart"/>
      <w:r w:rsidR="00B66331" w:rsidRPr="00BB69BF">
        <w:t>paramyxovirus</w:t>
      </w:r>
      <w:proofErr w:type="spellEnd"/>
      <w:r w:rsidR="00B66331" w:rsidRPr="00BB69BF">
        <w:t>, zodpovídající za respirační onemocnění mladého skotu. Nejčastěji se s</w:t>
      </w:r>
      <w:r w:rsidR="00E30576" w:rsidRPr="00BB69BF">
        <w:t>družuje</w:t>
      </w:r>
      <w:r w:rsidR="00B66331" w:rsidRPr="00BB69BF">
        <w:t xml:space="preserve"> s</w:t>
      </w:r>
      <w:r w:rsidR="00E30576" w:rsidRPr="00BB69BF">
        <w:t xml:space="preserve"> dalšími</w:t>
      </w:r>
      <w:r w:rsidR="00B66331" w:rsidRPr="00BB69BF">
        <w:t xml:space="preserve"> bakteriemi, jako je například </w:t>
      </w:r>
      <w:proofErr w:type="spellStart"/>
      <w:r w:rsidR="00B66331" w:rsidRPr="00BB69BF">
        <w:rPr>
          <w:i/>
        </w:rPr>
        <w:t>Pasteurella</w:t>
      </w:r>
      <w:proofErr w:type="spellEnd"/>
      <w:r w:rsidR="00B66331" w:rsidRPr="00BB69BF">
        <w:rPr>
          <w:i/>
        </w:rPr>
        <w:t xml:space="preserve"> </w:t>
      </w:r>
      <w:proofErr w:type="spellStart"/>
      <w:r w:rsidR="00B66331" w:rsidRPr="00BB69BF">
        <w:rPr>
          <w:i/>
        </w:rPr>
        <w:t>multocida</w:t>
      </w:r>
      <w:proofErr w:type="spellEnd"/>
      <w:r w:rsidR="00B66331" w:rsidRPr="00BB69BF">
        <w:rPr>
          <w:i/>
        </w:rPr>
        <w:t xml:space="preserve">, </w:t>
      </w:r>
      <w:proofErr w:type="spellStart"/>
      <w:r w:rsidR="00B66331" w:rsidRPr="00BB69BF">
        <w:rPr>
          <w:i/>
        </w:rPr>
        <w:t>Mycoplasma</w:t>
      </w:r>
      <w:proofErr w:type="spellEnd"/>
      <w:r w:rsidR="00B66331" w:rsidRPr="00BB69BF">
        <w:rPr>
          <w:i/>
        </w:rPr>
        <w:t xml:space="preserve"> </w:t>
      </w:r>
      <w:proofErr w:type="spellStart"/>
      <w:r w:rsidR="00B66331" w:rsidRPr="00BB69BF">
        <w:rPr>
          <w:i/>
        </w:rPr>
        <w:t>bovis</w:t>
      </w:r>
      <w:proofErr w:type="spellEnd"/>
      <w:r w:rsidR="00B66331" w:rsidRPr="00BB69BF">
        <w:t xml:space="preserve"> atd. nebo s jinými viry (BVDV, BHV-1…).</w:t>
      </w:r>
      <w:r w:rsidR="0017578D" w:rsidRPr="00BB69BF">
        <w:t xml:space="preserve"> Klinické příznaky jsou nespecifické: infekce dolních cest dýchacích, hypertermie, kašel, posmrkávání, dyspnoe a poruchy trávení. Pro identifikaci původce a potvrzení detekce </w:t>
      </w:r>
      <w:proofErr w:type="spellStart"/>
      <w:r w:rsidR="0017578D" w:rsidRPr="00BB69BF">
        <w:t>sérokonverze</w:t>
      </w:r>
      <w:proofErr w:type="spellEnd"/>
      <w:r w:rsidR="0017578D" w:rsidRPr="00BB69BF">
        <w:t xml:space="preserve"> jsou tedy nezbytné laboratorní testy.</w:t>
      </w:r>
    </w:p>
    <w:p w:rsidR="0017578D" w:rsidRPr="00BB69BF" w:rsidRDefault="0017578D">
      <w:pPr>
        <w:rPr>
          <w:b/>
        </w:rPr>
      </w:pPr>
      <w:r w:rsidRPr="00BB69BF">
        <w:rPr>
          <w:b/>
        </w:rPr>
        <w:t>Popis a principy</w:t>
      </w:r>
    </w:p>
    <w:p w:rsidR="0017578D" w:rsidRPr="00BB69BF" w:rsidRDefault="00EA43F7">
      <w:r w:rsidRPr="00BB69BF">
        <w:t xml:space="preserve">Jamky </w:t>
      </w:r>
      <w:proofErr w:type="spellStart"/>
      <w:r w:rsidRPr="00BB69BF">
        <w:t>mikrotitrační</w:t>
      </w:r>
      <w:proofErr w:type="spellEnd"/>
      <w:r w:rsidRPr="00BB69BF">
        <w:t xml:space="preserve"> destičky jsou střídavě pokryty kontrolním antigenem (-</w:t>
      </w:r>
      <w:proofErr w:type="spellStart"/>
      <w:r w:rsidRPr="00BB69BF">
        <w:t>Ag</w:t>
      </w:r>
      <w:proofErr w:type="spellEnd"/>
      <w:r w:rsidRPr="00BB69BF">
        <w:t>) a antigenem PI3 (+</w:t>
      </w:r>
      <w:proofErr w:type="spellStart"/>
      <w:r w:rsidRPr="00BB69BF">
        <w:t>Ag</w:t>
      </w:r>
      <w:proofErr w:type="spellEnd"/>
      <w:r w:rsidRPr="00BB69BF">
        <w:t>). Vzorky určené k testování se zředí a inkubují v jamkách. Během inkubace testovaného vzorku se specifické protilátky proti PI3 navážou na antigen v +</w:t>
      </w:r>
      <w:proofErr w:type="spellStart"/>
      <w:r w:rsidRPr="00BB69BF">
        <w:t>Ag</w:t>
      </w:r>
      <w:proofErr w:type="spellEnd"/>
      <w:r w:rsidRPr="00BB69BF">
        <w:t xml:space="preserve"> jamkách a vytvoří na povrchu jamek </w:t>
      </w:r>
      <w:proofErr w:type="spellStart"/>
      <w:r w:rsidRPr="00BB69BF">
        <w:t>imunokomplexy</w:t>
      </w:r>
      <w:proofErr w:type="spellEnd"/>
      <w:r w:rsidRPr="00BB69BF">
        <w:t xml:space="preserve"> antigen-protilátka. </w:t>
      </w:r>
      <w:r w:rsidR="00E30576" w:rsidRPr="00BB69BF">
        <w:t>Nespecifické navázání se vyskytne ve stejném rozsahu v jamkách potažených -</w:t>
      </w:r>
      <w:proofErr w:type="spellStart"/>
      <w:r w:rsidR="00E30576" w:rsidRPr="00BB69BF">
        <w:t>Ag</w:t>
      </w:r>
      <w:proofErr w:type="spellEnd"/>
      <w:r w:rsidR="00E30576" w:rsidRPr="00BB69BF">
        <w:t xml:space="preserve"> a +</w:t>
      </w:r>
      <w:proofErr w:type="spellStart"/>
      <w:r w:rsidR="00E30576" w:rsidRPr="00BB69BF">
        <w:t>Ag</w:t>
      </w:r>
      <w:proofErr w:type="spellEnd"/>
      <w:r w:rsidR="00E30576" w:rsidRPr="00BB69BF">
        <w:t xml:space="preserve">. </w:t>
      </w:r>
      <w:r w:rsidRPr="00BB69BF">
        <w:t xml:space="preserve">Po vymytí nenavázaného materiálu </w:t>
      </w:r>
      <w:r w:rsidR="00811881" w:rsidRPr="00BB69BF">
        <w:t xml:space="preserve">se přidá </w:t>
      </w:r>
      <w:r w:rsidR="0042508A" w:rsidRPr="00BB69BF">
        <w:t xml:space="preserve">enzymový konjugát protilátek proti </w:t>
      </w:r>
      <w:proofErr w:type="spellStart"/>
      <w:r w:rsidR="0042508A" w:rsidRPr="00BB69BF">
        <w:t>ruminantnímu</w:t>
      </w:r>
      <w:proofErr w:type="spellEnd"/>
      <w:r w:rsidR="0042508A" w:rsidRPr="00BB69BF">
        <w:t xml:space="preserve"> </w:t>
      </w:r>
      <w:proofErr w:type="spellStart"/>
      <w:r w:rsidR="0042508A" w:rsidRPr="00BB69BF">
        <w:t>IgG</w:t>
      </w:r>
      <w:proofErr w:type="spellEnd"/>
      <w:r w:rsidR="0042508A" w:rsidRPr="00BB69BF">
        <w:t xml:space="preserve">, který se naváže na jakýkoli </w:t>
      </w:r>
      <w:proofErr w:type="spellStart"/>
      <w:r w:rsidR="0042508A" w:rsidRPr="00BB69BF">
        <w:t>imunokomplex</w:t>
      </w:r>
      <w:proofErr w:type="spellEnd"/>
      <w:r w:rsidR="0042508A" w:rsidRPr="00BB69BF">
        <w:t xml:space="preserve"> antigen-protilátka. </w:t>
      </w:r>
      <w:r w:rsidR="004874AC" w:rsidRPr="00BB69BF">
        <w:t xml:space="preserve">Nenavázaný konjugát se vymyje a přidá se enzymový substrát (TMB). V přítomnosti enzymu je substrát oxidován a vzniká modrá sloučenina, která po blokování zežloutne. Následný rozvoj zbarvení přímo souvisí s množstvím protilátky proti PI3 přítomné v testovaném vzorku. </w:t>
      </w:r>
      <w:r w:rsidR="00A30BFD" w:rsidRPr="00BB69BF">
        <w:t xml:space="preserve">Hodnota celkové extinkce (Net </w:t>
      </w:r>
      <w:proofErr w:type="spellStart"/>
      <w:r w:rsidR="00A30BFD" w:rsidRPr="00BB69BF">
        <w:t>Extinction</w:t>
      </w:r>
      <w:proofErr w:type="spellEnd"/>
      <w:r w:rsidR="00A30BFD" w:rsidRPr="00BB69BF">
        <w:t>, NE) reprezentuje množství navázaných specifických protilátek. NE se získává odečtením hodnoty optické hustoty vzniklé v jamkách obsahujících -</w:t>
      </w:r>
      <w:proofErr w:type="spellStart"/>
      <w:r w:rsidR="00A30BFD" w:rsidRPr="00BB69BF">
        <w:t>Ag</w:t>
      </w:r>
      <w:proofErr w:type="spellEnd"/>
      <w:r w:rsidR="00A30BFD" w:rsidRPr="00BB69BF">
        <w:t xml:space="preserve"> od optické hustoty vzniklé v jamkách obsahujících +</w:t>
      </w:r>
      <w:proofErr w:type="spellStart"/>
      <w:r w:rsidR="00A30BFD" w:rsidRPr="00BB69BF">
        <w:t>Ag</w:t>
      </w:r>
      <w:proofErr w:type="spellEnd"/>
      <w:r w:rsidR="00A30BFD" w:rsidRPr="00BB69BF">
        <w:t>, do nichž byly přidány stejné vzorky (kontroly a vzorky). Výsledek se získává porovnáním NE vzorku s</w:t>
      </w:r>
      <w:r w:rsidR="001E5E26" w:rsidRPr="00BB69BF">
        <w:t xml:space="preserve"> průměrnou hodnotou </w:t>
      </w:r>
      <w:r w:rsidR="00A30BFD" w:rsidRPr="00BB69BF">
        <w:t xml:space="preserve">NE pozitivní kontroly. </w:t>
      </w:r>
    </w:p>
    <w:p w:rsidR="00B47157" w:rsidRPr="00BB69BF" w:rsidRDefault="001E5E26" w:rsidP="00B47157">
      <w:pPr>
        <w:tabs>
          <w:tab w:val="left" w:pos="7110"/>
        </w:tabs>
      </w:pPr>
      <w:r w:rsidRPr="00BB69BF">
        <w:rPr>
          <w:b/>
        </w:rPr>
        <w:t>Činidla</w:t>
      </w:r>
      <w:r w:rsidR="00B47157" w:rsidRPr="00BB69BF">
        <w:tab/>
      </w:r>
      <w:r w:rsidR="00B47157" w:rsidRPr="00BB69BF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1</w:t>
            </w:r>
          </w:p>
        </w:tc>
        <w:tc>
          <w:tcPr>
            <w:tcW w:w="6095" w:type="dxa"/>
          </w:tcPr>
          <w:p w:rsidR="00B47157" w:rsidRPr="00BB69BF" w:rsidRDefault="00B47157" w:rsidP="00B47157">
            <w:r w:rsidRPr="00BB69BF">
              <w:t>Destička potažená antigenem PI3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2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2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Pozitivní kontrolní vzorek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0,5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3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Negativní kontrolní vzorek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0,5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4a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Koncentrovaný konjugát</w:t>
            </w:r>
            <w:r w:rsidR="001E5E26" w:rsidRPr="00BB69BF">
              <w:t xml:space="preserve"> (100x)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0,3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4b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Ředicí pufr č. 1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120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5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Ředicí pufr č. 2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120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A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TMB substrát č.13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60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B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Zastavovací roztok č. 3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60 ml</w:t>
            </w:r>
          </w:p>
        </w:tc>
      </w:tr>
      <w:tr w:rsidR="00B47157" w:rsidRPr="00BB69BF" w:rsidTr="002C4C62">
        <w:tc>
          <w:tcPr>
            <w:tcW w:w="704" w:type="dxa"/>
          </w:tcPr>
          <w:p w:rsidR="00B47157" w:rsidRPr="00BB69BF" w:rsidRDefault="00B47157" w:rsidP="002C4C62">
            <w:r w:rsidRPr="00BB69BF">
              <w:t>C</w:t>
            </w:r>
          </w:p>
        </w:tc>
        <w:tc>
          <w:tcPr>
            <w:tcW w:w="6095" w:type="dxa"/>
          </w:tcPr>
          <w:p w:rsidR="00B47157" w:rsidRPr="00BB69BF" w:rsidRDefault="00B47157" w:rsidP="002C4C62">
            <w:r w:rsidRPr="00BB69BF">
              <w:t>Mycí koncentrát (20X)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 x 100 ml</w:t>
            </w:r>
          </w:p>
        </w:tc>
      </w:tr>
      <w:tr w:rsidR="00B47157" w:rsidRPr="00BB69BF" w:rsidTr="00805D6D">
        <w:trPr>
          <w:trHeight w:val="286"/>
        </w:trPr>
        <w:tc>
          <w:tcPr>
            <w:tcW w:w="6799" w:type="dxa"/>
            <w:gridSpan w:val="2"/>
          </w:tcPr>
          <w:p w:rsidR="00B47157" w:rsidRPr="00BB69BF" w:rsidRDefault="00B47157" w:rsidP="002C4C62">
            <w:r w:rsidRPr="00BB69BF">
              <w:t>Další součásti: sáček se zipovým uzávěrem</w:t>
            </w:r>
          </w:p>
        </w:tc>
        <w:tc>
          <w:tcPr>
            <w:tcW w:w="2263" w:type="dxa"/>
          </w:tcPr>
          <w:p w:rsidR="00B47157" w:rsidRPr="00BB69BF" w:rsidRDefault="00B47157" w:rsidP="002C4C62">
            <w:r w:rsidRPr="00BB69BF">
              <w:t>1</w:t>
            </w:r>
          </w:p>
        </w:tc>
      </w:tr>
    </w:tbl>
    <w:p w:rsidR="001E5E26" w:rsidRPr="00BB69BF" w:rsidRDefault="001E5E26" w:rsidP="001E5E26">
      <w:pPr>
        <w:spacing w:after="0"/>
      </w:pPr>
      <w:r w:rsidRPr="00BB69BF">
        <w:t>Poznámka: Popis symbolů použitých v této příbalové informaci a popisků této testovací sady najdete v tabulce na konci informace.</w:t>
      </w:r>
    </w:p>
    <w:p w:rsidR="00B47157" w:rsidRPr="00BB69BF" w:rsidRDefault="00B47157" w:rsidP="00B47157">
      <w:pPr>
        <w:spacing w:after="0"/>
      </w:pPr>
    </w:p>
    <w:p w:rsidR="001E5E26" w:rsidRPr="00BB69BF" w:rsidRDefault="001E5E26" w:rsidP="001E5E26">
      <w:pPr>
        <w:spacing w:after="0"/>
        <w:rPr>
          <w:b/>
        </w:rPr>
      </w:pPr>
      <w:r w:rsidRPr="00BB69BF">
        <w:rPr>
          <w:b/>
        </w:rPr>
        <w:t>Uchovávání</w:t>
      </w:r>
    </w:p>
    <w:p w:rsidR="001E5E26" w:rsidRPr="00BB69BF" w:rsidRDefault="001E5E26" w:rsidP="001E5E26">
      <w:pPr>
        <w:spacing w:after="0"/>
      </w:pPr>
    </w:p>
    <w:p w:rsidR="001E5E26" w:rsidRPr="00BB69BF" w:rsidRDefault="001E5E26" w:rsidP="00B47157">
      <w:pPr>
        <w:spacing w:after="0"/>
      </w:pPr>
      <w:r w:rsidRPr="00BB69BF">
        <w:lastRenderedPageBreak/>
        <w:t>Činidla uchovávejte při teplotě 2–8 °C. Činidla jsou za předpokladu řádného skladování stabilní do data exspirace.</w:t>
      </w:r>
    </w:p>
    <w:p w:rsidR="00B47157" w:rsidRPr="00BB69BF" w:rsidRDefault="00B47157" w:rsidP="00B47157">
      <w:pPr>
        <w:spacing w:after="0"/>
      </w:pPr>
      <w:r w:rsidRPr="00BB69BF">
        <w:rPr>
          <w:b/>
        </w:rPr>
        <w:t>Potřebné materiály, které nejsou součástí s</w:t>
      </w:r>
      <w:r w:rsidR="009B0207" w:rsidRPr="00BB69BF">
        <w:rPr>
          <w:b/>
        </w:rPr>
        <w:t>ad</w:t>
      </w:r>
      <w:r w:rsidRPr="00BB69BF">
        <w:rPr>
          <w:b/>
        </w:rPr>
        <w:t>y</w:t>
      </w:r>
    </w:p>
    <w:p w:rsidR="00B47157" w:rsidRPr="00BB69BF" w:rsidRDefault="00B47157" w:rsidP="00B47157">
      <w:pPr>
        <w:spacing w:after="0"/>
      </w:pP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>Přesné pipety nebo multikanálové pipety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 xml:space="preserve">Jednorázové </w:t>
      </w:r>
      <w:proofErr w:type="spellStart"/>
      <w:r w:rsidRPr="00BB69BF">
        <w:t>pipetovací</w:t>
      </w:r>
      <w:proofErr w:type="spellEnd"/>
      <w:r w:rsidRPr="00BB69BF">
        <w:t xml:space="preserve"> špičky</w:t>
      </w:r>
    </w:p>
    <w:p w:rsidR="009B0207" w:rsidRPr="00BB69BF" w:rsidRDefault="009B0207" w:rsidP="009B0207">
      <w:pPr>
        <w:pStyle w:val="Odstavecseseznamem"/>
        <w:numPr>
          <w:ilvl w:val="0"/>
          <w:numId w:val="1"/>
        </w:numPr>
        <w:spacing w:after="0"/>
      </w:pPr>
      <w:r w:rsidRPr="00BB69BF">
        <w:t>Odměrný válec se stupnicí na mycí roztok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 xml:space="preserve">Čtečka </w:t>
      </w:r>
      <w:proofErr w:type="spellStart"/>
      <w:r w:rsidRPr="00BB69BF">
        <w:t>mikrodestiček</w:t>
      </w:r>
      <w:proofErr w:type="spellEnd"/>
      <w:r w:rsidRPr="00BB69BF">
        <w:t xml:space="preserve"> s 96 jamkami (vybavená filtrem s vlnovou délkou 450 </w:t>
      </w:r>
      <w:proofErr w:type="spellStart"/>
      <w:r w:rsidRPr="00BB69BF">
        <w:t>nm</w:t>
      </w:r>
      <w:proofErr w:type="spellEnd"/>
      <w:r w:rsidRPr="00BB69BF">
        <w:t>)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 xml:space="preserve">Mycí zařízení na </w:t>
      </w:r>
      <w:proofErr w:type="spellStart"/>
      <w:r w:rsidRPr="00BB69BF">
        <w:t>mikrodestičku</w:t>
      </w:r>
      <w:proofErr w:type="spellEnd"/>
      <w:r w:rsidRPr="00BB69BF">
        <w:t xml:space="preserve"> (manuální, poloautomatický nebo automatický systém)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 xml:space="preserve">Pro přípravu </w:t>
      </w:r>
      <w:r w:rsidR="001E5E26" w:rsidRPr="00BB69BF">
        <w:t>činidel</w:t>
      </w:r>
      <w:r w:rsidRPr="00BB69BF">
        <w:t xml:space="preserve"> používaných při testu používejte pouze destilovanou nebo </w:t>
      </w:r>
      <w:proofErr w:type="spellStart"/>
      <w:r w:rsidRPr="00BB69BF">
        <w:t>deionizovanou</w:t>
      </w:r>
      <w:proofErr w:type="spellEnd"/>
      <w:r w:rsidRPr="00BB69BF">
        <w:t xml:space="preserve"> vodu</w:t>
      </w:r>
    </w:p>
    <w:p w:rsidR="009B0207" w:rsidRPr="00BB69BF" w:rsidRDefault="009B0207" w:rsidP="009B0207">
      <w:pPr>
        <w:pStyle w:val="Odstavecseseznamem"/>
        <w:numPr>
          <w:ilvl w:val="0"/>
          <w:numId w:val="1"/>
        </w:numPr>
        <w:spacing w:after="0"/>
      </w:pPr>
      <w:proofErr w:type="spellStart"/>
      <w:r w:rsidRPr="00BB69BF">
        <w:t>Vortex</w:t>
      </w:r>
      <w:proofErr w:type="spellEnd"/>
      <w:r w:rsidRPr="00BB69BF">
        <w:t xml:space="preserve"> nebo ekvivalentní třepačka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>Materiál na zakrytí destiček (víčka, aluminiová nebo přilnavá fólie)</w:t>
      </w:r>
    </w:p>
    <w:p w:rsidR="00B47157" w:rsidRPr="00BB69BF" w:rsidRDefault="00B47157" w:rsidP="00B47157">
      <w:pPr>
        <w:pStyle w:val="Odstavecseseznamem"/>
        <w:numPr>
          <w:ilvl w:val="0"/>
          <w:numId w:val="1"/>
        </w:numPr>
        <w:spacing w:after="0"/>
      </w:pPr>
      <w:r w:rsidRPr="00BB69BF">
        <w:t xml:space="preserve">Třepačka na </w:t>
      </w:r>
      <w:proofErr w:type="spellStart"/>
      <w:r w:rsidRPr="00BB69BF">
        <w:t>mikrodestičky</w:t>
      </w:r>
      <w:proofErr w:type="spellEnd"/>
    </w:p>
    <w:p w:rsidR="00B47157" w:rsidRPr="00BB69BF" w:rsidRDefault="00B47157" w:rsidP="00B47157"/>
    <w:p w:rsidR="00B47157" w:rsidRPr="00BB69BF" w:rsidRDefault="00B47157" w:rsidP="00B47157">
      <w:pPr>
        <w:spacing w:after="0"/>
        <w:rPr>
          <w:b/>
        </w:rPr>
      </w:pPr>
      <w:r w:rsidRPr="00BB69BF">
        <w:rPr>
          <w:b/>
        </w:rPr>
        <w:t>Bezpečnostní opatření a upozornění pro uživatele</w:t>
      </w:r>
    </w:p>
    <w:p w:rsidR="00B47157" w:rsidRPr="00BB69BF" w:rsidRDefault="00B47157" w:rsidP="00B47157">
      <w:pPr>
        <w:spacing w:after="0"/>
      </w:pPr>
    </w:p>
    <w:p w:rsidR="00B47157" w:rsidRPr="00BB69BF" w:rsidRDefault="00B47157" w:rsidP="00B47157">
      <w:pPr>
        <w:pStyle w:val="Odstavecseseznamem"/>
        <w:numPr>
          <w:ilvl w:val="0"/>
          <w:numId w:val="2"/>
        </w:numPr>
        <w:spacing w:after="0"/>
      </w:pPr>
      <w:r w:rsidRPr="00BB69BF">
        <w:t xml:space="preserve">Se všemi biologickými materiály zacházejte jako s potenciálně infekčními. </w:t>
      </w:r>
    </w:p>
    <w:p w:rsidR="00B47157" w:rsidRPr="00BB69BF" w:rsidRDefault="00B47157" w:rsidP="00B47157">
      <w:pPr>
        <w:pStyle w:val="Odstavecseseznamem"/>
        <w:numPr>
          <w:ilvl w:val="0"/>
          <w:numId w:val="2"/>
        </w:numPr>
        <w:spacing w:after="0"/>
      </w:pPr>
      <w:r w:rsidRPr="00BB69BF">
        <w:t xml:space="preserve">Při manipulaci se vzorky a </w:t>
      </w:r>
      <w:r w:rsidR="001E5E26" w:rsidRPr="00BB69BF">
        <w:t>činidly</w:t>
      </w:r>
      <w:r w:rsidRPr="00BB69BF">
        <w:t xml:space="preserve"> používejte ochranné rukavice / ochranný oděv / ochranné brýle nebo obličejový štít.</w:t>
      </w:r>
    </w:p>
    <w:p w:rsidR="00B47157" w:rsidRPr="00BB69BF" w:rsidRDefault="00973897" w:rsidP="00B47157">
      <w:pPr>
        <w:pStyle w:val="Odstavecseseznamem"/>
        <w:numPr>
          <w:ilvl w:val="0"/>
          <w:numId w:val="2"/>
        </w:numPr>
        <w:spacing w:after="0"/>
      </w:pPr>
      <w:r w:rsidRPr="00BB69BF">
        <w:t>Další informace najdete v</w:t>
      </w:r>
      <w:r w:rsidR="00B47157" w:rsidRPr="00BB69BF">
        <w:t xml:space="preserve"> bezpečnostních listech</w:t>
      </w:r>
      <w:r w:rsidRPr="00BB69BF">
        <w:t xml:space="preserve"> materiálu</w:t>
      </w:r>
      <w:r w:rsidR="00B47157" w:rsidRPr="00BB69BF">
        <w:t>.</w:t>
      </w:r>
    </w:p>
    <w:p w:rsidR="001E5E26" w:rsidRPr="00BB69BF" w:rsidRDefault="001E5E26" w:rsidP="001E5E26">
      <w:pPr>
        <w:pStyle w:val="Odstavecseseznamem"/>
        <w:numPr>
          <w:ilvl w:val="0"/>
          <w:numId w:val="2"/>
        </w:numPr>
        <w:spacing w:after="0"/>
      </w:pPr>
      <w:r w:rsidRPr="00BB69BF">
        <w:t>Upozornění a bezpečnostní opatření pro použití činidel naleznete na konci této příbalové informace.</w:t>
      </w:r>
    </w:p>
    <w:p w:rsidR="00B47157" w:rsidRPr="00BB69BF" w:rsidRDefault="00B47157" w:rsidP="00B47157"/>
    <w:p w:rsidR="00B47157" w:rsidRPr="00BB69BF" w:rsidRDefault="00B47157" w:rsidP="00B47157">
      <w:pPr>
        <w:spacing w:after="0"/>
        <w:rPr>
          <w:b/>
        </w:rPr>
      </w:pPr>
      <w:r w:rsidRPr="00BB69BF">
        <w:rPr>
          <w:b/>
        </w:rPr>
        <w:t>Laboratorní praxe</w:t>
      </w:r>
    </w:p>
    <w:p w:rsidR="00B47157" w:rsidRPr="00BB69BF" w:rsidRDefault="00B47157" w:rsidP="00B47157">
      <w:pPr>
        <w:spacing w:after="0"/>
      </w:pPr>
    </w:p>
    <w:p w:rsidR="00B47157" w:rsidRPr="00BB69BF" w:rsidRDefault="00B47157" w:rsidP="00B47157">
      <w:pPr>
        <w:pStyle w:val="Odstavecseseznamem"/>
        <w:numPr>
          <w:ilvl w:val="0"/>
          <w:numId w:val="3"/>
        </w:numPr>
        <w:spacing w:after="0"/>
      </w:pPr>
      <w:r w:rsidRPr="00BB69BF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BB69BF">
        <w:t>pipetovací</w:t>
      </w:r>
      <w:proofErr w:type="spellEnd"/>
      <w:r w:rsidRPr="00BB69BF">
        <w:t xml:space="preserve"> špičku.</w:t>
      </w:r>
    </w:p>
    <w:p w:rsidR="00B47157" w:rsidRPr="00BB69BF" w:rsidRDefault="00B47157" w:rsidP="00B47157">
      <w:pPr>
        <w:pStyle w:val="Odstavecseseznamem"/>
        <w:numPr>
          <w:ilvl w:val="0"/>
          <w:numId w:val="3"/>
        </w:numPr>
        <w:spacing w:after="0"/>
      </w:pPr>
      <w:r w:rsidRPr="00BB69BF">
        <w:t xml:space="preserve">TMB roztok nevystavujte silnému světlu nebo jakýmkoli oxidačním činidlům. Pro manipulaci s TMB roztokem používejte čisté skleněné nebo plastové nádoby. </w:t>
      </w:r>
    </w:p>
    <w:p w:rsidR="00B47157" w:rsidRPr="00BB69BF" w:rsidRDefault="00B47157" w:rsidP="00B47157">
      <w:pPr>
        <w:pStyle w:val="Odstavecseseznamem"/>
        <w:numPr>
          <w:ilvl w:val="0"/>
          <w:numId w:val="3"/>
        </w:numPr>
        <w:spacing w:after="0"/>
      </w:pPr>
      <w:r w:rsidRPr="00BB69BF">
        <w:t>Všechny odpady je třeba před likvidací řádně dekontaminovat. Obsah likvidujte v souladu s místními, regionálními a státními předpisy.</w:t>
      </w:r>
    </w:p>
    <w:p w:rsidR="00B47157" w:rsidRPr="00BB69BF" w:rsidRDefault="00B47157" w:rsidP="00B47157">
      <w:pPr>
        <w:pStyle w:val="Odstavecseseznamem"/>
        <w:numPr>
          <w:ilvl w:val="0"/>
          <w:numId w:val="3"/>
        </w:numPr>
        <w:spacing w:after="0"/>
      </w:pPr>
      <w:r w:rsidRPr="00BB69BF">
        <w:t>Snažte se zabránit kontaminaci složek soupravy. Nenalévejte nepoužit</w:t>
      </w:r>
      <w:r w:rsidR="001E5E26" w:rsidRPr="00BB69BF">
        <w:t>á činidla</w:t>
      </w:r>
      <w:r w:rsidRPr="00BB69BF">
        <w:t xml:space="preserve"> zpět do nádob.</w:t>
      </w:r>
    </w:p>
    <w:p w:rsidR="00B47157" w:rsidRPr="00BB69BF" w:rsidRDefault="00B47157" w:rsidP="00B47157">
      <w:pPr>
        <w:pStyle w:val="Odstavecseseznamem"/>
        <w:numPr>
          <w:ilvl w:val="0"/>
          <w:numId w:val="3"/>
        </w:numPr>
        <w:spacing w:after="0"/>
      </w:pPr>
      <w:r w:rsidRPr="00BB69BF">
        <w:t>Nepoužívejte soupravu po datu exspirace</w:t>
      </w:r>
      <w:r w:rsidR="001E5E26" w:rsidRPr="00BB69BF">
        <w:t>.</w:t>
      </w:r>
    </w:p>
    <w:p w:rsidR="00B47157" w:rsidRPr="00BB69BF" w:rsidRDefault="00B47157" w:rsidP="00B47157">
      <w:pPr>
        <w:rPr>
          <w:b/>
        </w:rPr>
      </w:pPr>
    </w:p>
    <w:p w:rsidR="00B47157" w:rsidRPr="00BB69BF" w:rsidRDefault="00B47157" w:rsidP="00B47157">
      <w:pPr>
        <w:rPr>
          <w:b/>
        </w:rPr>
      </w:pPr>
      <w:r w:rsidRPr="00BB69BF">
        <w:rPr>
          <w:b/>
        </w:rPr>
        <w:t xml:space="preserve">Příprava </w:t>
      </w:r>
      <w:r w:rsidR="001E5E26" w:rsidRPr="00BB69BF">
        <w:rPr>
          <w:b/>
        </w:rPr>
        <w:t>činidel</w:t>
      </w:r>
    </w:p>
    <w:p w:rsidR="00303999" w:rsidRDefault="00303999" w:rsidP="00B47157">
      <w:pPr>
        <w:rPr>
          <w:b/>
        </w:rPr>
      </w:pPr>
    </w:p>
    <w:p w:rsidR="00303999" w:rsidRDefault="00303999" w:rsidP="00B47157">
      <w:pPr>
        <w:rPr>
          <w:b/>
        </w:rPr>
      </w:pPr>
    </w:p>
    <w:p w:rsidR="00B47157" w:rsidRPr="00BB69BF" w:rsidRDefault="00B47157" w:rsidP="00B47157">
      <w:pPr>
        <w:rPr>
          <w:b/>
        </w:rPr>
      </w:pPr>
      <w:r w:rsidRPr="00BB69BF">
        <w:rPr>
          <w:b/>
        </w:rPr>
        <w:lastRenderedPageBreak/>
        <w:t>Mycí roztok</w:t>
      </w:r>
    </w:p>
    <w:p w:rsidR="00B47157" w:rsidRPr="00BB69BF" w:rsidRDefault="00B47157" w:rsidP="00B47157">
      <w:r w:rsidRPr="00BB69BF">
        <w:t xml:space="preserve">Mycí koncentrát (20X) musí být před použitím zředěn destilovanou nebo </w:t>
      </w:r>
      <w:proofErr w:type="spellStart"/>
      <w:r w:rsidRPr="00BB69BF">
        <w:t>deionizovanou</w:t>
      </w:r>
      <w:proofErr w:type="spellEnd"/>
      <w:r w:rsidRPr="00BB69BF">
        <w:t xml:space="preserve"> vodou v poměru 1:20 (např. 15 ml mycího koncentrátu (20X) a 285 ml destilované vody). Tento roztok je dále nazýván „mycí roztok“. </w:t>
      </w:r>
    </w:p>
    <w:p w:rsidR="00B47157" w:rsidRPr="00BB69BF" w:rsidRDefault="00B47157" w:rsidP="00E715B9">
      <w:r w:rsidRPr="00BB69BF">
        <w:rPr>
          <w:b/>
        </w:rPr>
        <w:t>Poznámka:</w:t>
      </w:r>
      <w:r w:rsidRPr="00BB69BF">
        <w:t xml:space="preserve"> Mycí koncentrát (20 x) zahřejte na 18–26°C a důkladně promíchejte, aby se rozpustily sražené soli. Pokud se uchovává při teplotě 2–8°C, zůstává roztok stabilní až po dobu 3 dní.</w:t>
      </w:r>
    </w:p>
    <w:p w:rsidR="001E5E26" w:rsidRPr="00BB69BF" w:rsidRDefault="001E5E26" w:rsidP="00E715B9">
      <w:pPr>
        <w:rPr>
          <w:b/>
        </w:rPr>
      </w:pPr>
      <w:r w:rsidRPr="00BB69BF">
        <w:rPr>
          <w:b/>
        </w:rPr>
        <w:t>Konjugát</w:t>
      </w:r>
    </w:p>
    <w:p w:rsidR="001E5E26" w:rsidRPr="00BB69BF" w:rsidRDefault="001E5E26" w:rsidP="001E5E26">
      <w:pPr>
        <w:spacing w:before="240" w:line="240" w:lineRule="auto"/>
        <w:contextualSpacing/>
      </w:pPr>
      <w:r w:rsidRPr="00BB69BF">
        <w:t>Konjugovaný koncentrát musí být zředěn 1:100 v ředícím pufru č.1.</w:t>
      </w:r>
    </w:p>
    <w:p w:rsidR="001E5E26" w:rsidRPr="00BB69BF" w:rsidRDefault="001E5E26" w:rsidP="001E5E26">
      <w:pPr>
        <w:spacing w:before="240" w:line="240" w:lineRule="auto"/>
        <w:contextualSpacing/>
      </w:pPr>
      <w:r w:rsidRPr="00BB69BF">
        <w:rPr>
          <w:b/>
        </w:rPr>
        <w:t xml:space="preserve">Poznámka: </w:t>
      </w:r>
      <w:r w:rsidRPr="00BB69BF">
        <w:t>Naředěný roztok konjugátu je stabilní až 8 hodin při 18-26°C.</w:t>
      </w:r>
    </w:p>
    <w:p w:rsidR="00B47157" w:rsidRPr="00BB69BF" w:rsidRDefault="00B47157" w:rsidP="00B47157">
      <w:pPr>
        <w:spacing w:after="0"/>
      </w:pPr>
    </w:p>
    <w:p w:rsidR="009B0207" w:rsidRPr="00BB69BF" w:rsidRDefault="009B0207" w:rsidP="009B0207">
      <w:pPr>
        <w:rPr>
          <w:b/>
          <w:sz w:val="24"/>
        </w:rPr>
      </w:pPr>
      <w:r w:rsidRPr="00BB69BF">
        <w:rPr>
          <w:b/>
          <w:sz w:val="24"/>
        </w:rPr>
        <w:t>Postup testu</w:t>
      </w:r>
    </w:p>
    <w:p w:rsidR="009B0207" w:rsidRPr="00BB69BF" w:rsidRDefault="009B0207" w:rsidP="009B0207">
      <w:r w:rsidRPr="00BB69BF">
        <w:t xml:space="preserve">Všechny </w:t>
      </w:r>
      <w:r w:rsidR="001E5E26" w:rsidRPr="00BB69BF">
        <w:t>činidla</w:t>
      </w:r>
      <w:r w:rsidRPr="00BB69BF">
        <w:t xml:space="preserve"> použité v tomto testu musí mít teplotu 18–26°C. </w:t>
      </w:r>
      <w:r w:rsidR="00C00359" w:rsidRPr="00BB69BF">
        <w:t>Činidla</w:t>
      </w:r>
      <w:r w:rsidRPr="00BB69BF">
        <w:t xml:space="preserve"> se míchají jemným obracením nebo kroužením. </w:t>
      </w:r>
    </w:p>
    <w:p w:rsidR="009B0207" w:rsidRPr="00BB69BF" w:rsidRDefault="009B0207" w:rsidP="009B0207">
      <w:r w:rsidRPr="00BB69BF">
        <w:t xml:space="preserve">1. Připravte si potažené destičky a zaznamenejte umístění vzorku. Používáte-li pouze část destičky, oddělte </w:t>
      </w:r>
      <w:r w:rsidR="00E715B9" w:rsidRPr="00BB69BF">
        <w:t xml:space="preserve">pouze </w:t>
      </w:r>
      <w:r w:rsidRPr="00BB69BF">
        <w:t>množství jamek odpovídající počtu testovaných vzorků. Zbylé jamky uložte spolu s desikantem do přiloženého sáčku se zipovým uzávěrem a vraťte do chladna (2–8°C).</w:t>
      </w:r>
    </w:p>
    <w:p w:rsidR="009B0207" w:rsidRPr="00BB69BF" w:rsidRDefault="009B0207" w:rsidP="009B0207">
      <w:r w:rsidRPr="00BB69BF">
        <w:t>2. Do každé jamky dejte</w:t>
      </w:r>
      <w:r w:rsidR="00E715B9" w:rsidRPr="00BB69BF">
        <w:t xml:space="preserve"> 19</w:t>
      </w:r>
      <w:r w:rsidRPr="00BB69BF">
        <w:t xml:space="preserve">0 </w:t>
      </w:r>
      <w:proofErr w:type="spellStart"/>
      <w:r w:rsidRPr="00BB69BF">
        <w:t>μl</w:t>
      </w:r>
      <w:proofErr w:type="spellEnd"/>
      <w:r w:rsidRPr="00BB69BF">
        <w:t xml:space="preserve"> </w:t>
      </w:r>
      <w:r w:rsidR="00E715B9" w:rsidRPr="00BB69BF">
        <w:t>ředicího pufru č. 2.</w:t>
      </w:r>
    </w:p>
    <w:p w:rsidR="009B0207" w:rsidRPr="00BB69BF" w:rsidRDefault="009B0207" w:rsidP="009B0207">
      <w:r w:rsidRPr="00BB69BF">
        <w:t xml:space="preserve">3. Do </w:t>
      </w:r>
      <w:r w:rsidR="00E715B9" w:rsidRPr="00BB69BF">
        <w:t>dvou -</w:t>
      </w:r>
      <w:proofErr w:type="spellStart"/>
      <w:r w:rsidR="00E715B9" w:rsidRPr="00BB69BF">
        <w:t>Ag</w:t>
      </w:r>
      <w:proofErr w:type="spellEnd"/>
      <w:r w:rsidR="00E715B9" w:rsidRPr="00BB69BF">
        <w:t xml:space="preserve"> jamek (sloupec s lichými čísly) a dvou +</w:t>
      </w:r>
      <w:proofErr w:type="spellStart"/>
      <w:r w:rsidR="00E715B9" w:rsidRPr="00BB69BF">
        <w:t>Ag</w:t>
      </w:r>
      <w:proofErr w:type="spellEnd"/>
      <w:r w:rsidR="00E715B9" w:rsidRPr="00BB69BF">
        <w:t xml:space="preserve"> jamek (sloupec se sudými čísly)</w:t>
      </w:r>
      <w:r w:rsidRPr="00BB69BF">
        <w:t xml:space="preserve"> d</w:t>
      </w:r>
      <w:r w:rsidR="00E715B9" w:rsidRPr="00BB69BF">
        <w:t>ejte 1</w:t>
      </w:r>
      <w:r w:rsidRPr="00BB69BF">
        <w:t xml:space="preserve">0 </w:t>
      </w:r>
      <w:proofErr w:type="spellStart"/>
      <w:r w:rsidRPr="00BB69BF">
        <w:t>μl</w:t>
      </w:r>
      <w:proofErr w:type="spellEnd"/>
      <w:r w:rsidRPr="00BB69BF">
        <w:t xml:space="preserve"> </w:t>
      </w:r>
      <w:r w:rsidR="00E715B9" w:rsidRPr="00BB69BF">
        <w:t xml:space="preserve">NEŘEDĚNÉHO </w:t>
      </w:r>
      <w:r w:rsidRPr="00BB69BF">
        <w:t>negativního kontrolního vzorku (NK).</w:t>
      </w:r>
    </w:p>
    <w:p w:rsidR="009B0207" w:rsidRPr="00BB69BF" w:rsidRDefault="009B0207" w:rsidP="009B0207">
      <w:r w:rsidRPr="00BB69BF">
        <w:t xml:space="preserve">4. </w:t>
      </w:r>
      <w:r w:rsidR="00E715B9" w:rsidRPr="00BB69BF">
        <w:t>Do dvou -</w:t>
      </w:r>
      <w:proofErr w:type="spellStart"/>
      <w:r w:rsidR="00E715B9" w:rsidRPr="00BB69BF">
        <w:t>Ag</w:t>
      </w:r>
      <w:proofErr w:type="spellEnd"/>
      <w:r w:rsidR="00E715B9" w:rsidRPr="00BB69BF">
        <w:t xml:space="preserve"> jamek (sloupec s lichými čísly) a dvou +</w:t>
      </w:r>
      <w:proofErr w:type="spellStart"/>
      <w:r w:rsidR="00E715B9" w:rsidRPr="00BB69BF">
        <w:t>Ag</w:t>
      </w:r>
      <w:proofErr w:type="spellEnd"/>
      <w:r w:rsidR="00E715B9" w:rsidRPr="00BB69BF">
        <w:t xml:space="preserve"> jamek (sloupec se sudými čísly) dejte 10 </w:t>
      </w:r>
      <w:proofErr w:type="spellStart"/>
      <w:r w:rsidR="00E715B9" w:rsidRPr="00BB69BF">
        <w:t>μl</w:t>
      </w:r>
      <w:proofErr w:type="spellEnd"/>
      <w:r w:rsidR="00E715B9" w:rsidRPr="00BB69BF">
        <w:t xml:space="preserve"> NEŘEDĚNÉHO pozitivního kontrolního vzorku (PK).</w:t>
      </w:r>
    </w:p>
    <w:p w:rsidR="009B0207" w:rsidRPr="00BB69BF" w:rsidRDefault="009B0207" w:rsidP="009B0207">
      <w:r w:rsidRPr="00BB69BF">
        <w:t xml:space="preserve">5. Do zbývajících jamek dejte </w:t>
      </w:r>
      <w:r w:rsidR="00A95D06" w:rsidRPr="00BB69BF">
        <w:t>1</w:t>
      </w:r>
      <w:r w:rsidRPr="00BB69BF">
        <w:t xml:space="preserve">0 </w:t>
      </w:r>
      <w:proofErr w:type="spellStart"/>
      <w:r w:rsidRPr="00BB69BF">
        <w:t>μl</w:t>
      </w:r>
      <w:proofErr w:type="spellEnd"/>
      <w:r w:rsidRPr="00BB69BF">
        <w:t xml:space="preserve"> </w:t>
      </w:r>
      <w:r w:rsidR="00A95D06" w:rsidRPr="00BB69BF">
        <w:t xml:space="preserve">NEŘEDĚNÉHO </w:t>
      </w:r>
      <w:r w:rsidRPr="00BB69BF">
        <w:t>testovaného vzorku</w:t>
      </w:r>
      <w:r w:rsidR="00A95D06" w:rsidRPr="00BB69BF">
        <w:t>: do jedné -</w:t>
      </w:r>
      <w:proofErr w:type="spellStart"/>
      <w:r w:rsidR="00A95D06" w:rsidRPr="00BB69BF">
        <w:t>Ag</w:t>
      </w:r>
      <w:proofErr w:type="spellEnd"/>
      <w:r w:rsidR="00A95D06" w:rsidRPr="00BB69BF">
        <w:t xml:space="preserve"> jamky (sloupec s lichými čísly) a jedné +</w:t>
      </w:r>
      <w:proofErr w:type="spellStart"/>
      <w:r w:rsidR="00A95D06" w:rsidRPr="00BB69BF">
        <w:t>Ag</w:t>
      </w:r>
      <w:proofErr w:type="spellEnd"/>
      <w:r w:rsidR="00A95D06" w:rsidRPr="00BB69BF">
        <w:t xml:space="preserve"> jamky (sloupec se sudými čísly). </w:t>
      </w:r>
    </w:p>
    <w:p w:rsidR="009B0207" w:rsidRPr="00BB69BF" w:rsidRDefault="009B0207" w:rsidP="009B0207">
      <w:r w:rsidRPr="00BB69BF">
        <w:t xml:space="preserve">6. Promíchejte obsah </w:t>
      </w:r>
      <w:proofErr w:type="spellStart"/>
      <w:r w:rsidRPr="00BB69BF">
        <w:t>mikrojamek</w:t>
      </w:r>
      <w:proofErr w:type="spellEnd"/>
      <w:r w:rsidRPr="00BB69BF">
        <w:t xml:space="preserve"> jemným poklepáním na destičku, nebo použijte třepačku. </w:t>
      </w:r>
    </w:p>
    <w:p w:rsidR="009B0207" w:rsidRPr="00BB69BF" w:rsidRDefault="00A95D06" w:rsidP="009B0207">
      <w:r w:rsidRPr="00BB69BF">
        <w:t>7. Zakryjte destičku a i</w:t>
      </w:r>
      <w:r w:rsidR="009B0207" w:rsidRPr="00BB69BF">
        <w:t xml:space="preserve">nkubujte po </w:t>
      </w:r>
      <w:r w:rsidRPr="00BB69BF">
        <w:t>dobu 1</w:t>
      </w:r>
      <w:r w:rsidR="009B0207" w:rsidRPr="00BB69BF">
        <w:t xml:space="preserve"> hodiny (±5 min.) při</w:t>
      </w:r>
      <w:r w:rsidRPr="00BB69BF">
        <w:t xml:space="preserve"> 18-26</w:t>
      </w:r>
      <w:r w:rsidR="009B0207" w:rsidRPr="00BB69BF">
        <w:t>°C (±3°C)</w:t>
      </w:r>
      <w:r w:rsidRPr="00BB69BF">
        <w:t>.</w:t>
      </w:r>
    </w:p>
    <w:p w:rsidR="009B0207" w:rsidRPr="00BB69BF" w:rsidRDefault="009B0207" w:rsidP="009B0207">
      <w:r w:rsidRPr="00BB69BF">
        <w:t>8. O</w:t>
      </w:r>
      <w:r w:rsidR="00A95D06" w:rsidRPr="00BB69BF">
        <w:t>dstraňte roztok a každou jamku 3</w:t>
      </w:r>
      <w:r w:rsidRPr="00BB69BF">
        <w:t xml:space="preserve">x propláchněte asi 300 </w:t>
      </w:r>
      <w:proofErr w:type="spellStart"/>
      <w:r w:rsidRPr="00BB69BF">
        <w:t>μl</w:t>
      </w:r>
      <w:proofErr w:type="spellEnd"/>
      <w:r w:rsidRPr="00BB69BF">
        <w:t xml:space="preserve"> mycího roztoku. Mezi vymýváním a před přidáním další</w:t>
      </w:r>
      <w:r w:rsidR="00C00359" w:rsidRPr="00BB69BF">
        <w:t>ho činidla</w:t>
      </w:r>
      <w:r w:rsidRPr="00BB69BF">
        <w:t xml:space="preserve"> nenechte destičku vyschnout. Pro odstranění zbylého mycího roztoku</w:t>
      </w:r>
      <w:r w:rsidR="00C00359" w:rsidRPr="00BB69BF">
        <w:t>,</w:t>
      </w:r>
      <w:r w:rsidRPr="00BB69BF">
        <w:t xml:space="preserve"> po posledním vymytí destičkou</w:t>
      </w:r>
      <w:r w:rsidR="00C00359" w:rsidRPr="00BB69BF">
        <w:t>,</w:t>
      </w:r>
      <w:r w:rsidRPr="00BB69BF">
        <w:t xml:space="preserve"> poklepejte na savý materiál. </w:t>
      </w:r>
    </w:p>
    <w:p w:rsidR="009B0207" w:rsidRPr="00BB69BF" w:rsidRDefault="009B0207" w:rsidP="009B0207">
      <w:r w:rsidRPr="00BB69BF">
        <w:t xml:space="preserve">9. Do každé jamky dejte 100 </w:t>
      </w:r>
      <w:proofErr w:type="spellStart"/>
      <w:r w:rsidRPr="00BB69BF">
        <w:t>μl</w:t>
      </w:r>
      <w:proofErr w:type="spellEnd"/>
      <w:r w:rsidR="00A95D06" w:rsidRPr="00BB69BF">
        <w:t xml:space="preserve"> ZŘEDĚNÉHO</w:t>
      </w:r>
      <w:r w:rsidRPr="00BB69BF">
        <w:t xml:space="preserve"> konjugátu.</w:t>
      </w:r>
    </w:p>
    <w:p w:rsidR="009B0207" w:rsidRPr="00BB69BF" w:rsidRDefault="00A95D06" w:rsidP="009B0207">
      <w:r w:rsidRPr="00BB69BF">
        <w:t>10. Zakryjte destičku a i</w:t>
      </w:r>
      <w:r w:rsidR="009B0207" w:rsidRPr="00BB69BF">
        <w:t xml:space="preserve">nkubujte po dobu 30 minut </w:t>
      </w:r>
      <w:r w:rsidRPr="00BB69BF">
        <w:t>(±3</w:t>
      </w:r>
      <w:r w:rsidR="009B0207" w:rsidRPr="00BB69BF">
        <w:t xml:space="preserve"> min.) při 18–26°C.</w:t>
      </w:r>
    </w:p>
    <w:p w:rsidR="009B0207" w:rsidRPr="00BB69BF" w:rsidRDefault="009B0207" w:rsidP="009B0207">
      <w:r w:rsidRPr="00BB69BF">
        <w:t>11. Opakujte krok č. 8.</w:t>
      </w:r>
    </w:p>
    <w:p w:rsidR="009B0207" w:rsidRPr="00BB69BF" w:rsidRDefault="009B0207" w:rsidP="009B0207">
      <w:r w:rsidRPr="00BB69BF">
        <w:t xml:space="preserve">12. Do každé jamky přidejte 100 </w:t>
      </w:r>
      <w:proofErr w:type="spellStart"/>
      <w:r w:rsidRPr="00BB69BF">
        <w:t>μl</w:t>
      </w:r>
      <w:proofErr w:type="spellEnd"/>
      <w:r w:rsidR="00A95D06" w:rsidRPr="00BB69BF">
        <w:t xml:space="preserve"> TMB substrátu č. 13</w:t>
      </w:r>
      <w:r w:rsidRPr="00BB69BF">
        <w:t>.</w:t>
      </w:r>
    </w:p>
    <w:p w:rsidR="009B0207" w:rsidRPr="00BB69BF" w:rsidRDefault="00A95D06" w:rsidP="009B0207">
      <w:r w:rsidRPr="00BB69BF">
        <w:t>13. Inkubujte po dobu 2</w:t>
      </w:r>
      <w:r w:rsidR="009B0207" w:rsidRPr="00BB69BF">
        <w:t xml:space="preserve">0 minut </w:t>
      </w:r>
      <w:r w:rsidRPr="00BB69BF">
        <w:t>(±3</w:t>
      </w:r>
      <w:r w:rsidR="009B0207" w:rsidRPr="00BB69BF">
        <w:t xml:space="preserve"> min.) při 18–26°C</w:t>
      </w:r>
      <w:r w:rsidR="00133E1C" w:rsidRPr="00BB69BF">
        <w:t xml:space="preserve"> mimo přímé světlo</w:t>
      </w:r>
      <w:r w:rsidR="009B0207" w:rsidRPr="00BB69BF">
        <w:t>.</w:t>
      </w:r>
    </w:p>
    <w:p w:rsidR="009B0207" w:rsidRPr="00BB69BF" w:rsidRDefault="009B0207" w:rsidP="009B0207">
      <w:r w:rsidRPr="00BB69BF">
        <w:t xml:space="preserve">14. Do každé jamky přidejte 100 </w:t>
      </w:r>
      <w:proofErr w:type="spellStart"/>
      <w:r w:rsidRPr="00BB69BF">
        <w:t>μl</w:t>
      </w:r>
      <w:proofErr w:type="spellEnd"/>
      <w:r w:rsidRPr="00BB69BF">
        <w:t xml:space="preserve"> zastavovacího roztoku č. 3. </w:t>
      </w:r>
    </w:p>
    <w:p w:rsidR="009B0207" w:rsidRPr="00BB69BF" w:rsidRDefault="009B0207" w:rsidP="009B0207">
      <w:r w:rsidRPr="00BB69BF">
        <w:t xml:space="preserve">15. Změřte a zaznamenejte </w:t>
      </w:r>
      <w:r w:rsidR="00133E1C" w:rsidRPr="00BB69BF">
        <w:t>hodnotu optické hustoty</w:t>
      </w:r>
      <w:r w:rsidRPr="00BB69BF">
        <w:t xml:space="preserve"> vzorků </w:t>
      </w:r>
      <w:r w:rsidR="00133E1C" w:rsidRPr="00BB69BF">
        <w:t xml:space="preserve">a kontrolních vzorků při 450 </w:t>
      </w:r>
      <w:proofErr w:type="spellStart"/>
      <w:r w:rsidR="00133E1C" w:rsidRPr="00BB69BF">
        <w:t>nm</w:t>
      </w:r>
      <w:proofErr w:type="spellEnd"/>
      <w:r w:rsidR="00133E1C" w:rsidRPr="00BB69BF">
        <w:t>.</w:t>
      </w:r>
    </w:p>
    <w:p w:rsidR="00133E1C" w:rsidRPr="00BB69BF" w:rsidRDefault="00133E1C" w:rsidP="00133E1C">
      <w:r w:rsidRPr="00BB69BF">
        <w:lastRenderedPageBreak/>
        <w:t xml:space="preserve">Poznámka: Při využití robotiky umožňuje inkubace v inkubační komůrce pracovat bez zakrývání destiček. Použití robotiky není kompatibilní s jemným poklepáváním nebo otíráním destiček. Destičky lze před hodnocením uchovávat až 1 hodinu ve tmě. </w:t>
      </w:r>
    </w:p>
    <w:p w:rsidR="00C00359" w:rsidRPr="00BB69BF" w:rsidRDefault="00C00359" w:rsidP="00133E1C">
      <w:pPr>
        <w:spacing w:after="0"/>
        <w:rPr>
          <w:b/>
        </w:rPr>
      </w:pPr>
    </w:p>
    <w:p w:rsidR="00C00359" w:rsidRPr="00BB69BF" w:rsidRDefault="00C00359" w:rsidP="00133E1C">
      <w:pPr>
        <w:spacing w:after="0"/>
        <w:rPr>
          <w:b/>
        </w:rPr>
      </w:pPr>
    </w:p>
    <w:p w:rsidR="00C00359" w:rsidRPr="00BB69BF" w:rsidRDefault="00C00359" w:rsidP="00133E1C">
      <w:pPr>
        <w:spacing w:after="0"/>
        <w:rPr>
          <w:b/>
        </w:rPr>
      </w:pPr>
    </w:p>
    <w:p w:rsidR="00C00359" w:rsidRPr="00BB69BF" w:rsidRDefault="00C00359" w:rsidP="00133E1C">
      <w:pPr>
        <w:spacing w:after="0"/>
        <w:rPr>
          <w:b/>
        </w:rPr>
      </w:pPr>
    </w:p>
    <w:p w:rsidR="00C00359" w:rsidRPr="00BB69BF" w:rsidRDefault="00C00359" w:rsidP="00133E1C">
      <w:pPr>
        <w:spacing w:after="0"/>
        <w:rPr>
          <w:b/>
        </w:rPr>
      </w:pPr>
    </w:p>
    <w:p w:rsidR="00133E1C" w:rsidRPr="00BB69BF" w:rsidRDefault="00133E1C" w:rsidP="00133E1C">
      <w:pPr>
        <w:spacing w:after="0"/>
      </w:pPr>
      <w:r w:rsidRPr="00BB69BF">
        <w:rPr>
          <w:b/>
        </w:rPr>
        <w:t>16.</w:t>
      </w:r>
      <w:r w:rsidRPr="00BB69BF">
        <w:t xml:space="preserve"> </w:t>
      </w:r>
      <w:r w:rsidRPr="00BB69BF">
        <w:rPr>
          <w:b/>
        </w:rPr>
        <w:t>Výpočty:</w:t>
      </w:r>
      <w:r w:rsidRPr="00BB69BF">
        <w:t xml:space="preserve"> </w:t>
      </w:r>
    </w:p>
    <w:p w:rsidR="00133E1C" w:rsidRPr="00BB69BF" w:rsidRDefault="00133E1C" w:rsidP="00133E1C">
      <w:pPr>
        <w:spacing w:after="0"/>
      </w:pPr>
    </w:p>
    <w:p w:rsidR="00133E1C" w:rsidRPr="00BB69BF" w:rsidRDefault="00133E1C" w:rsidP="00133E1C">
      <w:pPr>
        <w:spacing w:after="0"/>
        <w:rPr>
          <w:b/>
        </w:rPr>
      </w:pPr>
      <w:r w:rsidRPr="00BB69BF">
        <w:rPr>
          <w:b/>
        </w:rPr>
        <w:t>Kontrolní vzorky</w:t>
      </w:r>
    </w:p>
    <w:p w:rsidR="00133E1C" w:rsidRPr="00BB69BF" w:rsidRDefault="00133E1C" w:rsidP="009B0207">
      <w:pPr>
        <w:rPr>
          <w:rFonts w:cstheme="min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0"/>
      </w:tblGrid>
      <w:tr w:rsidR="00133E1C" w:rsidRPr="00BB69BF">
        <w:trPr>
          <w:trHeight w:val="213"/>
        </w:trPr>
        <w:tc>
          <w:tcPr>
            <w:tcW w:w="5060" w:type="dxa"/>
          </w:tcPr>
          <w:p w:rsidR="00133E1C" w:rsidRPr="00BB69BF" w:rsidRDefault="00133E1C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proofErr w:type="spellStart"/>
            <w:r w:rsidRPr="00BB69BF">
              <w:rPr>
                <w:rFonts w:cstheme="minorHAnsi"/>
                <w:color w:val="000000"/>
              </w:rPr>
              <w:t>PKx</w:t>
            </w:r>
            <w:proofErr w:type="spellEnd"/>
            <w:r w:rsidRPr="00BB69BF">
              <w:rPr>
                <w:rFonts w:cstheme="minorHAnsi"/>
                <w:color w:val="000000"/>
              </w:rPr>
              <w:t xml:space="preserve"> = </w:t>
            </w:r>
            <w:proofErr w:type="gramStart"/>
            <w:r w:rsidRPr="00BB69BF">
              <w:rPr>
                <w:rFonts w:cstheme="minorHAnsi"/>
                <w:color w:val="000000"/>
                <w:u w:val="single"/>
              </w:rPr>
              <w:t>PK1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</w:t>
            </w:r>
            <w:proofErr w:type="gramEnd"/>
            <w:r w:rsidRPr="00BB69BF">
              <w:rPr>
                <w:rFonts w:cstheme="minorHAnsi"/>
                <w:color w:val="000000"/>
                <w:u w:val="single"/>
              </w:rPr>
              <w:t>) + PK2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A(450)</w:t>
            </w:r>
          </w:p>
          <w:p w:rsidR="00133E1C" w:rsidRPr="00BB69BF" w:rsidRDefault="00133E1C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r w:rsidRPr="00BB69BF">
              <w:rPr>
                <w:rFonts w:cstheme="minorHAnsi"/>
                <w:color w:val="000000"/>
              </w:rPr>
              <w:t>2</w:t>
            </w:r>
          </w:p>
        </w:tc>
      </w:tr>
      <w:tr w:rsidR="00133E1C" w:rsidRPr="00BB69BF">
        <w:trPr>
          <w:trHeight w:val="213"/>
        </w:trPr>
        <w:tc>
          <w:tcPr>
            <w:tcW w:w="5060" w:type="dxa"/>
          </w:tcPr>
          <w:p w:rsidR="00133E1C" w:rsidRPr="00BB69BF" w:rsidRDefault="00C00359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proofErr w:type="spellStart"/>
            <w:r w:rsidRPr="00BB69BF">
              <w:rPr>
                <w:rFonts w:cstheme="minorHAnsi"/>
                <w:color w:val="000000"/>
              </w:rPr>
              <w:t>NEx</w:t>
            </w:r>
            <w:r w:rsidRPr="00BB69BF">
              <w:rPr>
                <w:rFonts w:cstheme="minorHAnsi"/>
                <w:color w:val="000000"/>
                <w:vertAlign w:val="subscript"/>
              </w:rPr>
              <w:t>NK</w:t>
            </w:r>
            <w:proofErr w:type="spellEnd"/>
            <w:r w:rsidR="00133E1C" w:rsidRPr="00BB69BF">
              <w:rPr>
                <w:rFonts w:cstheme="minorHAnsi"/>
                <w:color w:val="000000"/>
              </w:rPr>
              <w:t xml:space="preserve"> = (</w:t>
            </w:r>
            <w:proofErr w:type="gramStart"/>
            <w:r w:rsidR="00133E1C" w:rsidRPr="00BB69BF">
              <w:rPr>
                <w:rFonts w:cstheme="minorHAnsi"/>
                <w:color w:val="000000"/>
                <w:u w:val="single"/>
              </w:rPr>
              <w:t>NK1</w:t>
            </w:r>
            <w:r w:rsidR="00133E1C"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="00133E1C" w:rsidRPr="00BB69BF">
              <w:rPr>
                <w:rFonts w:cstheme="minorHAnsi"/>
                <w:color w:val="000000"/>
                <w:u w:val="single"/>
              </w:rPr>
              <w:t xml:space="preserve"> A(450</w:t>
            </w:r>
            <w:proofErr w:type="gramEnd"/>
            <w:r w:rsidR="00133E1C" w:rsidRPr="00BB69BF">
              <w:rPr>
                <w:rFonts w:cstheme="minorHAnsi"/>
                <w:color w:val="000000"/>
                <w:u w:val="single"/>
              </w:rPr>
              <w:t>) - NK1</w:t>
            </w:r>
            <w:r w:rsidR="00133E1C" w:rsidRPr="00BB69BF">
              <w:rPr>
                <w:rFonts w:cstheme="minorHAnsi"/>
                <w:color w:val="000000"/>
                <w:u w:val="single"/>
                <w:vertAlign w:val="subscript"/>
              </w:rPr>
              <w:t>-Ag</w:t>
            </w:r>
            <w:r w:rsidR="00133E1C" w:rsidRPr="00BB69BF">
              <w:rPr>
                <w:rFonts w:cstheme="minorHAnsi"/>
                <w:color w:val="000000"/>
                <w:u w:val="single"/>
              </w:rPr>
              <w:t xml:space="preserve"> A(450)) + (NK2</w:t>
            </w:r>
            <w:r w:rsidR="00133E1C"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="00133E1C" w:rsidRPr="00BB69BF">
              <w:rPr>
                <w:rFonts w:cstheme="minorHAnsi"/>
                <w:color w:val="000000"/>
                <w:u w:val="single"/>
              </w:rPr>
              <w:t xml:space="preserve"> A(450) - NK2</w:t>
            </w:r>
            <w:r w:rsidR="00133E1C" w:rsidRPr="00BB69BF">
              <w:rPr>
                <w:rFonts w:cstheme="minorHAnsi"/>
                <w:color w:val="000000"/>
                <w:u w:val="single"/>
                <w:vertAlign w:val="subscript"/>
              </w:rPr>
              <w:t>-Ag</w:t>
            </w:r>
            <w:r w:rsidR="00133E1C" w:rsidRPr="00BB69BF">
              <w:rPr>
                <w:rFonts w:cstheme="minorHAnsi"/>
                <w:color w:val="000000"/>
                <w:u w:val="single"/>
              </w:rPr>
              <w:t xml:space="preserve"> A(450))</w:t>
            </w:r>
          </w:p>
          <w:p w:rsidR="00133E1C" w:rsidRPr="00BB69BF" w:rsidRDefault="00133E1C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r w:rsidRPr="00BB69BF">
              <w:rPr>
                <w:rFonts w:cstheme="minorHAnsi"/>
                <w:color w:val="000000"/>
              </w:rPr>
              <w:t>2</w:t>
            </w:r>
          </w:p>
        </w:tc>
      </w:tr>
      <w:tr w:rsidR="00133E1C" w:rsidRPr="00BB69BF">
        <w:trPr>
          <w:trHeight w:val="213"/>
        </w:trPr>
        <w:tc>
          <w:tcPr>
            <w:tcW w:w="5060" w:type="dxa"/>
          </w:tcPr>
          <w:p w:rsidR="00133E1C" w:rsidRPr="00BB69BF" w:rsidRDefault="00133E1C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proofErr w:type="spellStart"/>
            <w:r w:rsidRPr="00BB69BF">
              <w:rPr>
                <w:rFonts w:cstheme="minorHAnsi"/>
                <w:color w:val="000000"/>
              </w:rPr>
              <w:t>NEx</w:t>
            </w:r>
            <w:r w:rsidRPr="00BB69BF">
              <w:rPr>
                <w:rFonts w:cstheme="minorHAnsi"/>
                <w:color w:val="000000"/>
                <w:vertAlign w:val="subscript"/>
              </w:rPr>
              <w:t>PK</w:t>
            </w:r>
            <w:proofErr w:type="spellEnd"/>
            <w:r w:rsidRPr="00BB69BF">
              <w:rPr>
                <w:rFonts w:cstheme="minorHAnsi"/>
                <w:color w:val="000000"/>
              </w:rPr>
              <w:t xml:space="preserve"> = (</w:t>
            </w:r>
            <w:proofErr w:type="gramStart"/>
            <w:r w:rsidRPr="00BB69BF">
              <w:rPr>
                <w:rFonts w:cstheme="minorHAnsi"/>
                <w:color w:val="000000"/>
                <w:u w:val="single"/>
              </w:rPr>
              <w:t>PK1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</w:t>
            </w:r>
            <w:proofErr w:type="gramEnd"/>
            <w:r w:rsidRPr="00BB69BF">
              <w:rPr>
                <w:rFonts w:cstheme="minorHAnsi"/>
                <w:color w:val="000000"/>
                <w:u w:val="single"/>
              </w:rPr>
              <w:t>) - PK1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-Ag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A(450)) + (PK2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+Ag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A(450) - PK2</w:t>
            </w:r>
            <w:r w:rsidRPr="00BB69BF">
              <w:rPr>
                <w:rFonts w:cstheme="minorHAnsi"/>
                <w:color w:val="000000"/>
                <w:u w:val="single"/>
                <w:vertAlign w:val="subscript"/>
              </w:rPr>
              <w:t>-Ag</w:t>
            </w:r>
            <w:r w:rsidRPr="00BB69BF">
              <w:rPr>
                <w:rFonts w:cstheme="minorHAnsi"/>
                <w:color w:val="000000"/>
                <w:u w:val="single"/>
              </w:rPr>
              <w:t xml:space="preserve"> A(450))</w:t>
            </w:r>
          </w:p>
          <w:p w:rsidR="00133E1C" w:rsidRPr="00BB69BF" w:rsidRDefault="00133E1C" w:rsidP="00133E1C">
            <w:pPr>
              <w:autoSpaceDE w:val="0"/>
              <w:autoSpaceDN w:val="0"/>
              <w:adjustRightInd w:val="0"/>
              <w:spacing w:before="180" w:after="0" w:line="241" w:lineRule="atLeast"/>
              <w:jc w:val="center"/>
              <w:rPr>
                <w:rFonts w:cstheme="minorHAnsi"/>
                <w:color w:val="000000"/>
              </w:rPr>
            </w:pPr>
            <w:r w:rsidRPr="00BB69BF">
              <w:rPr>
                <w:rFonts w:cstheme="minorHAnsi"/>
                <w:color w:val="000000"/>
              </w:rPr>
              <w:t>2</w:t>
            </w:r>
          </w:p>
        </w:tc>
      </w:tr>
    </w:tbl>
    <w:p w:rsidR="00133E1C" w:rsidRPr="00BB69BF" w:rsidRDefault="00133E1C" w:rsidP="00133E1C">
      <w:pPr>
        <w:pStyle w:val="Pa27"/>
        <w:rPr>
          <w:rFonts w:asciiTheme="minorHAnsi" w:hAnsiTheme="minorHAnsi" w:cstheme="minorHAnsi"/>
          <w:sz w:val="22"/>
          <w:szCs w:val="22"/>
        </w:rPr>
      </w:pPr>
      <w:r w:rsidRPr="00BB69BF">
        <w:rPr>
          <w:rFonts w:asciiTheme="minorHAnsi" w:hAnsiTheme="minorHAnsi" w:cstheme="minorHAnsi"/>
          <w:sz w:val="22"/>
          <w:szCs w:val="22"/>
        </w:rPr>
        <w:t xml:space="preserve">Vypočítejte </w:t>
      </w:r>
      <w:r w:rsidR="008A0BE2" w:rsidRPr="00BB69BF">
        <w:rPr>
          <w:rFonts w:asciiTheme="minorHAnsi" w:hAnsiTheme="minorHAnsi" w:cstheme="minorHAnsi"/>
          <w:sz w:val="22"/>
          <w:szCs w:val="22"/>
        </w:rPr>
        <w:t>průměr pozitivní kontroly (</w:t>
      </w:r>
      <w:proofErr w:type="spellStart"/>
      <w:r w:rsidR="008A0BE2" w:rsidRPr="00BB69BF">
        <w:rPr>
          <w:rFonts w:asciiTheme="minorHAnsi" w:hAnsiTheme="minorHAnsi" w:cstheme="minorHAnsi"/>
          <w:sz w:val="22"/>
          <w:szCs w:val="22"/>
        </w:rPr>
        <w:t>PKx</w:t>
      </w:r>
      <w:proofErr w:type="spellEnd"/>
      <w:r w:rsidR="008A0BE2" w:rsidRPr="00BB69BF">
        <w:rPr>
          <w:rFonts w:asciiTheme="minorHAnsi" w:hAnsiTheme="minorHAnsi" w:cstheme="minorHAnsi"/>
          <w:sz w:val="22"/>
          <w:szCs w:val="22"/>
        </w:rPr>
        <w:t>), průměrnou celkovou extinkci pozitivní kontroly (</w:t>
      </w:r>
      <w:proofErr w:type="spellStart"/>
      <w:r w:rsidR="008A0BE2" w:rsidRPr="00BB69BF">
        <w:rPr>
          <w:rFonts w:asciiTheme="minorHAnsi" w:hAnsiTheme="minorHAnsi" w:cstheme="minorHAnsi"/>
          <w:sz w:val="22"/>
          <w:szCs w:val="22"/>
        </w:rPr>
        <w:t>NEx</w:t>
      </w:r>
      <w:r w:rsidR="008A0BE2" w:rsidRPr="00BB69BF">
        <w:rPr>
          <w:rFonts w:asciiTheme="minorHAnsi" w:hAnsiTheme="minorHAnsi" w:cstheme="minorHAnsi"/>
          <w:sz w:val="22"/>
          <w:szCs w:val="22"/>
          <w:vertAlign w:val="subscript"/>
        </w:rPr>
        <w:t>PK</w:t>
      </w:r>
      <w:proofErr w:type="spellEnd"/>
      <w:r w:rsidR="008A0BE2" w:rsidRPr="00BB69BF">
        <w:rPr>
          <w:rFonts w:asciiTheme="minorHAnsi" w:hAnsiTheme="minorHAnsi" w:cstheme="minorHAnsi"/>
          <w:sz w:val="22"/>
          <w:szCs w:val="22"/>
        </w:rPr>
        <w:t>) a průměrnou celkovou extinkci negativní kontroly (</w:t>
      </w:r>
      <w:proofErr w:type="spellStart"/>
      <w:r w:rsidR="008A0BE2" w:rsidRPr="00BB69BF">
        <w:rPr>
          <w:rFonts w:asciiTheme="minorHAnsi" w:hAnsiTheme="minorHAnsi" w:cstheme="minorHAnsi"/>
          <w:sz w:val="22"/>
          <w:szCs w:val="22"/>
        </w:rPr>
        <w:t>NEx</w:t>
      </w:r>
      <w:r w:rsidR="008A0BE2" w:rsidRPr="00BB69BF">
        <w:rPr>
          <w:rFonts w:asciiTheme="minorHAnsi" w:hAnsiTheme="minorHAnsi" w:cstheme="minorHAnsi"/>
          <w:sz w:val="22"/>
          <w:szCs w:val="22"/>
          <w:vertAlign w:val="subscript"/>
        </w:rPr>
        <w:t>NK</w:t>
      </w:r>
      <w:proofErr w:type="spellEnd"/>
      <w:r w:rsidR="008A0BE2" w:rsidRPr="00BB69BF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8A0BE2" w:rsidRPr="00BB69BF" w:rsidRDefault="008A0BE2" w:rsidP="008A0BE2"/>
    <w:p w:rsidR="008A0BE2" w:rsidRPr="00BB69BF" w:rsidRDefault="008A0BE2" w:rsidP="008A0BE2">
      <w:pPr>
        <w:rPr>
          <w:b/>
        </w:rPr>
      </w:pPr>
      <w:r w:rsidRPr="00BB69BF">
        <w:rPr>
          <w:b/>
        </w:rPr>
        <w:t>Kritéria validity</w:t>
      </w:r>
    </w:p>
    <w:p w:rsidR="008A0BE2" w:rsidRPr="00BB69BF" w:rsidRDefault="008A0BE2" w:rsidP="008A0BE2">
      <w:pPr>
        <w:pStyle w:val="Pa24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B69BF">
        <w:rPr>
          <w:rFonts w:asciiTheme="minorHAnsi" w:hAnsiTheme="minorHAnsi" w:cstheme="minorHAnsi"/>
          <w:color w:val="000000"/>
          <w:sz w:val="22"/>
          <w:szCs w:val="22"/>
        </w:rPr>
        <w:t>PKx</w:t>
      </w:r>
      <w:proofErr w:type="spellEnd"/>
      <w:r w:rsidRPr="00BB69BF">
        <w:rPr>
          <w:rFonts w:asciiTheme="minorHAnsi" w:hAnsiTheme="minorHAnsi" w:cstheme="minorHAnsi"/>
          <w:color w:val="000000"/>
          <w:sz w:val="22"/>
          <w:szCs w:val="22"/>
        </w:rPr>
        <w:t xml:space="preserve"> ≥ 0,350                                                       </w:t>
      </w:r>
      <w:proofErr w:type="spellStart"/>
      <w:r w:rsidRPr="00BB69BF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PK</w:t>
      </w:r>
      <w:proofErr w:type="spellEnd"/>
      <w:r w:rsidRPr="00BB69BF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B69BF">
        <w:rPr>
          <w:rFonts w:asciiTheme="minorHAnsi" w:hAnsiTheme="minorHAnsi" w:cstheme="minorHAnsi"/>
          <w:color w:val="000000"/>
          <w:sz w:val="22"/>
          <w:szCs w:val="22"/>
        </w:rPr>
        <w:t>NEx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NK</w:t>
      </w:r>
      <w:proofErr w:type="spellEnd"/>
      <w:r w:rsidRPr="00BB69BF">
        <w:rPr>
          <w:rFonts w:asciiTheme="minorHAnsi" w:hAnsiTheme="minorHAnsi" w:cstheme="minorHAnsi"/>
          <w:color w:val="000000"/>
          <w:sz w:val="22"/>
          <w:szCs w:val="22"/>
        </w:rPr>
        <w:t xml:space="preserve"> ≥ 3,50</w:t>
      </w:r>
    </w:p>
    <w:p w:rsidR="008A0BE2" w:rsidRPr="00BB69BF" w:rsidRDefault="008A0BE2" w:rsidP="008A0BE2">
      <w:pPr>
        <w:autoSpaceDE w:val="0"/>
        <w:autoSpaceDN w:val="0"/>
        <w:adjustRightInd w:val="0"/>
        <w:spacing w:before="180" w:after="0" w:line="241" w:lineRule="atLeast"/>
      </w:pPr>
      <w:r w:rsidRPr="00BB69BF">
        <w:rPr>
          <w:rFonts w:cstheme="minorHAnsi"/>
          <w:b/>
          <w:color w:val="000000"/>
        </w:rPr>
        <w:t>Poznámka:</w:t>
      </w:r>
      <w:r w:rsidRPr="00BB69BF">
        <w:rPr>
          <w:rFonts w:cstheme="minorHAnsi"/>
          <w:color w:val="000000"/>
        </w:rPr>
        <w:t xml:space="preserve"> Je-li hodnota </w:t>
      </w:r>
      <w:r w:rsidR="009354E6" w:rsidRPr="00BB69BF">
        <w:rPr>
          <w:rFonts w:cstheme="minorHAnsi"/>
          <w:color w:val="000000"/>
        </w:rPr>
        <w:t>extinkce negativní kontroly (</w:t>
      </w:r>
      <w:proofErr w:type="spellStart"/>
      <w:r w:rsidR="009354E6" w:rsidRPr="00BB69BF">
        <w:rPr>
          <w:rFonts w:cstheme="minorHAnsi"/>
          <w:color w:val="000000"/>
        </w:rPr>
        <w:t>NEx</w:t>
      </w:r>
      <w:r w:rsidR="009354E6" w:rsidRPr="00BB69BF">
        <w:rPr>
          <w:rFonts w:cstheme="minorHAnsi"/>
          <w:color w:val="000000"/>
          <w:vertAlign w:val="subscript"/>
        </w:rPr>
        <w:t>N</w:t>
      </w:r>
      <w:r w:rsidR="004326A3" w:rsidRPr="00BB69BF">
        <w:rPr>
          <w:rFonts w:cstheme="minorHAnsi"/>
          <w:color w:val="000000"/>
          <w:vertAlign w:val="subscript"/>
        </w:rPr>
        <w:t>K</w:t>
      </w:r>
      <w:proofErr w:type="spellEnd"/>
      <w:r w:rsidR="009354E6" w:rsidRPr="00BB69BF">
        <w:rPr>
          <w:rFonts w:cstheme="minorHAnsi"/>
          <w:color w:val="000000"/>
        </w:rPr>
        <w:t>) méně než 0, použijte její absolutní hodnotu. Je-li rovna nule, použijte standardně hodnotu NE</w:t>
      </w:r>
      <w:r w:rsidR="009354E6" w:rsidRPr="00BB69BF">
        <w:rPr>
          <w:rFonts w:cstheme="minorHAnsi"/>
          <w:color w:val="000000"/>
          <w:vertAlign w:val="subscript"/>
        </w:rPr>
        <w:t>N</w:t>
      </w:r>
      <w:r w:rsidR="004326A3" w:rsidRPr="00BB69BF">
        <w:rPr>
          <w:rFonts w:cstheme="minorHAnsi"/>
          <w:color w:val="000000"/>
          <w:vertAlign w:val="subscript"/>
        </w:rPr>
        <w:t>K</w:t>
      </w:r>
      <w:r w:rsidR="009354E6" w:rsidRPr="00BB69BF">
        <w:rPr>
          <w:rFonts w:cstheme="minorHAnsi"/>
          <w:color w:val="000000"/>
        </w:rPr>
        <w:t xml:space="preserve"> = 0,001. </w:t>
      </w:r>
      <w:r w:rsidR="009354E6" w:rsidRPr="00BB69BF">
        <w:rPr>
          <w:rFonts w:cstheme="minorHAnsi"/>
          <w:color w:val="000000"/>
        </w:rPr>
        <w:br/>
      </w:r>
      <w:r w:rsidR="009354E6" w:rsidRPr="00BB69BF">
        <w:t>Při neplatnosti výsledků je třeba předpokládat chybu v technice provedení. Doporučuje se důkladně znovu prostudovat př</w:t>
      </w:r>
      <w:r w:rsidR="004326A3" w:rsidRPr="00BB69BF">
        <w:t>íbalovou informaci</w:t>
      </w:r>
      <w:r w:rsidR="009354E6" w:rsidRPr="00BB69BF">
        <w:t xml:space="preserve"> a test provést znovu.</w:t>
      </w:r>
    </w:p>
    <w:p w:rsidR="009354E6" w:rsidRPr="00BB69BF" w:rsidRDefault="009354E6" w:rsidP="008A0BE2">
      <w:pPr>
        <w:autoSpaceDE w:val="0"/>
        <w:autoSpaceDN w:val="0"/>
        <w:adjustRightInd w:val="0"/>
        <w:spacing w:before="180" w:after="0" w:line="241" w:lineRule="atLeast"/>
      </w:pPr>
      <w:r w:rsidRPr="00BB69BF">
        <w:rPr>
          <w:b/>
        </w:rPr>
        <w:t>Vzorky</w:t>
      </w:r>
    </w:p>
    <w:p w:rsidR="009354E6" w:rsidRPr="00BB69BF" w:rsidRDefault="009354E6" w:rsidP="009354E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  <w:r w:rsidRPr="00BB69BF">
        <w:rPr>
          <w:rFonts w:cstheme="minorHAnsi"/>
          <w:color w:val="000000"/>
        </w:rPr>
        <w:t xml:space="preserve">NE = </w:t>
      </w:r>
      <w:proofErr w:type="spellStart"/>
      <w:proofErr w:type="gramStart"/>
      <w:r w:rsidRPr="00BB69BF">
        <w:rPr>
          <w:rFonts w:cstheme="minorHAnsi"/>
          <w:color w:val="000000"/>
        </w:rPr>
        <w:t>S</w:t>
      </w:r>
      <w:r w:rsidRPr="00BB69BF">
        <w:rPr>
          <w:rFonts w:cstheme="minorHAnsi"/>
          <w:color w:val="000000"/>
          <w:vertAlign w:val="subscript"/>
        </w:rPr>
        <w:t>+Ag</w:t>
      </w:r>
      <w:proofErr w:type="spellEnd"/>
      <w:r w:rsidRPr="00BB69BF">
        <w:rPr>
          <w:rFonts w:cstheme="minorHAnsi"/>
          <w:color w:val="000000"/>
        </w:rPr>
        <w:t xml:space="preserve"> A(450</w:t>
      </w:r>
      <w:proofErr w:type="gramEnd"/>
      <w:r w:rsidRPr="00BB69BF">
        <w:rPr>
          <w:rFonts w:cstheme="minorHAnsi"/>
          <w:color w:val="000000"/>
        </w:rPr>
        <w:t>) - S</w:t>
      </w:r>
      <w:r w:rsidRPr="00BB69BF">
        <w:rPr>
          <w:rFonts w:cstheme="minorHAnsi"/>
          <w:color w:val="000000"/>
          <w:vertAlign w:val="superscript"/>
        </w:rPr>
        <w:t>-</w:t>
      </w:r>
      <w:proofErr w:type="spellStart"/>
      <w:r w:rsidRPr="00BB69BF">
        <w:rPr>
          <w:rFonts w:cstheme="minorHAnsi"/>
          <w:color w:val="000000"/>
          <w:vertAlign w:val="superscript"/>
        </w:rPr>
        <w:t>Ag</w:t>
      </w:r>
      <w:proofErr w:type="spellEnd"/>
      <w:r w:rsidRPr="00BB69BF">
        <w:rPr>
          <w:rFonts w:cstheme="minorHAnsi"/>
          <w:color w:val="000000"/>
        </w:rPr>
        <w:t xml:space="preserve"> A(450)</w:t>
      </w:r>
    </w:p>
    <w:p w:rsidR="009354E6" w:rsidRPr="00BB69BF" w:rsidRDefault="009354E6" w:rsidP="009354E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  <w:r w:rsidRPr="00BB69BF">
        <w:rPr>
          <w:rFonts w:cstheme="minorHAnsi"/>
          <w:color w:val="000000"/>
        </w:rPr>
        <w:t>S/P % = 100 x (NE/</w:t>
      </w:r>
      <w:proofErr w:type="spellStart"/>
      <w:r w:rsidRPr="00BB69BF">
        <w:rPr>
          <w:rFonts w:cstheme="minorHAnsi"/>
          <w:color w:val="000000"/>
        </w:rPr>
        <w:t>NEx</w:t>
      </w:r>
      <w:r w:rsidRPr="00BB69BF">
        <w:rPr>
          <w:rFonts w:cstheme="minorHAnsi"/>
          <w:color w:val="000000"/>
          <w:vertAlign w:val="subscript"/>
        </w:rPr>
        <w:t>PK</w:t>
      </w:r>
      <w:proofErr w:type="spellEnd"/>
      <w:r w:rsidRPr="00BB69BF">
        <w:rPr>
          <w:rFonts w:cstheme="minorHAnsi"/>
          <w:color w:val="000000"/>
        </w:rPr>
        <w:t>)</w:t>
      </w:r>
    </w:p>
    <w:p w:rsidR="009354E6" w:rsidRPr="00BB69BF" w:rsidRDefault="009354E6" w:rsidP="009354E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  <w:r w:rsidRPr="00BB69BF">
        <w:rPr>
          <w:rFonts w:cstheme="minorHAnsi"/>
          <w:color w:val="000000"/>
        </w:rPr>
        <w:t>c S/P % = 0,8 x S/P %</w:t>
      </w:r>
    </w:p>
    <w:p w:rsidR="009354E6" w:rsidRPr="00BB69BF" w:rsidRDefault="009354E6" w:rsidP="009354E6">
      <w:pPr>
        <w:pStyle w:val="Pa29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r w:rsidRPr="00BB69BF">
        <w:rPr>
          <w:rFonts w:asciiTheme="minorHAnsi" w:hAnsiTheme="minorHAnsi" w:cstheme="minorHAnsi"/>
          <w:color w:val="000000"/>
          <w:sz w:val="22"/>
          <w:szCs w:val="22"/>
        </w:rPr>
        <w:t>Vypočítejte hodnotu NE pro každý vzorek odečtením odpovídající hodnoty optické hustoty (OD450) získané z kontrolní jamky (S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-</w:t>
      </w:r>
      <w:proofErr w:type="spellStart"/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Ag</w:t>
      </w:r>
      <w:proofErr w:type="spellEnd"/>
      <w:r w:rsidRPr="00BB69B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450</w:t>
      </w:r>
      <w:r w:rsidRPr="00BB69BF">
        <w:rPr>
          <w:rFonts w:asciiTheme="minorHAnsi" w:hAnsiTheme="minorHAnsi" w:cstheme="minorHAnsi"/>
          <w:color w:val="000000"/>
          <w:sz w:val="22"/>
          <w:szCs w:val="22"/>
        </w:rPr>
        <w:t>) od hodnoty OD450 získané z potahované jamky (</w:t>
      </w:r>
      <w:proofErr w:type="spellStart"/>
      <w:r w:rsidRPr="00BB69B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+Ag</w:t>
      </w:r>
      <w:proofErr w:type="spellEnd"/>
      <w:r w:rsidRPr="00BB69B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BB69B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450</w:t>
      </w:r>
      <w:r w:rsidRPr="00BB69BF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797E58" w:rsidRPr="00BB69BF" w:rsidRDefault="00797E58" w:rsidP="00797E58"/>
    <w:p w:rsidR="00797E58" w:rsidRPr="00BB69BF" w:rsidRDefault="00797E58" w:rsidP="00797E58">
      <w:r w:rsidRPr="00BB69BF">
        <w:rPr>
          <w:b/>
        </w:rPr>
        <w:lastRenderedPageBreak/>
        <w:t>Interpretace</w:t>
      </w:r>
      <w:r w:rsidRPr="00BB69BF">
        <w:rPr>
          <w:b/>
        </w:rPr>
        <w:br/>
      </w:r>
      <w:r w:rsidRPr="00BB69BF">
        <w:t>Negativní: c S/P % &lt; 20</w:t>
      </w:r>
    </w:p>
    <w:p w:rsidR="00797E58" w:rsidRPr="00BB69BF" w:rsidRDefault="00797E58" w:rsidP="00797E58">
      <w:r w:rsidRPr="00BB69BF">
        <w:t>Pozitivní: c S/P % ≥ 20</w:t>
      </w:r>
    </w:p>
    <w:p w:rsidR="00797E58" w:rsidRPr="00BB69BF" w:rsidRDefault="00797E58" w:rsidP="00797E58">
      <w:r w:rsidRPr="00BB69BF">
        <w:t>• procento S/P větší nebo rovno 20% a menší než 40%: Pozitivní 1 křížek (+)</w:t>
      </w:r>
    </w:p>
    <w:p w:rsidR="00797E58" w:rsidRPr="00BB69BF" w:rsidRDefault="00797E58" w:rsidP="00797E58">
      <w:r w:rsidRPr="00BB69BF">
        <w:t>• procento S/P větší nebo rovno 40% a menší než 60%: Pozitivní 2 křížky (++)</w:t>
      </w:r>
    </w:p>
    <w:p w:rsidR="00797E58" w:rsidRPr="00BB69BF" w:rsidRDefault="00797E58" w:rsidP="00797E58">
      <w:r w:rsidRPr="00BB69BF">
        <w:t>• procento S/P větší nebo rovno 60% a menší než 80%: Pozitivní 3 křížky (+++)</w:t>
      </w:r>
    </w:p>
    <w:p w:rsidR="00797E58" w:rsidRPr="00BB69BF" w:rsidRDefault="00797E58" w:rsidP="00797E58">
      <w:r w:rsidRPr="00BB69BF">
        <w:t>• procento S/P větší nebo rovno 80% a menší než 100%: Pozitivní 4 křížky (++++)</w:t>
      </w:r>
    </w:p>
    <w:p w:rsidR="00797E58" w:rsidRPr="00BB69BF" w:rsidRDefault="00797E58" w:rsidP="00797E58">
      <w:r w:rsidRPr="00BB69BF">
        <w:t>• procento S/P větší nebo rovno 100%: Pozitivní 5 křížků (+++++)</w:t>
      </w:r>
    </w:p>
    <w:p w:rsidR="001F3300" w:rsidRPr="00BB69BF" w:rsidRDefault="001F3300" w:rsidP="00797E58">
      <w:r w:rsidRPr="00BB69BF">
        <w:t xml:space="preserve">Demonstrace </w:t>
      </w:r>
      <w:proofErr w:type="spellStart"/>
      <w:r w:rsidRPr="00BB69BF">
        <w:t>sérokonverze</w:t>
      </w:r>
      <w:proofErr w:type="spellEnd"/>
      <w:r w:rsidRPr="00BB69BF">
        <w:t xml:space="preserve"> u dvou vzorků odebraných v intervalu 2-3 týdnů umožňuje definitivní diagnózu. Rozdíl dvou křížků v signálu dvou vzorků </w:t>
      </w:r>
      <w:r w:rsidR="00B17986" w:rsidRPr="00BB69BF">
        <w:t>nasvědčuje, že k </w:t>
      </w:r>
      <w:proofErr w:type="spellStart"/>
      <w:r w:rsidR="00B17986" w:rsidRPr="00BB69BF">
        <w:t>sérokonverzi</w:t>
      </w:r>
      <w:proofErr w:type="spellEnd"/>
      <w:r w:rsidR="00B17986" w:rsidRPr="00BB69BF">
        <w:t xml:space="preserve"> došlo.</w:t>
      </w:r>
    </w:p>
    <w:p w:rsidR="00B17986" w:rsidRPr="00BB69BF" w:rsidRDefault="00B17986" w:rsidP="00B17986">
      <w:pPr>
        <w:spacing w:after="0"/>
      </w:pPr>
      <w:r w:rsidRPr="00BB69BF">
        <w:rPr>
          <w:b/>
        </w:rPr>
        <w:t>Poznámka:</w:t>
      </w:r>
      <w:r w:rsidRPr="00BB69BF">
        <w:t xml:space="preserve"> Společnost IDEXX má přístrojové a softwarové systémy, které vypočítávají výsledky a poskytují souhrny údajů.</w:t>
      </w:r>
    </w:p>
    <w:p w:rsidR="00B17986" w:rsidRPr="00BB69BF" w:rsidRDefault="00B17986" w:rsidP="00797E58"/>
    <w:p w:rsidR="00B17986" w:rsidRPr="00BB69BF" w:rsidRDefault="00B17986" w:rsidP="00B17986">
      <w:pPr>
        <w:spacing w:after="0"/>
        <w:rPr>
          <w:b/>
        </w:rPr>
      </w:pPr>
    </w:p>
    <w:p w:rsidR="00B17986" w:rsidRPr="00BB69BF" w:rsidRDefault="00B17986" w:rsidP="00B17986">
      <w:pPr>
        <w:spacing w:after="0"/>
        <w:rPr>
          <w:b/>
        </w:rPr>
      </w:pPr>
      <w:r w:rsidRPr="00BB69BF">
        <w:rPr>
          <w:b/>
        </w:rPr>
        <w:t>Technická podpora:</w:t>
      </w:r>
    </w:p>
    <w:p w:rsidR="00B17986" w:rsidRPr="00BB69BF" w:rsidRDefault="00B17986" w:rsidP="00B17986">
      <w:pPr>
        <w:spacing w:after="0"/>
      </w:pPr>
    </w:p>
    <w:p w:rsidR="00B17986" w:rsidRPr="00BB69BF" w:rsidRDefault="00B17986" w:rsidP="00B17986">
      <w:pPr>
        <w:spacing w:after="0"/>
      </w:pPr>
      <w:r w:rsidRPr="00BB69BF">
        <w:t>IDEXX USA Tel: +1 800 548 9997 nebo +1 207 556 4895</w:t>
      </w:r>
    </w:p>
    <w:p w:rsidR="00B17986" w:rsidRPr="00BB69BF" w:rsidRDefault="00B17986" w:rsidP="00B17986">
      <w:pPr>
        <w:spacing w:after="0"/>
      </w:pPr>
      <w:r w:rsidRPr="00BB69BF">
        <w:t>IDEXX Evropa Tel: +800 727 43399</w:t>
      </w:r>
    </w:p>
    <w:p w:rsidR="00B17986" w:rsidRPr="00BB69BF" w:rsidRDefault="00B17986" w:rsidP="00B17986">
      <w:pPr>
        <w:spacing w:after="0"/>
        <w:rPr>
          <w:rStyle w:val="Hypertextovodkaz"/>
        </w:rPr>
      </w:pPr>
      <w:r w:rsidRPr="00BB69BF">
        <w:t xml:space="preserve">Obraťte se na manažera nebo distributora společnosti IDEXX pro Vaši oblast nebo navštivte naši webovou stránku: </w:t>
      </w:r>
      <w:hyperlink r:id="rId7" w:history="1">
        <w:r w:rsidRPr="00BB69BF">
          <w:rPr>
            <w:rStyle w:val="Hypertextovodkaz"/>
          </w:rPr>
          <w:t>www.idexx.com/production/contactlpd</w:t>
        </w:r>
      </w:hyperlink>
    </w:p>
    <w:p w:rsidR="004326A3" w:rsidRPr="00BB69BF" w:rsidRDefault="004326A3" w:rsidP="00B17986">
      <w:pPr>
        <w:spacing w:after="0"/>
      </w:pPr>
    </w:p>
    <w:p w:rsidR="004326A3" w:rsidRPr="00BB69BF" w:rsidRDefault="004326A3" w:rsidP="004326A3">
      <w:pPr>
        <w:spacing w:after="0"/>
      </w:pPr>
      <w:r w:rsidRPr="00BB69BF">
        <w:t xml:space="preserve">*IDEXX a Test </w:t>
      </w:r>
      <w:proofErr w:type="spellStart"/>
      <w:r w:rsidRPr="00BB69BF">
        <w:t>With</w:t>
      </w:r>
      <w:proofErr w:type="spellEnd"/>
      <w:r w:rsidRPr="00BB69BF">
        <w:t xml:space="preserve"> </w:t>
      </w:r>
      <w:proofErr w:type="spellStart"/>
      <w:r w:rsidRPr="00BB69BF">
        <w:t>Confidence</w:t>
      </w:r>
      <w:proofErr w:type="spellEnd"/>
      <w:r w:rsidRPr="00BB69BF">
        <w:t xml:space="preserve"> jsou ochranné známky nebo registrované ochranné známky</w:t>
      </w:r>
    </w:p>
    <w:p w:rsidR="004326A3" w:rsidRPr="00BB69BF" w:rsidRDefault="004326A3" w:rsidP="004326A3">
      <w:pPr>
        <w:spacing w:after="0"/>
      </w:pPr>
      <w:r w:rsidRPr="00BB69BF">
        <w:t xml:space="preserve">společnosti IDEXX </w:t>
      </w:r>
      <w:proofErr w:type="spellStart"/>
      <w:r w:rsidRPr="00BB69BF">
        <w:t>Laboratories</w:t>
      </w:r>
      <w:proofErr w:type="spellEnd"/>
      <w:r w:rsidRPr="00BB69BF">
        <w:t>, Inc. nebo jejích přidružených společností ve Spojených státech amerických a/nebo v jiných zemích.</w:t>
      </w:r>
    </w:p>
    <w:p w:rsidR="004326A3" w:rsidRPr="00BB69BF" w:rsidRDefault="004326A3" w:rsidP="004326A3">
      <w:pPr>
        <w:spacing w:after="0"/>
      </w:pPr>
    </w:p>
    <w:p w:rsidR="004326A3" w:rsidRPr="00BB69BF" w:rsidRDefault="004326A3" w:rsidP="004326A3">
      <w:pPr>
        <w:spacing w:after="0"/>
      </w:pPr>
      <w:r w:rsidRPr="00BB69BF">
        <w:t xml:space="preserve">©2019 IDEXX </w:t>
      </w:r>
      <w:proofErr w:type="spellStart"/>
      <w:r w:rsidRPr="00BB69BF">
        <w:t>Laboratories</w:t>
      </w:r>
      <w:proofErr w:type="spellEnd"/>
      <w:r w:rsidRPr="00BB69BF">
        <w:t xml:space="preserve">, Inc. </w:t>
      </w:r>
      <w:proofErr w:type="spellStart"/>
      <w:r w:rsidRPr="00BB69BF">
        <w:t>All</w:t>
      </w:r>
      <w:proofErr w:type="spellEnd"/>
      <w:r w:rsidRPr="00BB69BF">
        <w:t xml:space="preserve"> </w:t>
      </w:r>
      <w:proofErr w:type="spellStart"/>
      <w:r w:rsidRPr="00BB69BF">
        <w:t>rights</w:t>
      </w:r>
      <w:proofErr w:type="spellEnd"/>
      <w:r w:rsidRPr="00BB69BF">
        <w:t xml:space="preserve"> </w:t>
      </w:r>
      <w:proofErr w:type="spellStart"/>
      <w:r w:rsidRPr="00BB69BF">
        <w:t>reserved</w:t>
      </w:r>
      <w:proofErr w:type="spellEnd"/>
      <w:r w:rsidRPr="00BB69BF">
        <w:t>. (Veškerá práva vyhrazena.</w:t>
      </w:r>
    </w:p>
    <w:p w:rsidR="004326A3" w:rsidRPr="00BB69BF" w:rsidRDefault="004326A3" w:rsidP="00B17986">
      <w:pPr>
        <w:spacing w:after="0"/>
      </w:pPr>
    </w:p>
    <w:p w:rsidR="004326A3" w:rsidRPr="00BB69BF" w:rsidRDefault="004326A3" w:rsidP="00B17986">
      <w:pPr>
        <w:spacing w:after="0"/>
      </w:pPr>
    </w:p>
    <w:p w:rsidR="00B17986" w:rsidRPr="00BB69BF" w:rsidRDefault="004326A3" w:rsidP="004326A3">
      <w:pPr>
        <w:jc w:val="center"/>
        <w:rPr>
          <w:b/>
        </w:rPr>
      </w:pPr>
      <w:r w:rsidRPr="00BB69BF">
        <w:rPr>
          <w:b/>
        </w:rPr>
        <w:t>VAROVÁNÍ</w:t>
      </w:r>
    </w:p>
    <w:p w:rsidR="00B17986" w:rsidRPr="00BB69BF" w:rsidRDefault="004326A3" w:rsidP="00B17986">
      <w:r w:rsidRPr="00BB69BF">
        <w:rPr>
          <w:noProof/>
          <w:lang w:eastAsia="cs-CZ"/>
        </w:rPr>
        <w:drawing>
          <wp:inline distT="0" distB="0" distL="0" distR="0">
            <wp:extent cx="5756275" cy="2800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986" w:rsidRPr="00BB69BF">
        <w:br/>
      </w:r>
      <w:r w:rsidR="00B17986" w:rsidRPr="00BB69BF">
        <w:rPr>
          <w:b/>
        </w:rPr>
        <w:t>Pozitivní kontrola/Negativní kontrola</w:t>
      </w:r>
      <w:r w:rsidR="00B17986" w:rsidRPr="00BB69BF">
        <w:t xml:space="preserve"> – </w:t>
      </w:r>
      <w:r w:rsidRPr="00BB69BF">
        <w:t>Může vyvolat alergickou kožní reakci. Používejte ochranné rukavice. PŘI STYKU S KŮŽÍ: Omyjte velkým množstvím vody s mýdlem. Při podráždění kůže nebo vyrážce: Vyhledejte lékařskou pomoc/ošetření.</w:t>
      </w:r>
    </w:p>
    <w:p w:rsidR="00B17986" w:rsidRPr="00BB69BF" w:rsidRDefault="004326A3" w:rsidP="00B17986">
      <w:r w:rsidRPr="00BB69BF">
        <w:rPr>
          <w:noProof/>
          <w:lang w:eastAsia="cs-CZ"/>
        </w:rPr>
        <w:drawing>
          <wp:inline distT="0" distB="0" distL="0" distR="0">
            <wp:extent cx="5761355" cy="25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b/>
        </w:rPr>
        <w:t xml:space="preserve">Koncentrovaný konjugát / </w:t>
      </w:r>
      <w:r w:rsidR="00B17986" w:rsidRPr="00BB69BF">
        <w:rPr>
          <w:b/>
        </w:rPr>
        <w:t>Ředicí pufr č. 2</w:t>
      </w:r>
      <w:r w:rsidR="00B17986" w:rsidRPr="00BB69BF">
        <w:t xml:space="preserve"> – </w:t>
      </w:r>
      <w:r w:rsidRPr="00BB69BF">
        <w:t>Může vyvolat alergickou kožní reakci. Škodlivý pro vodní organizmy, s dlouhodobými účinky. Používejte ochranné rukavice. PŘI STYKU S KŮŽÍ: Omyjte velkým množstvím vody s mýdlem. Při podráždění kůže nebo vyrážce: Vyhledejte lékařskou pomoc/ošetření.</w:t>
      </w:r>
    </w:p>
    <w:p w:rsidR="00B17986" w:rsidRPr="00BB69BF" w:rsidRDefault="004326A3" w:rsidP="00334774">
      <w:r w:rsidRPr="00BB69BF">
        <w:rPr>
          <w:noProof/>
          <w:lang w:eastAsia="cs-CZ"/>
        </w:rPr>
        <w:lastRenderedPageBreak/>
        <w:drawing>
          <wp:inline distT="0" distB="0" distL="0" distR="0">
            <wp:extent cx="5756275" cy="4756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74" w:rsidRPr="00BB69BF" w:rsidRDefault="00B17986" w:rsidP="00334774">
      <w:pPr>
        <w:rPr>
          <w:sz w:val="24"/>
        </w:rPr>
      </w:pPr>
      <w:r w:rsidRPr="00BB69BF">
        <w:rPr>
          <w:b/>
        </w:rPr>
        <w:t>Zastavovací roztok</w:t>
      </w:r>
      <w:r w:rsidR="00334774" w:rsidRPr="00BB69BF">
        <w:rPr>
          <w:b/>
        </w:rPr>
        <w:t xml:space="preserve"> </w:t>
      </w:r>
      <w:r w:rsidRPr="00BB69BF">
        <w:t xml:space="preserve">- </w:t>
      </w:r>
      <w:r w:rsidR="00334774" w:rsidRPr="00BB69BF">
        <w:t>Způsobuje těžké poleptání kůže a poškození očí. Může vyvolat alergickou kožní reakci. Způsobuje vážné poškození očí. Škodlivý pro vodní organizmy, s dlouhodobými účinky. Používejte ochranné rukavice / ochranný oděv / ochranné brýle / obličejový štít. PŘI POŽITÍ: Vypláchněte ústa. NEVYVOLÁVEJTE zvracení. PŘI STYKU S KŮŽÍ (nebo s vlasy): Veškeré kontaminované části oděvu okamžitě svlékněte. Opláchněte kůži vodou. PŘI VDECHNUTÍ: Přeneste osobu na čerstvý vzduch a ponechte ji v poloze usnadňující dýchání. PŘI ZASAŽENÍ OČÍ: Několik minut opatrně vyplachujte vodou. Vyjměte kontaktní čočky, jsou-li nasazeny a pokud je lze vyjmout snadno. Pokračujte ve vyplachování.</w:t>
      </w:r>
    </w:p>
    <w:p w:rsidR="00B17986" w:rsidRPr="00BB69BF" w:rsidRDefault="00B17986" w:rsidP="00B17986"/>
    <w:p w:rsidR="00334774" w:rsidRPr="00BB69BF" w:rsidRDefault="00334774" w:rsidP="00334774">
      <w:pPr>
        <w:rPr>
          <w:rFonts w:cs="TTE1965D00t00"/>
          <w:b/>
          <w:noProof/>
          <w:color w:val="000000"/>
        </w:rPr>
      </w:pPr>
      <w:r w:rsidRPr="00BB69BF">
        <w:rPr>
          <w:rFonts w:cs="TTE1965D00t00"/>
          <w:b/>
          <w:noProof/>
          <w:color w:val="000000"/>
        </w:rPr>
        <w:t>Popis symbolů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52600E33" wp14:editId="4A0DA00E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Kód šarže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07C217A6" wp14:editId="3C11F79F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Sériové číslo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18557112" wp14:editId="20DF7F01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Katalogové číslo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39181D6F" wp14:editId="6D2DFD85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Diagnostika in vitro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1863BB20" wp14:editId="450E6C01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Autorizovaný zástupce v Evropském společenství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555230BD" wp14:editId="4D249C59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Pozitivní kontrolní vzorek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108EEC6F" wp14:editId="56111997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Negativní kontrolní vzorek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690FA9B1" wp14:editId="18EDE476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Použijte do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796251B0" wp14:editId="4BE4D070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Datum výroby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241D2A23" wp14:editId="0DE64534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Výrobce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55F9901D" wp14:editId="621A9986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Teplotní omezení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B69BF">
        <w:rPr>
          <w:rFonts w:cs="TTE1965D00t00"/>
          <w:noProof/>
          <w:color w:val="000000"/>
          <w:lang w:eastAsia="cs-CZ"/>
        </w:rPr>
        <w:drawing>
          <wp:inline distT="0" distB="0" distL="0" distR="0" wp14:anchorId="3180A696" wp14:editId="2F839A77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TTE1965D00t00"/>
          <w:noProof/>
          <w:color w:val="000000"/>
        </w:rPr>
        <w:tab/>
        <w:t>Čtěte návod na použití</w:t>
      </w:r>
    </w:p>
    <w:p w:rsidR="00334774" w:rsidRPr="00BB69BF" w:rsidRDefault="00334774" w:rsidP="0033477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34774" w:rsidRPr="00BB69BF" w:rsidRDefault="00334774" w:rsidP="00334774">
      <w:pPr>
        <w:spacing w:after="0"/>
        <w:rPr>
          <w:i/>
        </w:rPr>
      </w:pPr>
      <w:r w:rsidRPr="00BB69BF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66C99621" wp14:editId="5E915417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9BF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B69BF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B69BF">
        <w:rPr>
          <w:rFonts w:cs="Swiss721BT-Bold"/>
          <w:bCs/>
          <w:noProof/>
          <w:color w:val="000000"/>
          <w:sz w:val="24"/>
          <w:szCs w:val="24"/>
        </w:rPr>
        <w:tab/>
      </w:r>
      <w:r w:rsidRPr="00BB69BF">
        <w:rPr>
          <w:rFonts w:cs="Swiss721BT-Bold"/>
          <w:bCs/>
          <w:noProof/>
          <w:color w:val="000000"/>
          <w:sz w:val="24"/>
          <w:szCs w:val="24"/>
        </w:rPr>
        <w:tab/>
      </w:r>
      <w:r w:rsidRPr="00BB69BF">
        <w:rPr>
          <w:rFonts w:cs="Swiss721BT-Bold"/>
          <w:bCs/>
          <w:noProof/>
          <w:color w:val="000000"/>
          <w:sz w:val="24"/>
          <w:szCs w:val="24"/>
        </w:rPr>
        <w:tab/>
      </w:r>
      <w:r w:rsidRPr="00BB69BF">
        <w:rPr>
          <w:rFonts w:cs="Swiss721BT-Bold"/>
          <w:bCs/>
          <w:noProof/>
          <w:color w:val="000000"/>
        </w:rPr>
        <w:t>Větší změna v návodu na použití</w:t>
      </w:r>
    </w:p>
    <w:p w:rsidR="00334774" w:rsidRPr="00BB69BF" w:rsidRDefault="00334774" w:rsidP="00334774">
      <w:pPr>
        <w:spacing w:after="0"/>
        <w:jc w:val="right"/>
        <w:rPr>
          <w:i/>
        </w:rPr>
      </w:pPr>
    </w:p>
    <w:p w:rsidR="00334774" w:rsidRPr="00BB69BF" w:rsidRDefault="00334774" w:rsidP="00334774">
      <w:pPr>
        <w:spacing w:after="0"/>
        <w:jc w:val="right"/>
      </w:pPr>
      <w:r w:rsidRPr="00BB69BF">
        <w:t xml:space="preserve">IDEXX </w:t>
      </w:r>
      <w:proofErr w:type="spellStart"/>
      <w:r w:rsidRPr="00BB69BF">
        <w:t>Laboratories</w:t>
      </w:r>
      <w:proofErr w:type="spellEnd"/>
      <w:r w:rsidRPr="00BB69BF">
        <w:t>, Inc.</w:t>
      </w:r>
    </w:p>
    <w:p w:rsidR="00334774" w:rsidRPr="00BB69BF" w:rsidRDefault="00334774" w:rsidP="00334774">
      <w:pPr>
        <w:spacing w:after="0"/>
        <w:jc w:val="right"/>
      </w:pPr>
      <w:proofErr w:type="spellStart"/>
      <w:r w:rsidRPr="00BB69BF">
        <w:t>One</w:t>
      </w:r>
      <w:proofErr w:type="spellEnd"/>
      <w:r w:rsidRPr="00BB69BF">
        <w:t xml:space="preserve"> IDEXX Drive</w:t>
      </w:r>
    </w:p>
    <w:p w:rsidR="00334774" w:rsidRPr="00BB69BF" w:rsidRDefault="00334774" w:rsidP="00334774">
      <w:pPr>
        <w:spacing w:after="0"/>
        <w:jc w:val="right"/>
      </w:pPr>
      <w:proofErr w:type="spellStart"/>
      <w:r w:rsidRPr="00BB69BF">
        <w:t>Westbrook</w:t>
      </w:r>
      <w:proofErr w:type="spellEnd"/>
      <w:r w:rsidRPr="00BB69BF">
        <w:t>, Maine 04092</w:t>
      </w:r>
    </w:p>
    <w:p w:rsidR="00334774" w:rsidRDefault="00334774" w:rsidP="00334774">
      <w:pPr>
        <w:spacing w:after="0"/>
        <w:jc w:val="right"/>
      </w:pPr>
      <w:r w:rsidRPr="00BB69BF">
        <w:t>USA</w:t>
      </w:r>
    </w:p>
    <w:p w:rsidR="00EE78EC" w:rsidRPr="00BB69BF" w:rsidRDefault="00EE78EC" w:rsidP="00334774">
      <w:pPr>
        <w:spacing w:after="0"/>
        <w:jc w:val="right"/>
      </w:pPr>
    </w:p>
    <w:p w:rsidR="00334774" w:rsidRPr="00BB69BF" w:rsidRDefault="00334774" w:rsidP="00334774">
      <w:pPr>
        <w:spacing w:after="0"/>
        <w:jc w:val="right"/>
        <w:rPr>
          <w:i/>
        </w:rPr>
      </w:pPr>
      <w:r w:rsidRPr="00BB69BF">
        <w:rPr>
          <w:i/>
        </w:rPr>
        <w:t>Výrobce</w:t>
      </w:r>
    </w:p>
    <w:p w:rsidR="00334774" w:rsidRPr="00BB69BF" w:rsidRDefault="00334774" w:rsidP="00334774">
      <w:pPr>
        <w:spacing w:after="0"/>
        <w:jc w:val="right"/>
      </w:pPr>
      <w:r w:rsidRPr="00BB69BF">
        <w:t xml:space="preserve">IDEXX </w:t>
      </w:r>
      <w:proofErr w:type="spellStart"/>
      <w:r w:rsidRPr="00BB69BF">
        <w:t>Montpellier</w:t>
      </w:r>
      <w:proofErr w:type="spellEnd"/>
      <w:r w:rsidRPr="00BB69BF">
        <w:t xml:space="preserve"> SAS</w:t>
      </w:r>
    </w:p>
    <w:p w:rsidR="00334774" w:rsidRPr="00BB69BF" w:rsidRDefault="00334774" w:rsidP="00334774">
      <w:pPr>
        <w:spacing w:after="0"/>
        <w:jc w:val="right"/>
      </w:pPr>
      <w:r w:rsidRPr="00BB69BF">
        <w:t xml:space="preserve">326 </w:t>
      </w:r>
      <w:proofErr w:type="spellStart"/>
      <w:r w:rsidRPr="00BB69BF">
        <w:t>rue</w:t>
      </w:r>
      <w:proofErr w:type="spellEnd"/>
      <w:r w:rsidRPr="00BB69BF">
        <w:t xml:space="preserve"> de la Galéra</w:t>
      </w:r>
    </w:p>
    <w:p w:rsidR="00334774" w:rsidRPr="00BB69BF" w:rsidRDefault="00334774" w:rsidP="00334774">
      <w:pPr>
        <w:spacing w:after="0"/>
        <w:jc w:val="right"/>
      </w:pPr>
      <w:r w:rsidRPr="00BB69BF">
        <w:t xml:space="preserve">34090 </w:t>
      </w:r>
      <w:proofErr w:type="spellStart"/>
      <w:r w:rsidRPr="00BB69BF">
        <w:t>Montpellier</w:t>
      </w:r>
      <w:proofErr w:type="spellEnd"/>
    </w:p>
    <w:p w:rsidR="00334774" w:rsidRPr="00BB69BF" w:rsidRDefault="00334774" w:rsidP="00334774">
      <w:pPr>
        <w:spacing w:after="0"/>
        <w:jc w:val="right"/>
      </w:pPr>
      <w:r w:rsidRPr="00BB69BF">
        <w:t>Francie</w:t>
      </w:r>
    </w:p>
    <w:p w:rsidR="00334774" w:rsidRPr="00BB69BF" w:rsidRDefault="00334774" w:rsidP="00334774">
      <w:pPr>
        <w:spacing w:after="0"/>
        <w:jc w:val="right"/>
      </w:pPr>
    </w:p>
    <w:p w:rsidR="00334774" w:rsidRPr="00BB69BF" w:rsidRDefault="00334774" w:rsidP="00334774">
      <w:pPr>
        <w:spacing w:after="0"/>
        <w:jc w:val="right"/>
        <w:rPr>
          <w:i/>
        </w:rPr>
      </w:pPr>
      <w:r w:rsidRPr="00BB69BF">
        <w:rPr>
          <w:i/>
        </w:rPr>
        <w:t>Zástupce pro EU</w:t>
      </w:r>
    </w:p>
    <w:p w:rsidR="00334774" w:rsidRPr="00BB69BF" w:rsidRDefault="00334774" w:rsidP="00334774">
      <w:pPr>
        <w:spacing w:after="0"/>
        <w:jc w:val="right"/>
      </w:pPr>
      <w:r w:rsidRPr="00BB69BF">
        <w:t xml:space="preserve">IDEXX </w:t>
      </w:r>
      <w:proofErr w:type="spellStart"/>
      <w:r w:rsidRPr="00BB69BF">
        <w:t>Europe</w:t>
      </w:r>
      <w:proofErr w:type="spellEnd"/>
      <w:r w:rsidRPr="00BB69BF">
        <w:t xml:space="preserve"> B.V.</w:t>
      </w:r>
    </w:p>
    <w:p w:rsidR="00334774" w:rsidRPr="00BB69BF" w:rsidRDefault="00334774" w:rsidP="00334774">
      <w:pPr>
        <w:spacing w:after="0"/>
        <w:jc w:val="right"/>
      </w:pPr>
      <w:r w:rsidRPr="00BB69BF">
        <w:t>P.O. Box 1334</w:t>
      </w:r>
    </w:p>
    <w:p w:rsidR="00334774" w:rsidRPr="00BB69BF" w:rsidRDefault="00334774" w:rsidP="00334774">
      <w:pPr>
        <w:spacing w:after="0"/>
        <w:jc w:val="right"/>
      </w:pPr>
      <w:r w:rsidRPr="00BB69BF">
        <w:t xml:space="preserve">2130 EK </w:t>
      </w:r>
      <w:proofErr w:type="spellStart"/>
      <w:r w:rsidRPr="00BB69BF">
        <w:t>Hoofddorp</w:t>
      </w:r>
      <w:proofErr w:type="spellEnd"/>
    </w:p>
    <w:p w:rsidR="00334774" w:rsidRPr="00BB69BF" w:rsidRDefault="00334774" w:rsidP="00334774">
      <w:pPr>
        <w:spacing w:after="0"/>
        <w:jc w:val="right"/>
      </w:pPr>
      <w:r w:rsidRPr="00BB69BF">
        <w:t>Nizozemsko</w:t>
      </w:r>
    </w:p>
    <w:p w:rsidR="00334774" w:rsidRPr="00BB69BF" w:rsidRDefault="00334774" w:rsidP="00334774">
      <w:pPr>
        <w:jc w:val="right"/>
      </w:pPr>
      <w:r w:rsidRPr="00BB69BF">
        <w:t>idexx.com</w:t>
      </w:r>
    </w:p>
    <w:p w:rsidR="00B47157" w:rsidRPr="00BB69BF" w:rsidRDefault="00B47157"/>
    <w:sectPr w:rsidR="00B47157" w:rsidRPr="00BB69B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54" w:rsidRDefault="00F84D54" w:rsidP="0012665A">
      <w:pPr>
        <w:spacing w:after="0" w:line="240" w:lineRule="auto"/>
      </w:pPr>
      <w:r>
        <w:separator/>
      </w:r>
    </w:p>
  </w:endnote>
  <w:endnote w:type="continuationSeparator" w:id="0">
    <w:p w:rsidR="00F84D54" w:rsidRDefault="00F84D54" w:rsidP="0012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3" w:rsidRDefault="00636C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3" w:rsidRDefault="00636C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3" w:rsidRDefault="00636C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54" w:rsidRDefault="00F84D54" w:rsidP="0012665A">
      <w:pPr>
        <w:spacing w:after="0" w:line="240" w:lineRule="auto"/>
      </w:pPr>
      <w:r>
        <w:separator/>
      </w:r>
    </w:p>
  </w:footnote>
  <w:footnote w:type="continuationSeparator" w:id="0">
    <w:p w:rsidR="00F84D54" w:rsidRDefault="00F84D54" w:rsidP="0012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3" w:rsidRDefault="00636C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5A" w:rsidRDefault="0012665A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804B8F02B0FC49C488A5FA6DC1B32224"/>
        </w:placeholder>
        <w:text/>
      </w:sdtPr>
      <w:sdtEndPr/>
      <w:sdtContent>
        <w:r>
          <w:rPr>
            <w:bCs/>
          </w:rPr>
          <w:t>USKVBL/9345/2022/POD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804B8F02B0FC49C488A5FA6DC1B32224"/>
        </w:placeholder>
        <w:text/>
      </w:sdtPr>
      <w:sdtContent>
        <w:r w:rsidR="00636C23" w:rsidRPr="00636C23">
          <w:rPr>
            <w:rFonts w:eastAsia="Times New Roman"/>
            <w:lang w:eastAsia="cs-CZ"/>
          </w:rPr>
          <w:t>USKVBL/13243/2022/REG-</w:t>
        </w:r>
        <w:proofErr w:type="spellStart"/>
        <w:r w:rsidR="00636C23" w:rsidRPr="00636C23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9C9EFD603B23497F842B4878CFBFBE0B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6C23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744A6DAF4E9D485EB55EF438266509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EBD775BA746E48F2AD5C260E0B9D0F8C"/>
        </w:placeholder>
        <w:text/>
      </w:sdtPr>
      <w:sdtEndPr/>
      <w:sdtContent>
        <w:r>
          <w:t>IDEXX PI-3</w:t>
        </w:r>
      </w:sdtContent>
    </w:sdt>
  </w:p>
  <w:p w:rsidR="0012665A" w:rsidRDefault="0012665A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23" w:rsidRDefault="00636C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71"/>
    <w:rsid w:val="00036783"/>
    <w:rsid w:val="0012665A"/>
    <w:rsid w:val="00133E1C"/>
    <w:rsid w:val="00136D4B"/>
    <w:rsid w:val="0017578D"/>
    <w:rsid w:val="001E5E26"/>
    <w:rsid w:val="001F3300"/>
    <w:rsid w:val="00303999"/>
    <w:rsid w:val="00334774"/>
    <w:rsid w:val="0033609F"/>
    <w:rsid w:val="00383E71"/>
    <w:rsid w:val="0042508A"/>
    <w:rsid w:val="004326A3"/>
    <w:rsid w:val="004874AC"/>
    <w:rsid w:val="00494C4E"/>
    <w:rsid w:val="004E6724"/>
    <w:rsid w:val="0052597B"/>
    <w:rsid w:val="00636C23"/>
    <w:rsid w:val="00666A71"/>
    <w:rsid w:val="0069610B"/>
    <w:rsid w:val="006A6DA8"/>
    <w:rsid w:val="00754E37"/>
    <w:rsid w:val="00797E58"/>
    <w:rsid w:val="007A32BB"/>
    <w:rsid w:val="00811881"/>
    <w:rsid w:val="00840AD1"/>
    <w:rsid w:val="00862B22"/>
    <w:rsid w:val="008A0BE2"/>
    <w:rsid w:val="008E6B69"/>
    <w:rsid w:val="009320F2"/>
    <w:rsid w:val="009354E6"/>
    <w:rsid w:val="00973897"/>
    <w:rsid w:val="009B0207"/>
    <w:rsid w:val="009F6552"/>
    <w:rsid w:val="00A30BFD"/>
    <w:rsid w:val="00A95D06"/>
    <w:rsid w:val="00B17986"/>
    <w:rsid w:val="00B22ED9"/>
    <w:rsid w:val="00B47157"/>
    <w:rsid w:val="00B66331"/>
    <w:rsid w:val="00B72DE5"/>
    <w:rsid w:val="00BB69BF"/>
    <w:rsid w:val="00BF4DC2"/>
    <w:rsid w:val="00C00359"/>
    <w:rsid w:val="00D4227D"/>
    <w:rsid w:val="00E30576"/>
    <w:rsid w:val="00E715B9"/>
    <w:rsid w:val="00EA43F7"/>
    <w:rsid w:val="00EE78EC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0A7F-52C6-4738-9624-9BF867DB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157"/>
    <w:pPr>
      <w:spacing w:after="200" w:line="276" w:lineRule="auto"/>
      <w:ind w:left="720"/>
      <w:contextualSpacing/>
    </w:pPr>
  </w:style>
  <w:style w:type="paragraph" w:customStyle="1" w:styleId="Pa24">
    <w:name w:val="Pa24"/>
    <w:basedOn w:val="Normln"/>
    <w:next w:val="Normln"/>
    <w:uiPriority w:val="99"/>
    <w:rsid w:val="00133E1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133E1C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133E1C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133E1C"/>
    <w:rPr>
      <w:rFonts w:cs="Swiss 72 1 BT"/>
      <w:color w:val="000000"/>
      <w:sz w:val="17"/>
      <w:szCs w:val="17"/>
      <w:u w:val="single"/>
    </w:rPr>
  </w:style>
  <w:style w:type="character" w:customStyle="1" w:styleId="A12">
    <w:name w:val="A12"/>
    <w:uiPriority w:val="99"/>
    <w:rsid w:val="00133E1C"/>
    <w:rPr>
      <w:rFonts w:cs="Swiss 72 1 BT"/>
      <w:color w:val="000000"/>
      <w:sz w:val="10"/>
      <w:szCs w:val="10"/>
      <w:u w:val="single"/>
    </w:rPr>
  </w:style>
  <w:style w:type="paragraph" w:customStyle="1" w:styleId="Pa25">
    <w:name w:val="Pa25"/>
    <w:basedOn w:val="Normln"/>
    <w:next w:val="Normln"/>
    <w:uiPriority w:val="99"/>
    <w:rsid w:val="00133E1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3">
    <w:name w:val="A13"/>
    <w:uiPriority w:val="99"/>
    <w:rsid w:val="00133E1C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133E1C"/>
    <w:rPr>
      <w:rFonts w:cs="Swiss 72 1 BT"/>
      <w:color w:val="000000"/>
      <w:sz w:val="10"/>
      <w:szCs w:val="10"/>
    </w:rPr>
  </w:style>
  <w:style w:type="character" w:customStyle="1" w:styleId="A5">
    <w:name w:val="A5"/>
    <w:uiPriority w:val="99"/>
    <w:rsid w:val="00133E1C"/>
    <w:rPr>
      <w:rFonts w:cs="Swiss 72 1 BT"/>
      <w:color w:val="000000"/>
      <w:sz w:val="17"/>
      <w:szCs w:val="17"/>
    </w:rPr>
  </w:style>
  <w:style w:type="paragraph" w:customStyle="1" w:styleId="Pa26">
    <w:name w:val="Pa26"/>
    <w:basedOn w:val="Normln"/>
    <w:next w:val="Normln"/>
    <w:uiPriority w:val="99"/>
    <w:rsid w:val="00133E1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133E1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5">
    <w:name w:val="A15"/>
    <w:uiPriority w:val="99"/>
    <w:rsid w:val="00133E1C"/>
    <w:rPr>
      <w:rFonts w:cs="Swiss 72 1 BT"/>
      <w:strike/>
      <w:color w:val="000000"/>
      <w:sz w:val="17"/>
      <w:szCs w:val="17"/>
    </w:rPr>
  </w:style>
  <w:style w:type="character" w:customStyle="1" w:styleId="A16">
    <w:name w:val="A16"/>
    <w:uiPriority w:val="99"/>
    <w:rsid w:val="00133E1C"/>
    <w:rPr>
      <w:rFonts w:cs="Swiss 72 1 BT"/>
      <w:color w:val="000000"/>
      <w:sz w:val="10"/>
      <w:szCs w:val="10"/>
    </w:rPr>
  </w:style>
  <w:style w:type="paragraph" w:customStyle="1" w:styleId="Pa29">
    <w:name w:val="Pa29"/>
    <w:basedOn w:val="Normln"/>
    <w:next w:val="Normln"/>
    <w:uiPriority w:val="99"/>
    <w:rsid w:val="009354E6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1798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65A"/>
  </w:style>
  <w:style w:type="paragraph" w:styleId="Zpat">
    <w:name w:val="footer"/>
    <w:basedOn w:val="Normln"/>
    <w:link w:val="ZpatChar"/>
    <w:uiPriority w:val="99"/>
    <w:unhideWhenUsed/>
    <w:rsid w:val="0012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65A"/>
  </w:style>
  <w:style w:type="character" w:styleId="Zstupntext">
    <w:name w:val="Placeholder Text"/>
    <w:rsid w:val="00126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4B8F02B0FC49C488A5FA6DC1B32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EE1ED-70BA-4426-9C3A-E91B6F49F469}"/>
      </w:docPartPr>
      <w:docPartBody>
        <w:p w:rsidR="00853C31" w:rsidRDefault="00120DA9" w:rsidP="00120DA9">
          <w:pPr>
            <w:pStyle w:val="804B8F02B0FC49C488A5FA6DC1B3222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C9EFD603B23497F842B4878CFBFB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E0D2B-B3D6-45B7-915A-FD8B9D4A0979}"/>
      </w:docPartPr>
      <w:docPartBody>
        <w:p w:rsidR="00853C31" w:rsidRDefault="00120DA9" w:rsidP="00120DA9">
          <w:pPr>
            <w:pStyle w:val="9C9EFD603B23497F842B4878CFBFBE0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44A6DAF4E9D485EB55EF43826650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8476D-FD70-4437-B731-A30ECFBC407D}"/>
      </w:docPartPr>
      <w:docPartBody>
        <w:p w:rsidR="00853C31" w:rsidRDefault="00120DA9" w:rsidP="00120DA9">
          <w:pPr>
            <w:pStyle w:val="744A6DAF4E9D485EB55EF4382665094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BD775BA746E48F2AD5C260E0B9D0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9DB08-D55D-44F2-9F42-2057BC01F8D8}"/>
      </w:docPartPr>
      <w:docPartBody>
        <w:p w:rsidR="00853C31" w:rsidRDefault="00120DA9" w:rsidP="00120DA9">
          <w:pPr>
            <w:pStyle w:val="EBD775BA746E48F2AD5C260E0B9D0F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A9"/>
    <w:rsid w:val="00120DA9"/>
    <w:rsid w:val="00373315"/>
    <w:rsid w:val="007F1293"/>
    <w:rsid w:val="00853C31"/>
    <w:rsid w:val="00A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0DA9"/>
    <w:rPr>
      <w:color w:val="808080"/>
    </w:rPr>
  </w:style>
  <w:style w:type="paragraph" w:customStyle="1" w:styleId="804B8F02B0FC49C488A5FA6DC1B32224">
    <w:name w:val="804B8F02B0FC49C488A5FA6DC1B32224"/>
    <w:rsid w:val="00120DA9"/>
  </w:style>
  <w:style w:type="paragraph" w:customStyle="1" w:styleId="9C9EFD603B23497F842B4878CFBFBE0B">
    <w:name w:val="9C9EFD603B23497F842B4878CFBFBE0B"/>
    <w:rsid w:val="00120DA9"/>
  </w:style>
  <w:style w:type="paragraph" w:customStyle="1" w:styleId="744A6DAF4E9D485EB55EF4382665094A">
    <w:name w:val="744A6DAF4E9D485EB55EF4382665094A"/>
    <w:rsid w:val="00120DA9"/>
  </w:style>
  <w:style w:type="paragraph" w:customStyle="1" w:styleId="EBD775BA746E48F2AD5C260E0B9D0F8C">
    <w:name w:val="EBD775BA746E48F2AD5C260E0B9D0F8C"/>
    <w:rsid w:val="0012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8</cp:revision>
  <dcterms:created xsi:type="dcterms:W3CDTF">2022-10-07T13:59:00Z</dcterms:created>
  <dcterms:modified xsi:type="dcterms:W3CDTF">2022-10-24T10:47:00Z</dcterms:modified>
</cp:coreProperties>
</file>