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FF" w:rsidRPr="004718F4" w:rsidRDefault="00040FFF" w:rsidP="002817D7">
      <w:pPr>
        <w:spacing w:after="0"/>
      </w:pPr>
      <w:r w:rsidRPr="004718F4">
        <w:rPr>
          <w:b/>
        </w:rPr>
        <w:t>IDEXX IBR</w:t>
      </w:r>
      <w:r w:rsidR="002F1C4F">
        <w:rPr>
          <w:b/>
        </w:rPr>
        <w:t xml:space="preserve"> </w:t>
      </w:r>
      <w:proofErr w:type="spellStart"/>
      <w:r w:rsidRPr="004718F4">
        <w:rPr>
          <w:b/>
        </w:rPr>
        <w:t>gE</w:t>
      </w:r>
      <w:proofErr w:type="spellEnd"/>
      <w:r w:rsidR="002F1C4F">
        <w:rPr>
          <w:b/>
        </w:rPr>
        <w:t xml:space="preserve"> Ab</w:t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rPr>
          <w:b/>
        </w:rPr>
        <w:tab/>
      </w:r>
      <w:r w:rsidR="002817D7" w:rsidRPr="004718F4">
        <w:t>česká verze</w:t>
      </w:r>
    </w:p>
    <w:p w:rsidR="00040FFF" w:rsidRPr="004718F4" w:rsidRDefault="00040FFF" w:rsidP="00040FFF">
      <w:pPr>
        <w:spacing w:after="0"/>
        <w:jc w:val="center"/>
        <w:rPr>
          <w:u w:val="single"/>
        </w:rPr>
      </w:pPr>
    </w:p>
    <w:p w:rsidR="00384EC1" w:rsidRPr="004718F4" w:rsidRDefault="00782DE7" w:rsidP="002817D7">
      <w:pPr>
        <w:jc w:val="right"/>
        <w:rPr>
          <w:b/>
        </w:rPr>
      </w:pPr>
      <w:bookmarkStart w:id="0" w:name="_Hlk113435328"/>
      <w:r w:rsidRPr="004718F4">
        <w:rPr>
          <w:b/>
        </w:rPr>
        <w:t>Testovací s</w:t>
      </w:r>
      <w:r w:rsidR="008F1A6D" w:rsidRPr="004718F4">
        <w:rPr>
          <w:b/>
        </w:rPr>
        <w:t>ada</w:t>
      </w:r>
      <w:r w:rsidRPr="004718F4">
        <w:rPr>
          <w:b/>
        </w:rPr>
        <w:t xml:space="preserve"> k prokázání protilátek proti viru infekční bovinní </w:t>
      </w:r>
      <w:proofErr w:type="spellStart"/>
      <w:r w:rsidRPr="004718F4">
        <w:rPr>
          <w:b/>
        </w:rPr>
        <w:t>rinotracheitidy</w:t>
      </w:r>
      <w:proofErr w:type="spellEnd"/>
      <w:r w:rsidRPr="004718F4">
        <w:rPr>
          <w:b/>
        </w:rPr>
        <w:t xml:space="preserve"> (BHV-1)</w:t>
      </w:r>
    </w:p>
    <w:bookmarkEnd w:id="0"/>
    <w:p w:rsidR="00782DE7" w:rsidRPr="004718F4" w:rsidRDefault="00782DE7" w:rsidP="002817D7">
      <w:pPr>
        <w:jc w:val="right"/>
        <w:rPr>
          <w:b/>
        </w:rPr>
      </w:pPr>
      <w:r w:rsidRPr="004718F4">
        <w:rPr>
          <w:b/>
        </w:rPr>
        <w:t>Pouze k veterinárnímu užití.</w:t>
      </w:r>
    </w:p>
    <w:p w:rsidR="00782DE7" w:rsidRPr="004718F4" w:rsidRDefault="00782DE7">
      <w:pPr>
        <w:rPr>
          <w:b/>
        </w:rPr>
      </w:pPr>
      <w:r w:rsidRPr="004718F4">
        <w:rPr>
          <w:b/>
        </w:rPr>
        <w:t>Název a zamýšlené užití</w:t>
      </w:r>
    </w:p>
    <w:p w:rsidR="00782DE7" w:rsidRPr="004718F4" w:rsidRDefault="00782DE7">
      <w:proofErr w:type="spellStart"/>
      <w:r w:rsidRPr="004718F4">
        <w:t>Idexx</w:t>
      </w:r>
      <w:proofErr w:type="spellEnd"/>
      <w:r w:rsidRPr="004718F4">
        <w:t xml:space="preserve"> IBR </w:t>
      </w:r>
      <w:proofErr w:type="spellStart"/>
      <w:r w:rsidRPr="004718F4">
        <w:t>gE</w:t>
      </w:r>
      <w:proofErr w:type="spellEnd"/>
      <w:r w:rsidRPr="004718F4">
        <w:t xml:space="preserve"> je enzymatický imun</w:t>
      </w:r>
      <w:r w:rsidR="000D2CBE" w:rsidRPr="004718F4">
        <w:t>ologický test sloužící k</w:t>
      </w:r>
      <w:r w:rsidRPr="004718F4">
        <w:t xml:space="preserve"> detekci protilátek</w:t>
      </w:r>
      <w:r w:rsidR="000D2CBE" w:rsidRPr="004718F4">
        <w:t xml:space="preserve"> proti </w:t>
      </w:r>
      <w:proofErr w:type="spellStart"/>
      <w:r w:rsidR="000D2CBE" w:rsidRPr="004718F4">
        <w:t>gE</w:t>
      </w:r>
      <w:proofErr w:type="spellEnd"/>
      <w:r w:rsidR="000D2CBE" w:rsidRPr="004718F4">
        <w:t xml:space="preserve"> antigenu bovinního </w:t>
      </w:r>
      <w:proofErr w:type="spellStart"/>
      <w:r w:rsidR="000D2CBE" w:rsidRPr="004718F4">
        <w:t>herpesviru</w:t>
      </w:r>
      <w:proofErr w:type="spellEnd"/>
      <w:r w:rsidR="000D2CBE" w:rsidRPr="004718F4">
        <w:t xml:space="preserve"> typu 1 (BHV-1)</w:t>
      </w:r>
      <w:r w:rsidR="00E032EA" w:rsidRPr="004718F4">
        <w:t xml:space="preserve"> </w:t>
      </w:r>
      <w:r w:rsidRPr="004718F4">
        <w:t>v individuálních vzorcích bovinn</w:t>
      </w:r>
      <w:r w:rsidR="000D2CBE" w:rsidRPr="004718F4">
        <w:t>í</w:t>
      </w:r>
      <w:r w:rsidRPr="004718F4">
        <w:t xml:space="preserve">ho séra a plasmy a </w:t>
      </w:r>
      <w:r w:rsidR="000D2CBE" w:rsidRPr="004718F4">
        <w:t xml:space="preserve">v individuálních, hromadných a koncentrovaných hromadných vzorcích mléka.  Přítomnost protilátek proti </w:t>
      </w:r>
      <w:proofErr w:type="spellStart"/>
      <w:r w:rsidR="000D2CBE" w:rsidRPr="004718F4">
        <w:t>gE</w:t>
      </w:r>
      <w:proofErr w:type="spellEnd"/>
      <w:r w:rsidR="000D2CBE" w:rsidRPr="004718F4">
        <w:t xml:space="preserve"> indikuje vystavení terénním kmenům BHV-1 a/nebo vakcínám obsahujícím antigen </w:t>
      </w:r>
      <w:proofErr w:type="spellStart"/>
      <w:r w:rsidR="000D2CBE" w:rsidRPr="004718F4">
        <w:t>gE</w:t>
      </w:r>
      <w:proofErr w:type="spellEnd"/>
      <w:r w:rsidR="000D2CBE" w:rsidRPr="004718F4">
        <w:t xml:space="preserve">. Test je určen pro využití při managementu a </w:t>
      </w:r>
      <w:r w:rsidR="00E032EA" w:rsidRPr="004718F4">
        <w:t xml:space="preserve">programech kontroly a vymýcení </w:t>
      </w:r>
      <w:r w:rsidR="000D2CBE" w:rsidRPr="004718F4">
        <w:t xml:space="preserve">bovinního </w:t>
      </w:r>
      <w:proofErr w:type="spellStart"/>
      <w:r w:rsidR="000D2CBE" w:rsidRPr="004718F4">
        <w:t>herpesviru</w:t>
      </w:r>
      <w:proofErr w:type="spellEnd"/>
      <w:r w:rsidR="000D2CBE" w:rsidRPr="004718F4">
        <w:t xml:space="preserve"> BHV-1. Používá-li se současně s vakcínami neobsahujícími </w:t>
      </w:r>
      <w:proofErr w:type="spellStart"/>
      <w:r w:rsidR="000D2CBE" w:rsidRPr="004718F4">
        <w:t>gE</w:t>
      </w:r>
      <w:proofErr w:type="spellEnd"/>
      <w:r w:rsidR="000D2CBE" w:rsidRPr="004718F4">
        <w:t>, lze ho využít jako efektivní rozlišovací test pro odlišení přirozeně infikovaných zvířat od vakcinovaných.</w:t>
      </w:r>
    </w:p>
    <w:p w:rsidR="000D2CBE" w:rsidRPr="004718F4" w:rsidRDefault="000D2CBE">
      <w:r w:rsidRPr="004718F4">
        <w:rPr>
          <w:b/>
        </w:rPr>
        <w:t>Obecné informace</w:t>
      </w:r>
      <w:r w:rsidRPr="004718F4">
        <w:rPr>
          <w:b/>
        </w:rPr>
        <w:br/>
      </w:r>
      <w:r w:rsidR="00B573C4" w:rsidRPr="004718F4">
        <w:t>Tradiční prostředky na ochranu dobytka před účinky infekcí BHV-1 zahrnují podávání konvenčních vakcín. Standardní sérologické procedury užívané ke stanovení expozice BHV-1 po vakcinaci mají pouze omezenou výpovědní hodnotu, neboť nedokážou rozlišovat mezi přirozeně infikovanými a vakcinovanými zvířaty.  Byly však vyvinuty vakcíny, které umožňují jasné sérologické rozlišení</w:t>
      </w:r>
      <w:r w:rsidR="00B573C4" w:rsidRPr="004718F4">
        <w:rPr>
          <w:vertAlign w:val="superscript"/>
        </w:rPr>
        <w:t>1</w:t>
      </w:r>
      <w:r w:rsidR="00B573C4" w:rsidRPr="004718F4">
        <w:t xml:space="preserve">. Tyto vakcíny neobsahují virový protein </w:t>
      </w:r>
      <w:proofErr w:type="spellStart"/>
      <w:r w:rsidR="00B573C4" w:rsidRPr="004718F4">
        <w:t>gE</w:t>
      </w:r>
      <w:proofErr w:type="spellEnd"/>
      <w:r w:rsidR="00B573C4" w:rsidRPr="004718F4">
        <w:t xml:space="preserve">. </w:t>
      </w:r>
      <w:proofErr w:type="spellStart"/>
      <w:r w:rsidR="00B573C4" w:rsidRPr="004718F4">
        <w:t>gE</w:t>
      </w:r>
      <w:proofErr w:type="spellEnd"/>
      <w:r w:rsidR="00B573C4" w:rsidRPr="004718F4">
        <w:t xml:space="preserve"> je virový glykoprotein nepodstatný pro ochranu před infekcí, ale přítomný u všech známých virulentních terénních kmenů BHV-1.  Jelikož te</w:t>
      </w:r>
      <w:r w:rsidR="00D77F25" w:rsidRPr="004718F4">
        <w:t>s</w:t>
      </w:r>
      <w:r w:rsidR="00B573C4" w:rsidRPr="004718F4">
        <w:t xml:space="preserve">t IDEXX IBR </w:t>
      </w:r>
      <w:proofErr w:type="spellStart"/>
      <w:r w:rsidR="00B573C4" w:rsidRPr="004718F4">
        <w:t>gE</w:t>
      </w:r>
      <w:proofErr w:type="spellEnd"/>
      <w:r w:rsidR="00B573C4" w:rsidRPr="004718F4">
        <w:t xml:space="preserve"> specificky detekuje protilátky proti </w:t>
      </w:r>
      <w:proofErr w:type="spellStart"/>
      <w:r w:rsidR="00B573C4" w:rsidRPr="004718F4">
        <w:t>gE</w:t>
      </w:r>
      <w:proofErr w:type="spellEnd"/>
      <w:r w:rsidR="00B573C4" w:rsidRPr="004718F4">
        <w:t xml:space="preserve">, nereaguje na protilátky zvířat vakcinovaných </w:t>
      </w:r>
      <w:proofErr w:type="spellStart"/>
      <w:r w:rsidR="00B573C4" w:rsidRPr="004718F4">
        <w:t>gE</w:t>
      </w:r>
      <w:proofErr w:type="spellEnd"/>
      <w:r w:rsidR="00B573C4" w:rsidRPr="004718F4">
        <w:t xml:space="preserve"> negativními vakcínami, identifikuje však zvířata, která byla přirozeně infikována nebo vakcinována konvenčními vakcínami. </w:t>
      </w:r>
      <w:r w:rsidR="00CC1533" w:rsidRPr="004718F4">
        <w:t xml:space="preserve">Ještě před očkováním </w:t>
      </w:r>
      <w:proofErr w:type="spellStart"/>
      <w:r w:rsidR="00CC1533" w:rsidRPr="004718F4">
        <w:t>gE</w:t>
      </w:r>
      <w:proofErr w:type="spellEnd"/>
      <w:r w:rsidR="00CC1533" w:rsidRPr="004718F4">
        <w:t xml:space="preserve">-negativní vakcínou by měl být imunitní status zvířete ověřen použitím testu IDEXX </w:t>
      </w:r>
      <w:proofErr w:type="spellStart"/>
      <w:r w:rsidR="00CC1533" w:rsidRPr="004718F4">
        <w:t>IBRgB</w:t>
      </w:r>
      <w:proofErr w:type="spellEnd"/>
      <w:r w:rsidR="00CC1533" w:rsidRPr="004718F4">
        <w:t xml:space="preserve"> Ab nebo IDEXX IBR pro celkové protilátky. Po vakcinaci by měla být zvířata pravidelně testována na přirozenou infekci kmeny IBR testem IDEXX IBR </w:t>
      </w:r>
      <w:proofErr w:type="spellStart"/>
      <w:r w:rsidR="00CC1533" w:rsidRPr="004718F4">
        <w:t>gE</w:t>
      </w:r>
      <w:proofErr w:type="spellEnd"/>
      <w:r w:rsidR="00CC1533" w:rsidRPr="004718F4">
        <w:t xml:space="preserve">. </w:t>
      </w:r>
    </w:p>
    <w:p w:rsidR="00CC1533" w:rsidRPr="004718F4" w:rsidRDefault="00CC1533">
      <w:pPr>
        <w:rPr>
          <w:b/>
        </w:rPr>
      </w:pPr>
      <w:r w:rsidRPr="004718F4">
        <w:rPr>
          <w:b/>
        </w:rPr>
        <w:t>Popis a principy</w:t>
      </w:r>
    </w:p>
    <w:p w:rsidR="00CC1533" w:rsidRPr="004718F4" w:rsidRDefault="00C227B0" w:rsidP="00431056">
      <w:pPr>
        <w:spacing w:after="0"/>
      </w:pPr>
      <w:r w:rsidRPr="004718F4">
        <w:t>Sada</w:t>
      </w:r>
      <w:r w:rsidR="00CC1533" w:rsidRPr="004718F4">
        <w:t xml:space="preserve"> IDEXX IBR </w:t>
      </w:r>
      <w:proofErr w:type="spellStart"/>
      <w:r w:rsidR="00CC1533" w:rsidRPr="004718F4">
        <w:t>gE</w:t>
      </w:r>
      <w:proofErr w:type="spellEnd"/>
      <w:r w:rsidR="00CC1533" w:rsidRPr="004718F4">
        <w:t xml:space="preserve"> </w:t>
      </w:r>
      <w:r w:rsidRPr="004718F4">
        <w:t xml:space="preserve">obsahuje </w:t>
      </w:r>
      <w:proofErr w:type="spellStart"/>
      <w:r w:rsidRPr="004718F4">
        <w:t>mikrotitrační</w:t>
      </w:r>
      <w:proofErr w:type="spellEnd"/>
      <w:r w:rsidRPr="004718F4">
        <w:t xml:space="preserve"> destičky</w:t>
      </w:r>
      <w:r w:rsidR="00CC1533" w:rsidRPr="004718F4">
        <w:t xml:space="preserve"> potažené antigenem BHV-1. Během první inkubace protilátky proti IBR v testovaném vzorku, včetně těch proti </w:t>
      </w:r>
      <w:proofErr w:type="spellStart"/>
      <w:r w:rsidR="00CC1533" w:rsidRPr="004718F4">
        <w:t>gE</w:t>
      </w:r>
      <w:proofErr w:type="spellEnd"/>
      <w:r w:rsidR="00CC1533" w:rsidRPr="004718F4">
        <w:t xml:space="preserve">, reagují s antigenem naneseným na plastu. Po promývacím kroku se do </w:t>
      </w:r>
      <w:proofErr w:type="spellStart"/>
      <w:r w:rsidR="00CC1533" w:rsidRPr="004718F4">
        <w:t>mikrojamky</w:t>
      </w:r>
      <w:proofErr w:type="spellEnd"/>
      <w:r w:rsidR="00CC1533" w:rsidRPr="004718F4">
        <w:t xml:space="preserve"> přidá anti-BHV-1-gE konjugát monoklonální protilátky, který během druhé inkubace soutěží o virový antigen </w:t>
      </w:r>
      <w:proofErr w:type="spellStart"/>
      <w:r w:rsidR="00CC1533" w:rsidRPr="004718F4">
        <w:t>gE</w:t>
      </w:r>
      <w:proofErr w:type="spellEnd"/>
      <w:r w:rsidR="00CC1533" w:rsidRPr="004718F4">
        <w:t xml:space="preserve">. Pokud nejsou ve vzorku přítomny žádné vlastní protilátky proti </w:t>
      </w:r>
      <w:proofErr w:type="spellStart"/>
      <w:r w:rsidR="00CC1533" w:rsidRPr="004718F4">
        <w:t>gE</w:t>
      </w:r>
      <w:proofErr w:type="spellEnd"/>
      <w:r w:rsidR="00CC1533" w:rsidRPr="004718F4">
        <w:t xml:space="preserve">, konjugované </w:t>
      </w:r>
      <w:proofErr w:type="spellStart"/>
      <w:r w:rsidR="00CC1533" w:rsidRPr="004718F4">
        <w:t>gE</w:t>
      </w:r>
      <w:proofErr w:type="spellEnd"/>
      <w:r w:rsidR="00CC1533" w:rsidRPr="004718F4">
        <w:t xml:space="preserve"> protilátky mohou volně reagovat s antigenem </w:t>
      </w:r>
      <w:proofErr w:type="spellStart"/>
      <w:r w:rsidR="00CC1533" w:rsidRPr="004718F4">
        <w:t>gE</w:t>
      </w:r>
      <w:proofErr w:type="spellEnd"/>
      <w:r w:rsidR="00CC1533" w:rsidRPr="004718F4">
        <w:t xml:space="preserve">. Naopak, pokud jsou ve vzorku přítomny vlastní protilátky proti </w:t>
      </w:r>
      <w:proofErr w:type="spellStart"/>
      <w:r w:rsidR="00CC1533" w:rsidRPr="004718F4">
        <w:t>gE</w:t>
      </w:r>
      <w:proofErr w:type="spellEnd"/>
      <w:r w:rsidR="00CC1533" w:rsidRPr="004718F4">
        <w:t>, monoklonální protilátky konjugované s enzymem nemohou</w:t>
      </w:r>
      <w:r w:rsidRPr="004718F4">
        <w:t xml:space="preserve"> reagovat s antigenem</w:t>
      </w:r>
      <w:r w:rsidR="00CC1533" w:rsidRPr="004718F4">
        <w:t xml:space="preserve">.  </w:t>
      </w:r>
      <w:r w:rsidR="00562601" w:rsidRPr="004718F4">
        <w:t xml:space="preserve">Po tomto inkubačním období se </w:t>
      </w:r>
      <w:proofErr w:type="spellStart"/>
      <w:r w:rsidR="00562601" w:rsidRPr="004718F4">
        <w:t>nezreagovaný</w:t>
      </w:r>
      <w:proofErr w:type="spellEnd"/>
      <w:r w:rsidR="00562601" w:rsidRPr="004718F4">
        <w:t xml:space="preserve"> konjugát vymyje a přidá se roztok substrátu/chromogenu. V přítomnosti enzymu je substrát konvertován na produkt, který reaguje s chromoforem za vzniku modrého zbarvení. Absorbance při vlnové délce 650 </w:t>
      </w:r>
      <w:proofErr w:type="spellStart"/>
      <w:r w:rsidR="00562601" w:rsidRPr="004718F4">
        <w:t>nm</w:t>
      </w:r>
      <w:proofErr w:type="spellEnd"/>
      <w:r w:rsidR="00562601" w:rsidRPr="004718F4">
        <w:t xml:space="preserve"> se měří pomocí spektrofotometru. Výsledky se vypočítají </w:t>
      </w:r>
      <w:proofErr w:type="gramStart"/>
      <w:r w:rsidR="00562601" w:rsidRPr="004718F4">
        <w:t>dělením A(650</w:t>
      </w:r>
      <w:proofErr w:type="gramEnd"/>
      <w:r w:rsidR="00562601" w:rsidRPr="004718F4">
        <w:t xml:space="preserve">) vzorku průměrem A(650) negativní kontroly, výsledkem je hodnota S/N.  Množství protilátek proti </w:t>
      </w:r>
      <w:proofErr w:type="spellStart"/>
      <w:r w:rsidR="00562601" w:rsidRPr="004718F4">
        <w:t>gE</w:t>
      </w:r>
      <w:proofErr w:type="spellEnd"/>
      <w:r w:rsidR="00562601" w:rsidRPr="004718F4">
        <w:t xml:space="preserve"> je nepřímo </w:t>
      </w:r>
      <w:proofErr w:type="gramStart"/>
      <w:r w:rsidR="00562601" w:rsidRPr="004718F4">
        <w:t>úměrné A(650</w:t>
      </w:r>
      <w:proofErr w:type="gramEnd"/>
      <w:r w:rsidR="00562601" w:rsidRPr="004718F4">
        <w:t>) a tedy i hodnotě S/N. Přítomnost anti-</w:t>
      </w:r>
      <w:proofErr w:type="spellStart"/>
      <w:r w:rsidR="00562601" w:rsidRPr="004718F4">
        <w:t>gE</w:t>
      </w:r>
      <w:proofErr w:type="spellEnd"/>
      <w:r w:rsidR="00562601" w:rsidRPr="004718F4">
        <w:t xml:space="preserve"> BHV-1 protilátek indikuje dřívější vystavení terénnímu viru BHV-1 nebo aplikaci konvenční </w:t>
      </w:r>
      <w:proofErr w:type="spellStart"/>
      <w:r w:rsidR="00562601" w:rsidRPr="004718F4">
        <w:t>gE</w:t>
      </w:r>
      <w:proofErr w:type="spellEnd"/>
      <w:r w:rsidR="00562601" w:rsidRPr="004718F4">
        <w:t xml:space="preserve">-pozitivní vakcíny s modifikovaným živým nebo usmrceným virem. Přítomnost BHV-1 protilátek detekovaných </w:t>
      </w:r>
      <w:r w:rsidRPr="004718F4">
        <w:lastRenderedPageBreak/>
        <w:t>sadou</w:t>
      </w:r>
      <w:r w:rsidR="00562601" w:rsidRPr="004718F4">
        <w:t xml:space="preserve"> IDEXX </w:t>
      </w:r>
      <w:proofErr w:type="spellStart"/>
      <w:r w:rsidR="00562601" w:rsidRPr="004718F4">
        <w:t>IBRgB</w:t>
      </w:r>
      <w:proofErr w:type="spellEnd"/>
      <w:r w:rsidR="00562601" w:rsidRPr="004718F4">
        <w:t xml:space="preserve"> Ab nebo IDEXX IBR na celkové protilátky s absencí protilátek proti antigenu </w:t>
      </w:r>
      <w:proofErr w:type="spellStart"/>
      <w:r w:rsidR="00562601" w:rsidRPr="004718F4">
        <w:t>gE</w:t>
      </w:r>
      <w:proofErr w:type="spellEnd"/>
      <w:r w:rsidR="00562601" w:rsidRPr="004718F4">
        <w:t xml:space="preserve"> stanovenou testem IDEXX IBR </w:t>
      </w:r>
      <w:proofErr w:type="spellStart"/>
      <w:r w:rsidR="00562601" w:rsidRPr="004718F4">
        <w:t>gE</w:t>
      </w:r>
      <w:proofErr w:type="spellEnd"/>
      <w:r w:rsidRPr="004718F4">
        <w:t>,</w:t>
      </w:r>
      <w:r w:rsidR="00562601" w:rsidRPr="004718F4">
        <w:t xml:space="preserve"> indikuje odp</w:t>
      </w:r>
      <w:r w:rsidR="00431056" w:rsidRPr="004718F4">
        <w:t xml:space="preserve">ověď na vakcínu neobsahující </w:t>
      </w:r>
      <w:proofErr w:type="spellStart"/>
      <w:r w:rsidR="00431056" w:rsidRPr="004718F4">
        <w:t>gE</w:t>
      </w:r>
      <w:proofErr w:type="spellEnd"/>
      <w:r w:rsidR="00431056" w:rsidRPr="004718F4">
        <w:t xml:space="preserve"> v</w:t>
      </w:r>
      <w:r w:rsidR="00562601" w:rsidRPr="004718F4">
        <w:t xml:space="preserve"> </w:t>
      </w:r>
    </w:p>
    <w:p w:rsidR="008E2A95" w:rsidRPr="004718F4" w:rsidRDefault="008E2A95" w:rsidP="00431056">
      <w:pPr>
        <w:spacing w:after="0"/>
      </w:pPr>
      <w:r w:rsidRPr="004718F4">
        <w:t xml:space="preserve">poměru k množství protilátek proti IBV přítomným v testovaném vzorku. </w:t>
      </w:r>
    </w:p>
    <w:p w:rsidR="00431056" w:rsidRPr="004718F4" w:rsidRDefault="00431056" w:rsidP="00431056">
      <w:pPr>
        <w:spacing w:after="0"/>
      </w:pPr>
    </w:p>
    <w:p w:rsidR="008E2A95" w:rsidRPr="004718F4" w:rsidRDefault="008E2A95" w:rsidP="008E2A95">
      <w:r w:rsidRPr="004718F4">
        <w:t xml:space="preserve">               </w:t>
      </w:r>
      <w:r w:rsidR="00C227B0" w:rsidRPr="004718F4">
        <w:t>Činidla</w:t>
      </w:r>
      <w:r w:rsidRPr="004718F4">
        <w:t xml:space="preserve">                                                                                                                   Objem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98"/>
        <w:gridCol w:w="5598"/>
        <w:gridCol w:w="1465"/>
        <w:gridCol w:w="1401"/>
      </w:tblGrid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Destička potažená antigenem BHV-1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30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2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8E2A95">
            <w:r w:rsidRPr="004718F4">
              <w:t xml:space="preserve">Pozitivní kontrolní vzorek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>1 x 5,0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1 x 6,5 ml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 xml:space="preserve">Negativní kontrolní vzorek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>1 x 5,0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1 x 6,5 ml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4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 xml:space="preserve">Konjugát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>1 x 60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1 x 350 ml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5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 xml:space="preserve">Roztok k ředění vzorků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F14DC4">
            <w:r w:rsidRPr="004718F4">
              <w:t>1 x 140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1 x 480 ml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A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TMB substrát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1 x 60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1 x 400 ml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B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>
            <w:r w:rsidRPr="004718F4">
              <w:t>Zastavovací roztok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C4" w:rsidRPr="004718F4" w:rsidRDefault="00F14DC4" w:rsidP="003233C4">
            <w:r w:rsidRPr="004718F4">
              <w:t>1 x 60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 w:rsidP="003233C4">
            <w:r w:rsidRPr="004718F4">
              <w:t>1 x 400 ml</w:t>
            </w:r>
          </w:p>
        </w:tc>
      </w:tr>
      <w:tr w:rsidR="00F14DC4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C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>
            <w:r w:rsidRPr="004718F4">
              <w:t>Mycí koncentrát (10X)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F14DC4" w:rsidP="003233C4">
            <w:r w:rsidRPr="004718F4">
              <w:t>1 x 235 ml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4" w:rsidRPr="004718F4" w:rsidRDefault="00C227B0" w:rsidP="003233C4">
            <w:r w:rsidRPr="004718F4">
              <w:t>3</w:t>
            </w:r>
            <w:r w:rsidR="00F14DC4" w:rsidRPr="004718F4">
              <w:t xml:space="preserve"> x 480 ml</w:t>
            </w:r>
          </w:p>
        </w:tc>
      </w:tr>
      <w:tr w:rsidR="008F1A6D" w:rsidRPr="004718F4" w:rsidTr="008F1A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D" w:rsidRPr="004718F4" w:rsidRDefault="008F1A6D" w:rsidP="008F1A6D"/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D" w:rsidRPr="004718F4" w:rsidRDefault="008F1A6D" w:rsidP="008F1A6D">
            <w:r w:rsidRPr="004718F4">
              <w:rPr>
                <w:b/>
              </w:rPr>
              <w:t>Další součásti sady:</w:t>
            </w:r>
            <w:r w:rsidRPr="004718F4">
              <w:t xml:space="preserve"> Sáček se zipovým uzávěrem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D" w:rsidRPr="004718F4" w:rsidRDefault="008F1A6D" w:rsidP="008F1A6D">
            <w:r w:rsidRPr="004718F4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D" w:rsidRPr="004718F4" w:rsidRDefault="008F1A6D" w:rsidP="008F1A6D">
            <w:r w:rsidRPr="004718F4">
              <w:t>0</w:t>
            </w:r>
          </w:p>
        </w:tc>
      </w:tr>
    </w:tbl>
    <w:p w:rsidR="008F1A6D" w:rsidRPr="004718F4" w:rsidRDefault="008F1A6D" w:rsidP="008F1A6D">
      <w:pPr>
        <w:spacing w:after="0"/>
      </w:pPr>
      <w:r w:rsidRPr="004718F4">
        <w:rPr>
          <w:b/>
        </w:rPr>
        <w:t>Poznámka:</w:t>
      </w:r>
      <w:r w:rsidRPr="004718F4">
        <w:t xml:space="preserve"> Popis symbolů použitých v této příbalové informaci a popisků této testovací sady najdete v tabulce na konci informace.</w:t>
      </w:r>
    </w:p>
    <w:p w:rsidR="00F14DC4" w:rsidRPr="004718F4" w:rsidRDefault="00F14DC4" w:rsidP="00F14DC4">
      <w:pPr>
        <w:spacing w:after="0"/>
      </w:pPr>
    </w:p>
    <w:p w:rsidR="008E2A95" w:rsidRPr="004718F4" w:rsidRDefault="008E2A95" w:rsidP="008E2A95">
      <w:pPr>
        <w:spacing w:after="0"/>
        <w:rPr>
          <w:b/>
        </w:rPr>
      </w:pPr>
      <w:r w:rsidRPr="004718F4">
        <w:rPr>
          <w:b/>
        </w:rPr>
        <w:t>Uchovávání</w:t>
      </w:r>
    </w:p>
    <w:p w:rsidR="008E2A95" w:rsidRPr="004718F4" w:rsidRDefault="008E2A95" w:rsidP="008E2A95">
      <w:pPr>
        <w:spacing w:after="0"/>
      </w:pPr>
    </w:p>
    <w:p w:rsidR="008F1A6D" w:rsidRPr="004718F4" w:rsidRDefault="008F1A6D" w:rsidP="008F1A6D">
      <w:pPr>
        <w:spacing w:after="0"/>
      </w:pPr>
      <w:r w:rsidRPr="004718F4">
        <w:t>Činidla uchovávejte při teplotě 2–8 °C. Činidla jsou za předpokladu řádného skladování stabilní do data exspirace.</w:t>
      </w:r>
    </w:p>
    <w:p w:rsidR="008E2A95" w:rsidRPr="004718F4" w:rsidRDefault="008E2A95" w:rsidP="008E2A95">
      <w:pPr>
        <w:spacing w:after="0"/>
      </w:pPr>
    </w:p>
    <w:p w:rsidR="008E2A95" w:rsidRPr="004718F4" w:rsidRDefault="008E2A95" w:rsidP="008E2A95">
      <w:pPr>
        <w:spacing w:after="0"/>
        <w:rPr>
          <w:b/>
        </w:rPr>
      </w:pPr>
      <w:r w:rsidRPr="004718F4">
        <w:rPr>
          <w:b/>
        </w:rPr>
        <w:t>Potřebné materiály, které nejsou součástí soupravy</w:t>
      </w:r>
    </w:p>
    <w:p w:rsidR="008E2A95" w:rsidRPr="004718F4" w:rsidRDefault="008E2A95" w:rsidP="008E2A95">
      <w:pPr>
        <w:spacing w:after="0"/>
      </w:pPr>
    </w:p>
    <w:p w:rsidR="008E2A95" w:rsidRPr="004718F4" w:rsidRDefault="008E2A95" w:rsidP="008E2A95">
      <w:pPr>
        <w:pStyle w:val="Odstavecseseznamem"/>
        <w:numPr>
          <w:ilvl w:val="0"/>
          <w:numId w:val="1"/>
        </w:numPr>
        <w:spacing w:after="0"/>
      </w:pPr>
      <w:r w:rsidRPr="004718F4">
        <w:t>Přesné pipety nebo multikanálové pipety</w:t>
      </w:r>
    </w:p>
    <w:p w:rsidR="008E2A95" w:rsidRPr="004718F4" w:rsidRDefault="008E2A95" w:rsidP="008E2A95">
      <w:pPr>
        <w:pStyle w:val="Odstavecseseznamem"/>
        <w:numPr>
          <w:ilvl w:val="0"/>
          <w:numId w:val="1"/>
        </w:numPr>
        <w:spacing w:after="0"/>
      </w:pPr>
      <w:r w:rsidRPr="004718F4">
        <w:t xml:space="preserve">Jednorázové </w:t>
      </w:r>
      <w:proofErr w:type="spellStart"/>
      <w:r w:rsidRPr="004718F4">
        <w:t>pipetovací</w:t>
      </w:r>
      <w:proofErr w:type="spellEnd"/>
      <w:r w:rsidRPr="004718F4">
        <w:t xml:space="preserve"> špičky</w:t>
      </w:r>
    </w:p>
    <w:p w:rsidR="00F14DC4" w:rsidRPr="004718F4" w:rsidRDefault="00F14DC4" w:rsidP="008E2A95">
      <w:pPr>
        <w:pStyle w:val="Odstavecseseznamem"/>
        <w:numPr>
          <w:ilvl w:val="0"/>
          <w:numId w:val="1"/>
        </w:numPr>
        <w:spacing w:after="0"/>
      </w:pPr>
      <w:r w:rsidRPr="004718F4">
        <w:t>Odměrný válec na mycí roztok</w:t>
      </w:r>
    </w:p>
    <w:p w:rsidR="008E2A95" w:rsidRPr="004718F4" w:rsidRDefault="00F14DC4" w:rsidP="008E2A95">
      <w:pPr>
        <w:pStyle w:val="Odstavecseseznamem"/>
        <w:numPr>
          <w:ilvl w:val="0"/>
          <w:numId w:val="1"/>
        </w:numPr>
        <w:spacing w:after="0"/>
      </w:pPr>
      <w:r w:rsidRPr="004718F4">
        <w:t xml:space="preserve">Čtečka </w:t>
      </w:r>
      <w:proofErr w:type="spellStart"/>
      <w:r w:rsidRPr="004718F4">
        <w:t>mikrodestiček</w:t>
      </w:r>
      <w:proofErr w:type="spellEnd"/>
      <w:r w:rsidRPr="004718F4">
        <w:t xml:space="preserve"> s</w:t>
      </w:r>
      <w:r w:rsidR="008E2A95" w:rsidRPr="004718F4">
        <w:t xml:space="preserve"> 96 jamkami (vybavená filtrem s vlnovou délkou 650 </w:t>
      </w:r>
      <w:proofErr w:type="spellStart"/>
      <w:r w:rsidR="008E2A95" w:rsidRPr="004718F4">
        <w:t>nm</w:t>
      </w:r>
      <w:proofErr w:type="spellEnd"/>
      <w:r w:rsidR="008E2A95" w:rsidRPr="004718F4">
        <w:t>)</w:t>
      </w:r>
    </w:p>
    <w:p w:rsidR="008E2A95" w:rsidRPr="004718F4" w:rsidRDefault="008E2A95" w:rsidP="008E2A95">
      <w:pPr>
        <w:pStyle w:val="Odstavecseseznamem"/>
        <w:numPr>
          <w:ilvl w:val="0"/>
          <w:numId w:val="1"/>
        </w:numPr>
        <w:spacing w:after="0"/>
      </w:pPr>
      <w:r w:rsidRPr="004718F4">
        <w:t xml:space="preserve">Mycí zařízení na </w:t>
      </w:r>
      <w:proofErr w:type="spellStart"/>
      <w:r w:rsidRPr="004718F4">
        <w:t>mikrodestičk</w:t>
      </w:r>
      <w:r w:rsidR="00F14DC4" w:rsidRPr="004718F4">
        <w:t>y</w:t>
      </w:r>
      <w:proofErr w:type="spellEnd"/>
      <w:r w:rsidRPr="004718F4">
        <w:t xml:space="preserve"> (manuální, poloautomatický nebo automatický systém)</w:t>
      </w:r>
    </w:p>
    <w:p w:rsidR="008F1A6D" w:rsidRPr="004718F4" w:rsidRDefault="008F1A6D" w:rsidP="008F1A6D">
      <w:pPr>
        <w:pStyle w:val="Odstavecseseznamem"/>
        <w:numPr>
          <w:ilvl w:val="0"/>
          <w:numId w:val="1"/>
        </w:numPr>
        <w:spacing w:after="0"/>
      </w:pPr>
      <w:r w:rsidRPr="004718F4">
        <w:t xml:space="preserve">Pro přípravu činidel používaných při testu pouze používejte destilovanou nebo </w:t>
      </w:r>
      <w:proofErr w:type="spellStart"/>
      <w:r w:rsidRPr="004718F4">
        <w:t>deionizovanou</w:t>
      </w:r>
      <w:proofErr w:type="spellEnd"/>
      <w:r w:rsidRPr="004718F4">
        <w:t xml:space="preserve"> vodu</w:t>
      </w:r>
    </w:p>
    <w:p w:rsidR="008E2A95" w:rsidRPr="004718F4" w:rsidRDefault="008E2A95" w:rsidP="008E2A95">
      <w:pPr>
        <w:pStyle w:val="Odstavecseseznamem"/>
        <w:numPr>
          <w:ilvl w:val="0"/>
          <w:numId w:val="1"/>
        </w:numPr>
        <w:spacing w:after="0"/>
      </w:pPr>
      <w:proofErr w:type="spellStart"/>
      <w:r w:rsidRPr="004718F4">
        <w:t>Vortex</w:t>
      </w:r>
      <w:proofErr w:type="spellEnd"/>
      <w:r w:rsidRPr="004718F4">
        <w:t xml:space="preserve"> nebo ekvivalentní třepačka</w:t>
      </w:r>
    </w:p>
    <w:p w:rsidR="008F1A6D" w:rsidRPr="004718F4" w:rsidRDefault="008F1A6D" w:rsidP="008E2A95">
      <w:pPr>
        <w:pStyle w:val="Odstavecseseznamem"/>
        <w:numPr>
          <w:ilvl w:val="0"/>
          <w:numId w:val="1"/>
        </w:numPr>
        <w:spacing w:after="0"/>
      </w:pPr>
      <w:r w:rsidRPr="004718F4">
        <w:t>Zkumavky na ředění vzorků</w:t>
      </w:r>
    </w:p>
    <w:p w:rsidR="008E2A95" w:rsidRPr="004718F4" w:rsidRDefault="008E2A95" w:rsidP="008E2A95"/>
    <w:p w:rsidR="008E2A95" w:rsidRPr="004718F4" w:rsidRDefault="008E2A95" w:rsidP="008E2A95">
      <w:pPr>
        <w:spacing w:after="0"/>
        <w:rPr>
          <w:b/>
        </w:rPr>
      </w:pPr>
      <w:r w:rsidRPr="004718F4">
        <w:rPr>
          <w:b/>
        </w:rPr>
        <w:t>Bezpečnostní opatření a upozornění pro uživatele</w:t>
      </w:r>
    </w:p>
    <w:p w:rsidR="008E2A95" w:rsidRPr="004718F4" w:rsidRDefault="008E2A95" w:rsidP="008E2A95">
      <w:pPr>
        <w:spacing w:after="0"/>
      </w:pPr>
    </w:p>
    <w:p w:rsidR="00CB7C5E" w:rsidRPr="004718F4" w:rsidRDefault="00CB7C5E" w:rsidP="00CB7C5E">
      <w:pPr>
        <w:pStyle w:val="Odstavecseseznamem"/>
        <w:numPr>
          <w:ilvl w:val="0"/>
          <w:numId w:val="2"/>
        </w:numPr>
        <w:spacing w:after="0"/>
      </w:pPr>
      <w:r w:rsidRPr="004718F4">
        <w:t>Se všemi biologickými materiály zacházejte jako s potenciálně infekčními. Antigen, který je součástí této sady, nemusí být zcela inaktivovaný.</w:t>
      </w:r>
    </w:p>
    <w:p w:rsidR="00CB7C5E" w:rsidRPr="004718F4" w:rsidRDefault="00CB7C5E" w:rsidP="00CB7C5E">
      <w:pPr>
        <w:pStyle w:val="Odstavecseseznamem"/>
        <w:numPr>
          <w:ilvl w:val="0"/>
          <w:numId w:val="2"/>
        </w:numPr>
        <w:spacing w:after="0"/>
      </w:pPr>
      <w:r w:rsidRPr="004718F4">
        <w:t>Při manipulaci se vzorky a činidly používejte ochranné rukavice / ochranný oděv/ ochranné brýle nebo obličejový štít.</w:t>
      </w:r>
    </w:p>
    <w:p w:rsidR="00CB7C5E" w:rsidRPr="004718F4" w:rsidRDefault="00CB7C5E" w:rsidP="00CB7C5E">
      <w:pPr>
        <w:pStyle w:val="Odstavecseseznamem"/>
        <w:numPr>
          <w:ilvl w:val="0"/>
          <w:numId w:val="2"/>
        </w:numPr>
        <w:spacing w:after="0"/>
      </w:pPr>
      <w:r w:rsidRPr="004718F4">
        <w:t>Další informace naleznete v materiálových bezpečnostních listech.</w:t>
      </w:r>
    </w:p>
    <w:p w:rsidR="00CB7C5E" w:rsidRPr="004718F4" w:rsidRDefault="00CB7C5E" w:rsidP="00CB7C5E">
      <w:pPr>
        <w:pStyle w:val="Odstavecseseznamem"/>
        <w:numPr>
          <w:ilvl w:val="0"/>
          <w:numId w:val="2"/>
        </w:numPr>
        <w:spacing w:after="0"/>
      </w:pPr>
      <w:r w:rsidRPr="004718F4">
        <w:lastRenderedPageBreak/>
        <w:t>Upozornění a bezpečnostní opatření pro použití činidel najdete na konci této příbalové informace.</w:t>
      </w:r>
    </w:p>
    <w:p w:rsidR="00CB7C5E" w:rsidRPr="004718F4" w:rsidRDefault="00CB7C5E" w:rsidP="008E2A95">
      <w:pPr>
        <w:spacing w:after="0"/>
        <w:rPr>
          <w:b/>
        </w:rPr>
      </w:pPr>
    </w:p>
    <w:p w:rsidR="008E2A95" w:rsidRPr="004718F4" w:rsidRDefault="008E2A95" w:rsidP="008E2A95">
      <w:pPr>
        <w:spacing w:after="0"/>
      </w:pPr>
      <w:r w:rsidRPr="004718F4">
        <w:rPr>
          <w:b/>
        </w:rPr>
        <w:t>Laboratorní postupy</w:t>
      </w:r>
    </w:p>
    <w:p w:rsidR="008E2A95" w:rsidRPr="004718F4" w:rsidRDefault="008E2A95" w:rsidP="008E2A95">
      <w:pPr>
        <w:pStyle w:val="Odstavecseseznamem"/>
        <w:numPr>
          <w:ilvl w:val="0"/>
          <w:numId w:val="3"/>
        </w:numPr>
        <w:spacing w:after="0"/>
      </w:pPr>
      <w:r w:rsidRPr="004718F4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4718F4">
        <w:t>pipetovací</w:t>
      </w:r>
      <w:proofErr w:type="spellEnd"/>
      <w:r w:rsidRPr="004718F4">
        <w:t xml:space="preserve"> špičku.</w:t>
      </w:r>
    </w:p>
    <w:p w:rsidR="008E2A95" w:rsidRPr="004718F4" w:rsidRDefault="008E2A95" w:rsidP="008E2A95">
      <w:pPr>
        <w:pStyle w:val="Odstavecseseznamem"/>
        <w:numPr>
          <w:ilvl w:val="0"/>
          <w:numId w:val="3"/>
        </w:numPr>
        <w:spacing w:after="0"/>
      </w:pPr>
      <w:r w:rsidRPr="004718F4">
        <w:t xml:space="preserve">TMB roztok nevystavujte silnému světlu nebo jakýmkoli oxidačním činidlům. Pro manipulaci s TMB roztokem používejte čisté skleněné nebo plastové nádoby. </w:t>
      </w:r>
    </w:p>
    <w:p w:rsidR="008E2A95" w:rsidRPr="004718F4" w:rsidRDefault="008E2A95" w:rsidP="008E2A95">
      <w:pPr>
        <w:pStyle w:val="Odstavecseseznamem"/>
        <w:numPr>
          <w:ilvl w:val="0"/>
          <w:numId w:val="3"/>
        </w:numPr>
        <w:spacing w:after="0"/>
      </w:pPr>
      <w:r w:rsidRPr="004718F4">
        <w:t>Všechny odpady je třeba před likvidací řádně dekontaminovat. Obsah likvidujte v souladu s místními, regionálními a státními předpisy.</w:t>
      </w:r>
    </w:p>
    <w:p w:rsidR="008E2A95" w:rsidRPr="004718F4" w:rsidRDefault="008E2A95" w:rsidP="008E2A95">
      <w:pPr>
        <w:pStyle w:val="Odstavecseseznamem"/>
        <w:numPr>
          <w:ilvl w:val="0"/>
          <w:numId w:val="3"/>
        </w:numPr>
        <w:spacing w:after="0"/>
      </w:pPr>
      <w:r w:rsidRPr="004718F4">
        <w:t>Snažte se zabránit kontaminaci složek soupravy. Nenalévejte nepoužit</w:t>
      </w:r>
      <w:r w:rsidR="00CB7C5E" w:rsidRPr="004718F4">
        <w:t>á činidla</w:t>
      </w:r>
      <w:r w:rsidRPr="004718F4">
        <w:t xml:space="preserve"> zpět do nádob.</w:t>
      </w:r>
    </w:p>
    <w:p w:rsidR="008E2A95" w:rsidRPr="004718F4" w:rsidRDefault="008E2A95" w:rsidP="008E2A95">
      <w:pPr>
        <w:pStyle w:val="Odstavecseseznamem"/>
        <w:numPr>
          <w:ilvl w:val="0"/>
          <w:numId w:val="3"/>
        </w:numPr>
        <w:spacing w:after="0"/>
      </w:pPr>
      <w:r w:rsidRPr="004718F4">
        <w:t>Nepoužívejte soupravu po datu exspirace a nezaměňujte součásti ze souprav s různými sériovými čísly.</w:t>
      </w:r>
      <w:r w:rsidR="00CE0D20" w:rsidRPr="004718F4">
        <w:br/>
      </w:r>
    </w:p>
    <w:p w:rsidR="00F14DC4" w:rsidRPr="004718F4" w:rsidRDefault="00CE0D20" w:rsidP="00F14DC4">
      <w:pPr>
        <w:spacing w:after="0"/>
        <w:rPr>
          <w:b/>
        </w:rPr>
      </w:pPr>
      <w:r w:rsidRPr="004718F4">
        <w:rPr>
          <w:b/>
        </w:rPr>
        <w:t>Příprava mycího roztoku</w:t>
      </w:r>
    </w:p>
    <w:p w:rsidR="006530A7" w:rsidRPr="004718F4" w:rsidRDefault="006530A7" w:rsidP="00F14DC4">
      <w:pPr>
        <w:spacing w:after="0"/>
        <w:rPr>
          <w:b/>
        </w:rPr>
      </w:pPr>
    </w:p>
    <w:p w:rsidR="006530A7" w:rsidRPr="004718F4" w:rsidRDefault="006530A7" w:rsidP="006530A7">
      <w:pPr>
        <w:spacing w:after="0"/>
      </w:pPr>
      <w:r w:rsidRPr="004718F4">
        <w:t xml:space="preserve">Koncentrát mycího roztoku (10X) je třeba temperovat na 18–26 °C a promíchat, aby se rozpustily všechny sražené soli. Koncentrát mycího roztoku (10X) musí být před použitím zředěn destilovanou nebo </w:t>
      </w:r>
      <w:proofErr w:type="spellStart"/>
      <w:r w:rsidRPr="004718F4">
        <w:t>deionizovanou</w:t>
      </w:r>
      <w:proofErr w:type="spellEnd"/>
      <w:r w:rsidRPr="004718F4">
        <w:t xml:space="preserve"> vodou v poměru 1:10.</w:t>
      </w:r>
    </w:p>
    <w:p w:rsidR="006530A7" w:rsidRPr="004718F4" w:rsidRDefault="006530A7" w:rsidP="006530A7">
      <w:pPr>
        <w:spacing w:after="0"/>
      </w:pPr>
    </w:p>
    <w:p w:rsidR="006530A7" w:rsidRPr="004718F4" w:rsidRDefault="006530A7" w:rsidP="006530A7">
      <w:pPr>
        <w:spacing w:after="0"/>
        <w:rPr>
          <w:b/>
        </w:rPr>
      </w:pPr>
      <w:r w:rsidRPr="004718F4">
        <w:rPr>
          <w:b/>
        </w:rPr>
        <w:t>Typy vzorků a jejich inkubace</w:t>
      </w:r>
    </w:p>
    <w:p w:rsidR="006530A7" w:rsidRPr="004718F4" w:rsidRDefault="006530A7" w:rsidP="006530A7">
      <w:pPr>
        <w:spacing w:after="0"/>
      </w:pPr>
    </w:p>
    <w:p w:rsidR="006530A7" w:rsidRPr="004718F4" w:rsidRDefault="006530A7" w:rsidP="006530A7">
      <w:pPr>
        <w:spacing w:after="0"/>
        <w:rPr>
          <w:b/>
        </w:rPr>
      </w:pPr>
      <w:r w:rsidRPr="004718F4">
        <w:rPr>
          <w:b/>
        </w:rPr>
        <w:t>A. Vzorky séra a plasmy</w:t>
      </w:r>
    </w:p>
    <w:p w:rsidR="006530A7" w:rsidRPr="004718F4" w:rsidRDefault="006530A7" w:rsidP="006530A7">
      <w:pPr>
        <w:spacing w:after="0"/>
      </w:pPr>
      <w:r w:rsidRPr="004718F4">
        <w:t xml:space="preserve">Vzorky séra a kontroly zřeďte dvakrát (1:2) ředicím roztokem. Příklad: 75 </w:t>
      </w:r>
      <w:proofErr w:type="spellStart"/>
      <w:r w:rsidRPr="004718F4">
        <w:t>μl</w:t>
      </w:r>
      <w:proofErr w:type="spellEnd"/>
      <w:r w:rsidRPr="004718F4">
        <w:t xml:space="preserve"> ředicího roztoku a 75 </w:t>
      </w:r>
      <w:proofErr w:type="spellStart"/>
      <w:r w:rsidRPr="004718F4">
        <w:t>μl</w:t>
      </w:r>
      <w:proofErr w:type="spellEnd"/>
      <w:r w:rsidRPr="004718F4">
        <w:t xml:space="preserve"> vzorku nebo kontroly, promíchejte a přeneste 100 </w:t>
      </w:r>
      <w:proofErr w:type="spellStart"/>
      <w:r w:rsidRPr="004718F4">
        <w:t>μl</w:t>
      </w:r>
      <w:proofErr w:type="spellEnd"/>
      <w:r w:rsidRPr="004718F4">
        <w:t xml:space="preserve"> na destičku.</w:t>
      </w:r>
      <w:r w:rsidR="008476A0" w:rsidRPr="004718F4">
        <w:t xml:space="preserve"> Alternativně můžete být ředění provedeno přímo na destičce (50 </w:t>
      </w:r>
      <w:proofErr w:type="spellStart"/>
      <w:r w:rsidR="008476A0" w:rsidRPr="004718F4">
        <w:t>μl</w:t>
      </w:r>
      <w:proofErr w:type="spellEnd"/>
      <w:r w:rsidR="008476A0" w:rsidRPr="004718F4">
        <w:t xml:space="preserve"> ředícího roztoku vzorků a 50 </w:t>
      </w:r>
      <w:proofErr w:type="spellStart"/>
      <w:r w:rsidR="008476A0" w:rsidRPr="004718F4">
        <w:t>μl</w:t>
      </w:r>
      <w:proofErr w:type="spellEnd"/>
      <w:r w:rsidR="008476A0" w:rsidRPr="004718F4">
        <w:t xml:space="preserve"> vzorku nebo kontroly, jemně promíchat).</w:t>
      </w:r>
      <w:r w:rsidRPr="004718F4">
        <w:t xml:space="preserve"> Vzorky séra testujte přes noc (18-24 hodin) při teplotě 18–26°C s destičkami těsně uzavřenými pro zamezení </w:t>
      </w:r>
      <w:r w:rsidR="00B048D0" w:rsidRPr="004718F4">
        <w:t>vypařování</w:t>
      </w:r>
      <w:r w:rsidRPr="004718F4">
        <w:t>.</w:t>
      </w:r>
    </w:p>
    <w:p w:rsidR="006530A7" w:rsidRPr="004718F4" w:rsidRDefault="006530A7" w:rsidP="006530A7">
      <w:pPr>
        <w:spacing w:after="0"/>
      </w:pPr>
    </w:p>
    <w:p w:rsidR="006530A7" w:rsidRPr="004718F4" w:rsidRDefault="006530A7" w:rsidP="006530A7">
      <w:pPr>
        <w:spacing w:after="0"/>
        <w:rPr>
          <w:b/>
        </w:rPr>
      </w:pPr>
      <w:r w:rsidRPr="004718F4">
        <w:rPr>
          <w:b/>
        </w:rPr>
        <w:t>B. Individuální a hromadné (cisternové) vzorky mléka</w:t>
      </w:r>
    </w:p>
    <w:p w:rsidR="00B048D0" w:rsidRPr="004718F4" w:rsidRDefault="00B048D0" w:rsidP="00B048D0">
      <w:pPr>
        <w:spacing w:after="0"/>
      </w:pPr>
      <w:r w:rsidRPr="004718F4">
        <w:t>Vzorky testujte neředěné přes noc (12-18 hodin) při teplotě 18–26°C s destičkami těsně uzavřenými pro zamezení vypařování.</w:t>
      </w:r>
    </w:p>
    <w:p w:rsidR="006530A7" w:rsidRPr="004718F4" w:rsidRDefault="00B048D0" w:rsidP="006530A7">
      <w:pPr>
        <w:spacing w:after="0"/>
        <w:rPr>
          <w:b/>
        </w:rPr>
      </w:pPr>
      <w:r w:rsidRPr="004718F4">
        <w:rPr>
          <w:b/>
        </w:rPr>
        <w:t>POZNÁMKA: Před testováním je důležité oddělit od mléka smetanu. Jakýkoli zbytek smetany v jamkách může negativně ovlivnit výsledky testu. Pozitivní a negativní kontrolní vzorky se testují neředěné.</w:t>
      </w:r>
    </w:p>
    <w:p w:rsidR="00B048D0" w:rsidRPr="004718F4" w:rsidRDefault="00B048D0" w:rsidP="006530A7">
      <w:pPr>
        <w:spacing w:after="0"/>
        <w:rPr>
          <w:b/>
        </w:rPr>
      </w:pPr>
    </w:p>
    <w:p w:rsidR="00B048D0" w:rsidRPr="004718F4" w:rsidRDefault="00B048D0" w:rsidP="006530A7">
      <w:pPr>
        <w:spacing w:after="0"/>
        <w:rPr>
          <w:b/>
        </w:rPr>
      </w:pPr>
      <w:r w:rsidRPr="004718F4">
        <w:rPr>
          <w:b/>
        </w:rPr>
        <w:t>C. Hromadné cisternové vzorky - koncentrované</w:t>
      </w:r>
    </w:p>
    <w:p w:rsidR="00B048D0" w:rsidRPr="004718F4" w:rsidRDefault="00B048D0" w:rsidP="00B048D0">
      <w:pPr>
        <w:spacing w:after="0"/>
        <w:rPr>
          <w:b/>
        </w:rPr>
      </w:pPr>
      <w:r w:rsidRPr="004718F4">
        <w:t>Zkoncentrujte hromadné vzorky mléka</w:t>
      </w:r>
      <w:r w:rsidRPr="004718F4">
        <w:rPr>
          <w:vertAlign w:val="superscript"/>
        </w:rPr>
        <w:t>2</w:t>
      </w:r>
      <w:r w:rsidRPr="004718F4">
        <w:t xml:space="preserve"> a rekonstituujte peletu v 0,5 ml mycího roztoku.  Peletu nechte zcela rozpustit. Koncentrované vzorky mléka testujte po dobu dvou hodin (± 5 minut) při teplotě 18–26°C. U stád s více než 50 zvířaty by měly být odebrány dva vzorky. </w:t>
      </w:r>
      <w:r w:rsidRPr="004718F4">
        <w:br/>
      </w:r>
      <w:r w:rsidRPr="004718F4">
        <w:rPr>
          <w:b/>
        </w:rPr>
        <w:t xml:space="preserve">POZNÁMKA: Před testováním je důležité oddělit od mléka smetanu. Jakýkoli zbytek smetany </w:t>
      </w:r>
      <w:r w:rsidRPr="004718F4">
        <w:rPr>
          <w:b/>
        </w:rPr>
        <w:lastRenderedPageBreak/>
        <w:t>v jamkách může negativně ovlivnit výsledky testu. Pozitivní a negativní kontrolní vzorky se testují neředěné.</w:t>
      </w:r>
    </w:p>
    <w:p w:rsidR="00B048D0" w:rsidRPr="004718F4" w:rsidRDefault="00B048D0" w:rsidP="006530A7">
      <w:pPr>
        <w:spacing w:after="0"/>
        <w:rPr>
          <w:b/>
        </w:rPr>
      </w:pPr>
    </w:p>
    <w:p w:rsidR="008476A0" w:rsidRPr="004718F4" w:rsidRDefault="008476A0" w:rsidP="005F7BB4">
      <w:pPr>
        <w:spacing w:after="0"/>
        <w:rPr>
          <w:b/>
        </w:rPr>
      </w:pPr>
    </w:p>
    <w:p w:rsidR="008476A0" w:rsidRPr="004718F4" w:rsidRDefault="008476A0" w:rsidP="005F7BB4">
      <w:pPr>
        <w:spacing w:after="0"/>
        <w:rPr>
          <w:b/>
        </w:rPr>
      </w:pPr>
    </w:p>
    <w:p w:rsidR="005F7BB4" w:rsidRPr="004718F4" w:rsidRDefault="005F7BB4" w:rsidP="005F7BB4">
      <w:pPr>
        <w:spacing w:after="0"/>
        <w:rPr>
          <w:b/>
        </w:rPr>
      </w:pPr>
      <w:r w:rsidRPr="004718F4">
        <w:rPr>
          <w:b/>
        </w:rPr>
        <w:t>Postup testu</w:t>
      </w:r>
    </w:p>
    <w:p w:rsidR="005F7BB4" w:rsidRPr="004718F4" w:rsidRDefault="005F7BB4" w:rsidP="005F7BB4">
      <w:pPr>
        <w:spacing w:after="0"/>
      </w:pPr>
    </w:p>
    <w:p w:rsidR="005F7BB4" w:rsidRPr="004718F4" w:rsidRDefault="005F7BB4" w:rsidP="005F7BB4">
      <w:pPr>
        <w:spacing w:after="0"/>
      </w:pPr>
      <w:r w:rsidRPr="004718F4">
        <w:t xml:space="preserve">Všechny </w:t>
      </w:r>
      <w:r w:rsidR="008476A0" w:rsidRPr="004718F4">
        <w:t>činidla</w:t>
      </w:r>
      <w:r w:rsidRPr="004718F4">
        <w:t xml:space="preserve"> použité v tomto testu musí mít teplotu 18–26°C. </w:t>
      </w:r>
      <w:r w:rsidR="008476A0" w:rsidRPr="004718F4">
        <w:t>Činidla</w:t>
      </w:r>
      <w:r w:rsidRPr="004718F4">
        <w:t xml:space="preserve"> se míchají jemným obracením nebo kroužením. </w:t>
      </w:r>
    </w:p>
    <w:p w:rsidR="005F7BB4" w:rsidRPr="004718F4" w:rsidRDefault="005F7BB4" w:rsidP="005F7BB4">
      <w:pPr>
        <w:spacing w:after="0"/>
      </w:pPr>
    </w:p>
    <w:p w:rsidR="005F7BB4" w:rsidRPr="004718F4" w:rsidRDefault="005F7BB4" w:rsidP="005F7BB4">
      <w:pPr>
        <w:spacing w:after="0"/>
      </w:pPr>
      <w:r w:rsidRPr="004718F4">
        <w:t xml:space="preserve">1. Připravte si potažené destičky a zaznamenejte umístění vzorku. </w:t>
      </w:r>
      <w:r w:rsidR="008E5A84" w:rsidRPr="004718F4">
        <w:t>Používáte-li pouze část destičky, oddělte pouze tolik jamek, kolik potřebujete pro testované vzorky. Zbývající jamky uložte spolu s des</w:t>
      </w:r>
      <w:r w:rsidR="00E032EA" w:rsidRPr="004718F4">
        <w:t>ikantem do uzavíratelného sáčku</w:t>
      </w:r>
      <w:r w:rsidR="008E5A84" w:rsidRPr="004718F4">
        <w:t xml:space="preserve"> ze sady a vraťte do chladna (2–8°C).</w:t>
      </w:r>
    </w:p>
    <w:p w:rsidR="005F7BB4" w:rsidRPr="004718F4" w:rsidRDefault="005F7BB4" w:rsidP="005F7BB4">
      <w:pPr>
        <w:spacing w:after="0"/>
      </w:pPr>
      <w:r w:rsidRPr="004718F4">
        <w:t xml:space="preserve">2. </w:t>
      </w:r>
      <w:r w:rsidR="008476A0" w:rsidRPr="004718F4">
        <w:rPr>
          <w:sz w:val="20"/>
        </w:rPr>
        <w:t>Dejte</w:t>
      </w:r>
      <w:r w:rsidR="008E5A84" w:rsidRPr="004718F4">
        <w:rPr>
          <w:sz w:val="20"/>
        </w:rPr>
        <w:t xml:space="preserve"> negativní kontrolní vzorek</w:t>
      </w:r>
      <w:r w:rsidR="00E54B98" w:rsidRPr="004718F4">
        <w:rPr>
          <w:sz w:val="20"/>
        </w:rPr>
        <w:t xml:space="preserve"> (NK)</w:t>
      </w:r>
      <w:r w:rsidR="008E5A84" w:rsidRPr="004718F4">
        <w:rPr>
          <w:sz w:val="20"/>
        </w:rPr>
        <w:t xml:space="preserve"> do jamek A1 a A2 (celkem</w:t>
      </w:r>
      <w:r w:rsidRPr="004718F4">
        <w:rPr>
          <w:sz w:val="20"/>
        </w:rPr>
        <w:t xml:space="preserve"> 100 </w:t>
      </w:r>
      <w:proofErr w:type="spellStart"/>
      <w:r w:rsidRPr="004718F4">
        <w:rPr>
          <w:sz w:val="20"/>
        </w:rPr>
        <w:t>μl</w:t>
      </w:r>
      <w:proofErr w:type="spellEnd"/>
      <w:r w:rsidR="008E5A84" w:rsidRPr="004718F4">
        <w:rPr>
          <w:sz w:val="20"/>
        </w:rPr>
        <w:t>) podle pokynů v části A, B a C.</w:t>
      </w:r>
      <w:r w:rsidRPr="004718F4">
        <w:rPr>
          <w:sz w:val="20"/>
        </w:rPr>
        <w:t xml:space="preserve"> </w:t>
      </w:r>
    </w:p>
    <w:p w:rsidR="005F7BB4" w:rsidRPr="004718F4" w:rsidRDefault="005F7BB4" w:rsidP="005F7BB4">
      <w:pPr>
        <w:spacing w:after="0"/>
      </w:pPr>
      <w:r w:rsidRPr="004718F4">
        <w:t xml:space="preserve">3. </w:t>
      </w:r>
      <w:r w:rsidR="008476A0" w:rsidRPr="004718F4">
        <w:rPr>
          <w:sz w:val="20"/>
        </w:rPr>
        <w:t>Dejte</w:t>
      </w:r>
      <w:r w:rsidR="008E5A84" w:rsidRPr="004718F4">
        <w:rPr>
          <w:sz w:val="20"/>
        </w:rPr>
        <w:t xml:space="preserve"> </w:t>
      </w:r>
      <w:r w:rsidR="00E54B98" w:rsidRPr="004718F4">
        <w:rPr>
          <w:sz w:val="20"/>
        </w:rPr>
        <w:t>pozitivní</w:t>
      </w:r>
      <w:r w:rsidR="008E5A84" w:rsidRPr="004718F4">
        <w:rPr>
          <w:sz w:val="20"/>
        </w:rPr>
        <w:t xml:space="preserve"> kontrolní vzorek</w:t>
      </w:r>
      <w:r w:rsidR="00E54B98" w:rsidRPr="004718F4">
        <w:rPr>
          <w:sz w:val="20"/>
        </w:rPr>
        <w:t xml:space="preserve"> (PK)</w:t>
      </w:r>
      <w:r w:rsidR="008E5A84" w:rsidRPr="004718F4">
        <w:rPr>
          <w:sz w:val="20"/>
        </w:rPr>
        <w:t xml:space="preserve"> do jamek A3 a A4 (celkem 100 </w:t>
      </w:r>
      <w:proofErr w:type="spellStart"/>
      <w:r w:rsidR="008E5A84" w:rsidRPr="004718F4">
        <w:rPr>
          <w:sz w:val="20"/>
        </w:rPr>
        <w:t>μl</w:t>
      </w:r>
      <w:proofErr w:type="spellEnd"/>
      <w:r w:rsidR="008E5A84" w:rsidRPr="004718F4">
        <w:rPr>
          <w:sz w:val="20"/>
        </w:rPr>
        <w:t>) podle pokynů v části A, B a C.</w:t>
      </w:r>
    </w:p>
    <w:p w:rsidR="005F7BB4" w:rsidRPr="004718F4" w:rsidRDefault="005F7BB4" w:rsidP="005F7BB4">
      <w:pPr>
        <w:spacing w:after="0"/>
      </w:pPr>
      <w:r w:rsidRPr="004718F4">
        <w:t xml:space="preserve">4. Dejte 100 </w:t>
      </w:r>
      <w:proofErr w:type="spellStart"/>
      <w:r w:rsidRPr="004718F4">
        <w:t>μl</w:t>
      </w:r>
      <w:proofErr w:type="spellEnd"/>
      <w:r w:rsidRPr="004718F4">
        <w:t xml:space="preserve"> testovaného vzorku do </w:t>
      </w:r>
      <w:r w:rsidR="008E5A84" w:rsidRPr="004718F4">
        <w:t>příslušných</w:t>
      </w:r>
      <w:r w:rsidRPr="004718F4">
        <w:t xml:space="preserve"> jamek. </w:t>
      </w:r>
    </w:p>
    <w:p w:rsidR="005F7BB4" w:rsidRPr="004718F4" w:rsidRDefault="005F7BB4" w:rsidP="005F7BB4">
      <w:pPr>
        <w:spacing w:after="0"/>
      </w:pPr>
      <w:r w:rsidRPr="004718F4">
        <w:t xml:space="preserve">5. Inkubujte </w:t>
      </w:r>
      <w:r w:rsidR="008E5A84" w:rsidRPr="004718F4">
        <w:t>vzorky dle pokynů v části A, B a C.</w:t>
      </w:r>
    </w:p>
    <w:p w:rsidR="005F7BB4" w:rsidRPr="004718F4" w:rsidRDefault="005F7BB4" w:rsidP="005F7BB4">
      <w:pPr>
        <w:spacing w:after="0"/>
      </w:pPr>
      <w:r w:rsidRPr="004718F4">
        <w:t>6. Od</w:t>
      </w:r>
      <w:r w:rsidR="008E5A84" w:rsidRPr="004718F4">
        <w:t xml:space="preserve">straňte roztok a každou jamku </w:t>
      </w:r>
      <w:r w:rsidRPr="004718F4">
        <w:t>5x promyjte přibližně 3</w:t>
      </w:r>
      <w:r w:rsidR="008E5A84" w:rsidRPr="004718F4">
        <w:t>0</w:t>
      </w:r>
      <w:r w:rsidRPr="004718F4">
        <w:t xml:space="preserve">0 µl </w:t>
      </w:r>
      <w:r w:rsidR="008E5A84" w:rsidRPr="004718F4">
        <w:t>mycího roztoku</w:t>
      </w:r>
      <w:r w:rsidRPr="004718F4">
        <w:t xml:space="preserve">.  Destička nesmí mezi umýváním a před přidáním </w:t>
      </w:r>
      <w:r w:rsidR="00E54B98" w:rsidRPr="004718F4">
        <w:t>dalšího činidla</w:t>
      </w:r>
      <w:r w:rsidRPr="004718F4">
        <w:t xml:space="preserve"> vyschnout. Po posledním vymytí odstraňte zbývající mycí tekutinu z každé destičky poklepáváním na savý materiál. </w:t>
      </w:r>
    </w:p>
    <w:p w:rsidR="005F7BB4" w:rsidRPr="004718F4" w:rsidRDefault="005F7BB4" w:rsidP="005F7BB4">
      <w:pPr>
        <w:spacing w:after="0"/>
      </w:pPr>
      <w:r w:rsidRPr="004718F4">
        <w:t xml:space="preserve">7. Přidejte 100 </w:t>
      </w:r>
      <w:proofErr w:type="spellStart"/>
      <w:r w:rsidRPr="004718F4">
        <w:t>μl</w:t>
      </w:r>
      <w:proofErr w:type="spellEnd"/>
      <w:r w:rsidRPr="004718F4">
        <w:t xml:space="preserve"> konjugátu do každé jamky.</w:t>
      </w:r>
    </w:p>
    <w:p w:rsidR="005F7BB4" w:rsidRPr="004718F4" w:rsidRDefault="005F7BB4" w:rsidP="005F7BB4">
      <w:pPr>
        <w:spacing w:after="0"/>
      </w:pPr>
      <w:r w:rsidRPr="004718F4">
        <w:t>8. Inkubujte 30 minut (± 2 minuty) při 18–26°C.</w:t>
      </w:r>
    </w:p>
    <w:p w:rsidR="005F7BB4" w:rsidRPr="004718F4" w:rsidRDefault="005F7BB4" w:rsidP="005F7BB4">
      <w:pPr>
        <w:spacing w:after="0"/>
      </w:pPr>
      <w:r w:rsidRPr="004718F4">
        <w:t xml:space="preserve">9. Opakujte krok č. 6. </w:t>
      </w:r>
    </w:p>
    <w:p w:rsidR="005F7BB4" w:rsidRPr="004718F4" w:rsidRDefault="005F7BB4" w:rsidP="005F7BB4">
      <w:pPr>
        <w:spacing w:after="0"/>
      </w:pPr>
      <w:r w:rsidRPr="004718F4">
        <w:t xml:space="preserve">10. Přidejte 100 </w:t>
      </w:r>
      <w:proofErr w:type="spellStart"/>
      <w:r w:rsidRPr="004718F4">
        <w:t>μl</w:t>
      </w:r>
      <w:proofErr w:type="spellEnd"/>
      <w:r w:rsidRPr="004718F4">
        <w:t xml:space="preserve"> TMB substrátu do každé jamky.</w:t>
      </w:r>
    </w:p>
    <w:p w:rsidR="005F7BB4" w:rsidRPr="004718F4" w:rsidRDefault="005F7BB4" w:rsidP="005F7BB4">
      <w:pPr>
        <w:spacing w:after="0"/>
      </w:pPr>
      <w:r w:rsidRPr="004718F4">
        <w:t xml:space="preserve">11. Inkubujte 15 minut (±1 min.) při 18–26°C. </w:t>
      </w:r>
    </w:p>
    <w:p w:rsidR="005F7BB4" w:rsidRPr="004718F4" w:rsidRDefault="005F7BB4" w:rsidP="005F7BB4">
      <w:pPr>
        <w:spacing w:after="0"/>
      </w:pPr>
      <w:r w:rsidRPr="004718F4">
        <w:t xml:space="preserve">12. Přidejte 100 </w:t>
      </w:r>
      <w:proofErr w:type="spellStart"/>
      <w:r w:rsidRPr="004718F4">
        <w:t>μl</w:t>
      </w:r>
      <w:proofErr w:type="spellEnd"/>
      <w:r w:rsidRPr="004718F4">
        <w:t xml:space="preserve"> zastavovacího roztoku do každé jamky.</w:t>
      </w:r>
    </w:p>
    <w:p w:rsidR="005F7BB4" w:rsidRPr="004718F4" w:rsidRDefault="005F7BB4" w:rsidP="005F7BB4">
      <w:r w:rsidRPr="004718F4">
        <w:t xml:space="preserve">13. Odečtěte a zaznamenejte výsledky při vlnové délce 650 </w:t>
      </w:r>
      <w:proofErr w:type="spellStart"/>
      <w:r w:rsidRPr="004718F4">
        <w:t>nm</w:t>
      </w:r>
      <w:proofErr w:type="spellEnd"/>
      <w:r w:rsidRPr="004718F4">
        <w:t>, A (650).</w:t>
      </w:r>
    </w:p>
    <w:p w:rsidR="008E5A84" w:rsidRPr="004718F4" w:rsidRDefault="008E5A84" w:rsidP="008E5A84">
      <w:pPr>
        <w:spacing w:after="0"/>
      </w:pPr>
      <w:r w:rsidRPr="004718F4">
        <w:t xml:space="preserve">14. </w:t>
      </w:r>
      <w:r w:rsidRPr="004718F4">
        <w:rPr>
          <w:b/>
        </w:rPr>
        <w:t>Výpočty:</w:t>
      </w:r>
      <w:r w:rsidRPr="004718F4">
        <w:t xml:space="preserve"> </w:t>
      </w:r>
    </w:p>
    <w:p w:rsidR="008E5A84" w:rsidRPr="004718F4" w:rsidRDefault="008E5A84" w:rsidP="008E5A84">
      <w:pPr>
        <w:spacing w:after="0"/>
      </w:pPr>
    </w:p>
    <w:p w:rsidR="008E5A84" w:rsidRPr="004718F4" w:rsidRDefault="008E5A84" w:rsidP="008E5A84">
      <w:pPr>
        <w:spacing w:after="0"/>
        <w:rPr>
          <w:b/>
        </w:rPr>
      </w:pPr>
      <w:r w:rsidRPr="004718F4">
        <w:rPr>
          <w:b/>
        </w:rPr>
        <w:t>Kontrolní vzorky</w:t>
      </w:r>
    </w:p>
    <w:p w:rsidR="008E5A84" w:rsidRPr="004718F4" w:rsidRDefault="008E5A84" w:rsidP="008E5A84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4718F4">
        <w:rPr>
          <w:rFonts w:asciiTheme="minorHAnsi" w:hAnsiTheme="minorHAnsi" w:cs="Swiss 72 1 BT"/>
          <w:color w:val="000000"/>
          <w:sz w:val="22"/>
          <w:szCs w:val="22"/>
        </w:rPr>
        <w:t>NKx</w:t>
      </w:r>
      <w:proofErr w:type="spellEnd"/>
      <w:r w:rsidRPr="004718F4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4718F4">
        <w:rPr>
          <w:rFonts w:asciiTheme="minorHAnsi" w:hAnsiTheme="minorHAnsi" w:cs="Swiss 72 1 BT"/>
          <w:color w:val="000000"/>
          <w:sz w:val="22"/>
          <w:szCs w:val="22"/>
          <w:u w:val="single"/>
        </w:rPr>
        <w:t>A1 A(650</w:t>
      </w:r>
      <w:proofErr w:type="gramEnd"/>
      <w:r w:rsidRPr="004718F4">
        <w:rPr>
          <w:rFonts w:asciiTheme="minorHAnsi" w:hAnsiTheme="minorHAnsi" w:cs="Swiss 72 1 BT"/>
          <w:color w:val="000000"/>
          <w:sz w:val="22"/>
          <w:szCs w:val="22"/>
          <w:u w:val="single"/>
        </w:rPr>
        <w:t>) + A2 A(650)</w:t>
      </w:r>
      <w:r w:rsidRPr="004718F4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</w:t>
      </w:r>
      <w:proofErr w:type="spellStart"/>
      <w:r w:rsidRPr="004718F4">
        <w:rPr>
          <w:rFonts w:asciiTheme="minorHAnsi" w:hAnsiTheme="minorHAnsi" w:cs="Swiss 72 1 BT"/>
          <w:color w:val="000000"/>
          <w:sz w:val="22"/>
          <w:szCs w:val="22"/>
        </w:rPr>
        <w:t>PKx</w:t>
      </w:r>
      <w:proofErr w:type="spellEnd"/>
      <w:r w:rsidRPr="004718F4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r w:rsidRPr="004718F4">
        <w:rPr>
          <w:rFonts w:asciiTheme="minorHAnsi" w:hAnsiTheme="minorHAnsi" w:cs="Swiss 72 1 BT"/>
          <w:color w:val="000000"/>
          <w:sz w:val="22"/>
          <w:szCs w:val="22"/>
          <w:u w:val="single"/>
        </w:rPr>
        <w:t>A3 A(650) + A4 A(650)</w:t>
      </w:r>
      <w:r w:rsidRPr="004718F4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4718F4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2                                                                                                  2</w:t>
      </w:r>
    </w:p>
    <w:p w:rsidR="008E5A84" w:rsidRPr="004718F4" w:rsidRDefault="008E5A84" w:rsidP="008E5A84">
      <w:pPr>
        <w:spacing w:after="0"/>
      </w:pPr>
    </w:p>
    <w:p w:rsidR="008E5A84" w:rsidRPr="004718F4" w:rsidRDefault="008E5A84" w:rsidP="008E5A84">
      <w:pPr>
        <w:spacing w:after="0"/>
        <w:rPr>
          <w:b/>
        </w:rPr>
      </w:pPr>
      <w:r w:rsidRPr="004718F4">
        <w:rPr>
          <w:b/>
        </w:rPr>
        <w:t xml:space="preserve">Kritéria validity </w:t>
      </w:r>
    </w:p>
    <w:p w:rsidR="008E5A84" w:rsidRPr="004718F4" w:rsidRDefault="008E5A84" w:rsidP="008E5A84">
      <w:pPr>
        <w:spacing w:after="0"/>
      </w:pPr>
    </w:p>
    <w:p w:rsidR="008E5A84" w:rsidRPr="004718F4" w:rsidRDefault="008E5A84" w:rsidP="008E5A84">
      <w:pPr>
        <w:spacing w:after="0"/>
      </w:pPr>
      <w:proofErr w:type="spellStart"/>
      <w:r w:rsidRPr="004718F4">
        <w:t>NKx</w:t>
      </w:r>
      <w:proofErr w:type="spellEnd"/>
      <w:r w:rsidRPr="004718F4">
        <w:t xml:space="preserve"> – </w:t>
      </w:r>
      <w:proofErr w:type="spellStart"/>
      <w:r w:rsidRPr="004718F4">
        <w:t>PKx</w:t>
      </w:r>
      <w:proofErr w:type="spellEnd"/>
      <w:r w:rsidRPr="004718F4">
        <w:t xml:space="preserve"> &gt; ≥ 0,300 </w:t>
      </w:r>
    </w:p>
    <w:p w:rsidR="008E5A84" w:rsidRPr="004718F4" w:rsidRDefault="008E5A84" w:rsidP="008E5A84">
      <w:pPr>
        <w:spacing w:after="0"/>
      </w:pPr>
    </w:p>
    <w:p w:rsidR="008E5A84" w:rsidRPr="004718F4" w:rsidRDefault="008E5A84" w:rsidP="008E5A84">
      <w:pPr>
        <w:spacing w:after="0"/>
      </w:pPr>
      <w:r w:rsidRPr="004718F4">
        <w:t>Při neplatnosti výsledků je třeba předpokládat chybu v technice provedení. Doporučuje se důkladně znovu prostudovat př</w:t>
      </w:r>
      <w:r w:rsidR="00E54B98" w:rsidRPr="004718F4">
        <w:t>íbalovou informaci</w:t>
      </w:r>
      <w:r w:rsidRPr="004718F4">
        <w:t xml:space="preserve"> a test provést znovu. </w:t>
      </w:r>
    </w:p>
    <w:p w:rsidR="008E5A84" w:rsidRPr="004718F4" w:rsidRDefault="008E5A84" w:rsidP="008E5A84">
      <w:pPr>
        <w:spacing w:after="0"/>
      </w:pPr>
    </w:p>
    <w:p w:rsidR="001A2504" w:rsidRDefault="001A2504" w:rsidP="008E5A84">
      <w:pPr>
        <w:spacing w:after="0"/>
        <w:rPr>
          <w:b/>
        </w:rPr>
      </w:pPr>
    </w:p>
    <w:p w:rsidR="001A2504" w:rsidRDefault="001A2504" w:rsidP="008E5A84">
      <w:pPr>
        <w:spacing w:after="0"/>
        <w:rPr>
          <w:b/>
        </w:rPr>
      </w:pPr>
    </w:p>
    <w:p w:rsidR="008E5A84" w:rsidRPr="004718F4" w:rsidRDefault="008E5A84" w:rsidP="008E5A84">
      <w:pPr>
        <w:spacing w:after="0"/>
        <w:rPr>
          <w:b/>
        </w:rPr>
      </w:pPr>
      <w:r w:rsidRPr="004718F4">
        <w:rPr>
          <w:b/>
        </w:rPr>
        <w:lastRenderedPageBreak/>
        <w:t>Vzorky</w:t>
      </w:r>
    </w:p>
    <w:p w:rsidR="008E5A84" w:rsidRPr="004718F4" w:rsidRDefault="008E5A84" w:rsidP="008E5A84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proofErr w:type="gramStart"/>
      <w:r w:rsidRPr="004718F4">
        <w:rPr>
          <w:rFonts w:cs="Swiss 72 1 BT"/>
          <w:color w:val="000000"/>
        </w:rPr>
        <w:t>S/</w:t>
      </w:r>
      <w:r w:rsidR="00E54B98" w:rsidRPr="004718F4">
        <w:rPr>
          <w:rFonts w:cs="Swiss 72 1 BT"/>
          <w:color w:val="000000"/>
        </w:rPr>
        <w:t>N</w:t>
      </w:r>
      <w:r w:rsidRPr="004718F4">
        <w:rPr>
          <w:rFonts w:cs="Swiss 72 1 BT"/>
          <w:color w:val="000000"/>
        </w:rPr>
        <w:t xml:space="preserve">  = </w:t>
      </w:r>
      <w:r w:rsidRPr="004718F4">
        <w:rPr>
          <w:rFonts w:cs="Swiss 72 1 BT"/>
          <w:color w:val="000000"/>
          <w:u w:val="single"/>
        </w:rPr>
        <w:t>A(650</w:t>
      </w:r>
      <w:proofErr w:type="gramEnd"/>
      <w:r w:rsidRPr="004718F4">
        <w:rPr>
          <w:rFonts w:cs="Swiss 72 1 BT"/>
          <w:color w:val="000000"/>
          <w:u w:val="single"/>
        </w:rPr>
        <w:t>) vzorku</w:t>
      </w:r>
      <w:r w:rsidRPr="004718F4">
        <w:rPr>
          <w:rFonts w:cs="Swiss 72 1 BT"/>
          <w:strike/>
          <w:color w:val="000000"/>
        </w:rPr>
        <w:t xml:space="preserve"> </w:t>
      </w:r>
      <w:r w:rsidRPr="004718F4">
        <w:rPr>
          <w:rFonts w:cs="Swiss 72 1 BT"/>
          <w:color w:val="000000"/>
        </w:rPr>
        <w:t xml:space="preserve">                               </w:t>
      </w:r>
    </w:p>
    <w:p w:rsidR="005F7BB4" w:rsidRPr="004718F4" w:rsidRDefault="008E5A84" w:rsidP="006530A7">
      <w:pPr>
        <w:spacing w:after="0"/>
        <w:rPr>
          <w:b/>
        </w:rPr>
      </w:pPr>
      <w:r w:rsidRPr="004718F4">
        <w:rPr>
          <w:rFonts w:cs="Swiss 72 1 BT"/>
          <w:color w:val="000000"/>
        </w:rPr>
        <w:t xml:space="preserve">                 </w:t>
      </w:r>
      <w:proofErr w:type="spellStart"/>
      <w:r w:rsidRPr="004718F4">
        <w:rPr>
          <w:rFonts w:cs="Swiss 72 1 BT"/>
          <w:color w:val="000000"/>
        </w:rPr>
        <w:t>N</w:t>
      </w:r>
      <w:r w:rsidR="00E54B98" w:rsidRPr="004718F4">
        <w:rPr>
          <w:rFonts w:cs="Swiss 72 1 BT"/>
          <w:color w:val="000000"/>
        </w:rPr>
        <w:t>K</w:t>
      </w:r>
      <w:r w:rsidRPr="004718F4">
        <w:rPr>
          <w:rFonts w:cs="Swiss 72 1 BT"/>
          <w:color w:val="000000"/>
        </w:rPr>
        <w:t>x</w:t>
      </w:r>
      <w:proofErr w:type="spellEnd"/>
    </w:p>
    <w:p w:rsidR="006530A7" w:rsidRPr="004718F4" w:rsidRDefault="006530A7" w:rsidP="00F14DC4">
      <w:pPr>
        <w:spacing w:after="0"/>
        <w:rPr>
          <w:b/>
        </w:rPr>
      </w:pPr>
    </w:p>
    <w:p w:rsidR="008E2A95" w:rsidRPr="004718F4" w:rsidRDefault="008E5A84" w:rsidP="008E2A95">
      <w:r w:rsidRPr="004718F4">
        <w:t xml:space="preserve">Přítomnost nebo nepřítomnost protilátek proti antigenu </w:t>
      </w:r>
      <w:proofErr w:type="spellStart"/>
      <w:r w:rsidRPr="004718F4">
        <w:t>gE</w:t>
      </w:r>
      <w:proofErr w:type="spellEnd"/>
      <w:r w:rsidRPr="004718F4">
        <w:t xml:space="preserve"> se určuje výpočtem hodnoty S/N pro jednotlivé vzorky.</w:t>
      </w:r>
    </w:p>
    <w:p w:rsidR="00E54B98" w:rsidRPr="004718F4" w:rsidRDefault="00E54B98" w:rsidP="008E2A95">
      <w:pPr>
        <w:rPr>
          <w:b/>
        </w:rPr>
      </w:pPr>
    </w:p>
    <w:p w:rsidR="008E5A84" w:rsidRPr="004718F4" w:rsidRDefault="008E5A84" w:rsidP="008E2A95">
      <w:pPr>
        <w:rPr>
          <w:b/>
        </w:rPr>
      </w:pPr>
      <w:r w:rsidRPr="004718F4">
        <w:rPr>
          <w:b/>
        </w:rPr>
        <w:t>15. Interpretace:</w:t>
      </w:r>
    </w:p>
    <w:p w:rsidR="008E5A84" w:rsidRPr="004718F4" w:rsidRDefault="008E5A84" w:rsidP="008E2A95">
      <w:pPr>
        <w:rPr>
          <w:b/>
        </w:rPr>
      </w:pPr>
      <w:r w:rsidRPr="004718F4">
        <w:rPr>
          <w:b/>
        </w:rPr>
        <w:t>A. Sérum a plazma</w:t>
      </w:r>
    </w:p>
    <w:p w:rsidR="008E5A84" w:rsidRPr="004718F4" w:rsidRDefault="008E5A84" w:rsidP="008E2A95">
      <w:r w:rsidRPr="004718F4">
        <w:t>Negativní: S/N &gt; 0,70</w:t>
      </w:r>
    </w:p>
    <w:p w:rsidR="008E5A84" w:rsidRPr="004718F4" w:rsidRDefault="008E5A84" w:rsidP="008E2A95">
      <w:r w:rsidRPr="004718F4">
        <w:t>Suspektní: 0,70 ≥ S/N &gt; 0,60</w:t>
      </w:r>
    </w:p>
    <w:p w:rsidR="008E5A84" w:rsidRPr="004718F4" w:rsidRDefault="008E5A84" w:rsidP="008E2A95">
      <w:r w:rsidRPr="004718F4">
        <w:t>Pozitivní: S/N ≤ 0,60</w:t>
      </w:r>
    </w:p>
    <w:p w:rsidR="008E5A84" w:rsidRPr="004718F4" w:rsidRDefault="008E5A84" w:rsidP="008E2A95"/>
    <w:p w:rsidR="008E2A95" w:rsidRPr="004718F4" w:rsidRDefault="0077577E">
      <w:r w:rsidRPr="004718F4">
        <w:rPr>
          <w:b/>
        </w:rPr>
        <w:t>B. Vzorky mléka</w:t>
      </w:r>
    </w:p>
    <w:p w:rsidR="0077577E" w:rsidRPr="004718F4" w:rsidRDefault="0077577E">
      <w:r w:rsidRPr="004718F4">
        <w:t>Negativní: S/N &gt; 0,80</w:t>
      </w:r>
    </w:p>
    <w:p w:rsidR="0077577E" w:rsidRPr="004718F4" w:rsidRDefault="0077577E">
      <w:r w:rsidRPr="004718F4">
        <w:t>Pozitivní: S/N ≤ 0,80</w:t>
      </w:r>
    </w:p>
    <w:p w:rsidR="0077577E" w:rsidRPr="004718F4" w:rsidRDefault="0077577E" w:rsidP="0077577E">
      <w:pPr>
        <w:spacing w:after="0"/>
      </w:pPr>
      <w:r w:rsidRPr="004718F4">
        <w:t>Poznámka: Společnost IDEXX má k dispozici přístrojové a softwarové systémy, které vypočítávají výsledky a poskytují souhrny údajů.</w:t>
      </w:r>
    </w:p>
    <w:p w:rsidR="0077577E" w:rsidRPr="004718F4" w:rsidRDefault="0077577E" w:rsidP="0077577E">
      <w:pPr>
        <w:spacing w:after="0"/>
      </w:pPr>
    </w:p>
    <w:p w:rsidR="0077577E" w:rsidRPr="004718F4" w:rsidRDefault="0077577E" w:rsidP="0077577E">
      <w:pPr>
        <w:spacing w:after="0"/>
        <w:rPr>
          <w:b/>
        </w:rPr>
      </w:pPr>
      <w:r w:rsidRPr="004718F4">
        <w:rPr>
          <w:b/>
        </w:rPr>
        <w:t>Bibliografie</w:t>
      </w:r>
    </w:p>
    <w:p w:rsidR="00E54B98" w:rsidRPr="004718F4" w:rsidRDefault="00E54B98" w:rsidP="00E54B98">
      <w:pPr>
        <w:pStyle w:val="Pa0"/>
        <w:spacing w:after="80"/>
        <w:rPr>
          <w:rFonts w:asciiTheme="minorHAnsi" w:hAnsiTheme="minorHAnsi"/>
          <w:sz w:val="22"/>
          <w:szCs w:val="22"/>
        </w:rPr>
      </w:pPr>
      <w:r w:rsidRPr="004718F4">
        <w:rPr>
          <w:rFonts w:asciiTheme="minorHAnsi" w:hAnsiTheme="minorHAnsi"/>
          <w:sz w:val="22"/>
          <w:szCs w:val="22"/>
        </w:rPr>
        <w:t xml:space="preserve">1. van </w:t>
      </w:r>
      <w:proofErr w:type="spellStart"/>
      <w:r w:rsidRPr="004718F4">
        <w:rPr>
          <w:rFonts w:asciiTheme="minorHAnsi" w:hAnsiTheme="minorHAnsi"/>
          <w:sz w:val="22"/>
          <w:szCs w:val="22"/>
        </w:rPr>
        <w:t>Oirschot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, J.T., et al.: A </w:t>
      </w:r>
      <w:proofErr w:type="spellStart"/>
      <w:r w:rsidRPr="004718F4">
        <w:rPr>
          <w:rFonts w:asciiTheme="minorHAnsi" w:hAnsiTheme="minorHAnsi"/>
          <w:sz w:val="22"/>
          <w:szCs w:val="22"/>
        </w:rPr>
        <w:t>conventionally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attenuated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glycoprotein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E-negative </w:t>
      </w:r>
      <w:proofErr w:type="spellStart"/>
      <w:r w:rsidRPr="004718F4">
        <w:rPr>
          <w:rFonts w:asciiTheme="minorHAnsi" w:hAnsiTheme="minorHAnsi"/>
          <w:sz w:val="22"/>
          <w:szCs w:val="22"/>
        </w:rPr>
        <w:t>strain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of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Bovine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Herpes Virus Type-1 </w:t>
      </w:r>
      <w:proofErr w:type="spellStart"/>
      <w:r w:rsidRPr="004718F4">
        <w:rPr>
          <w:rFonts w:asciiTheme="minorHAnsi" w:hAnsiTheme="minorHAnsi"/>
          <w:sz w:val="22"/>
          <w:szCs w:val="22"/>
        </w:rPr>
        <w:t>is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an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efficacious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4718F4">
        <w:rPr>
          <w:rFonts w:asciiTheme="minorHAnsi" w:hAnsiTheme="minorHAnsi"/>
          <w:sz w:val="22"/>
          <w:szCs w:val="22"/>
        </w:rPr>
        <w:t>safe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718F4">
        <w:rPr>
          <w:rFonts w:asciiTheme="minorHAnsi" w:hAnsiTheme="minorHAnsi"/>
          <w:sz w:val="22"/>
          <w:szCs w:val="22"/>
        </w:rPr>
        <w:t>vaccine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4718F4">
        <w:rPr>
          <w:rFonts w:asciiTheme="minorHAnsi" w:hAnsiTheme="minorHAnsi"/>
          <w:sz w:val="22"/>
          <w:szCs w:val="22"/>
        </w:rPr>
        <w:t>Vaccine</w:t>
      </w:r>
      <w:proofErr w:type="spellEnd"/>
      <w:r w:rsidRPr="004718F4">
        <w:rPr>
          <w:rFonts w:asciiTheme="minorHAnsi" w:hAnsiTheme="minorHAnsi"/>
          <w:sz w:val="22"/>
          <w:szCs w:val="22"/>
        </w:rPr>
        <w:t xml:space="preserve"> 1994; 12 (5): pp 439-444.</w:t>
      </w:r>
    </w:p>
    <w:p w:rsidR="0077577E" w:rsidRPr="004718F4" w:rsidRDefault="00E54B98" w:rsidP="00E54B98">
      <w:pPr>
        <w:spacing w:after="0"/>
      </w:pPr>
      <w:r w:rsidRPr="004718F4">
        <w:t xml:space="preserve">2. </w:t>
      </w:r>
      <w:proofErr w:type="spellStart"/>
      <w:r w:rsidRPr="004718F4">
        <w:t>Forschner</w:t>
      </w:r>
      <w:proofErr w:type="spellEnd"/>
      <w:r w:rsidRPr="004718F4">
        <w:t xml:space="preserve">, E., </w:t>
      </w:r>
      <w:proofErr w:type="spellStart"/>
      <w:r w:rsidRPr="004718F4">
        <w:t>Bunger</w:t>
      </w:r>
      <w:proofErr w:type="spellEnd"/>
      <w:r w:rsidRPr="004718F4">
        <w:t xml:space="preserve">, I., </w:t>
      </w:r>
      <w:proofErr w:type="spellStart"/>
      <w:r w:rsidRPr="004718F4">
        <w:t>Nachweis</w:t>
      </w:r>
      <w:proofErr w:type="spellEnd"/>
      <w:r w:rsidRPr="004718F4">
        <w:t xml:space="preserve"> von IBR/IPV, </w:t>
      </w:r>
      <w:proofErr w:type="spellStart"/>
      <w:r w:rsidRPr="004718F4">
        <w:t>Leukose</w:t>
      </w:r>
      <w:proofErr w:type="spellEnd"/>
      <w:r w:rsidRPr="004718F4">
        <w:t xml:space="preserve">, </w:t>
      </w:r>
      <w:proofErr w:type="spellStart"/>
      <w:r w:rsidRPr="004718F4">
        <w:t>und</w:t>
      </w:r>
      <w:proofErr w:type="spellEnd"/>
      <w:r w:rsidRPr="004718F4">
        <w:t xml:space="preserve"> </w:t>
      </w:r>
      <w:proofErr w:type="spellStart"/>
      <w:r w:rsidRPr="004718F4">
        <w:t>Brucellose</w:t>
      </w:r>
      <w:proofErr w:type="spellEnd"/>
      <w:r w:rsidRPr="004718F4">
        <w:t xml:space="preserve"> </w:t>
      </w:r>
      <w:proofErr w:type="spellStart"/>
      <w:r w:rsidRPr="004718F4">
        <w:t>antikorpern</w:t>
      </w:r>
      <w:proofErr w:type="spellEnd"/>
      <w:r w:rsidRPr="004718F4">
        <w:t xml:space="preserve"> in </w:t>
      </w:r>
      <w:proofErr w:type="spellStart"/>
      <w:r w:rsidRPr="004718F4">
        <w:t>Bestandsmilchproben</w:t>
      </w:r>
      <w:proofErr w:type="spellEnd"/>
      <w:r w:rsidRPr="004718F4">
        <w:t xml:space="preserve"> </w:t>
      </w:r>
      <w:proofErr w:type="spellStart"/>
      <w:r w:rsidRPr="004718F4">
        <w:t>mit</w:t>
      </w:r>
      <w:proofErr w:type="spellEnd"/>
      <w:r w:rsidRPr="004718F4">
        <w:t xml:space="preserve"> ELISA nach </w:t>
      </w:r>
      <w:proofErr w:type="spellStart"/>
      <w:r w:rsidRPr="004718F4">
        <w:t>einer</w:t>
      </w:r>
      <w:proofErr w:type="spellEnd"/>
      <w:r w:rsidRPr="004718F4">
        <w:t xml:space="preserve"> </w:t>
      </w:r>
      <w:proofErr w:type="spellStart"/>
      <w:r w:rsidRPr="004718F4">
        <w:t>einfachen</w:t>
      </w:r>
      <w:proofErr w:type="spellEnd"/>
      <w:r w:rsidRPr="004718F4">
        <w:t xml:space="preserve"> </w:t>
      </w:r>
      <w:proofErr w:type="spellStart"/>
      <w:r w:rsidRPr="004718F4">
        <w:t>Konzentrierungsmethode</w:t>
      </w:r>
      <w:proofErr w:type="spellEnd"/>
      <w:r w:rsidRPr="004718F4">
        <w:t xml:space="preserve">. </w:t>
      </w:r>
      <w:proofErr w:type="spellStart"/>
      <w:r w:rsidRPr="004718F4">
        <w:t>Dtsch</w:t>
      </w:r>
      <w:proofErr w:type="spellEnd"/>
      <w:r w:rsidRPr="004718F4">
        <w:t xml:space="preserve">. </w:t>
      </w:r>
      <w:proofErr w:type="spellStart"/>
      <w:r w:rsidRPr="004718F4">
        <w:t>tierartztl</w:t>
      </w:r>
      <w:proofErr w:type="spellEnd"/>
      <w:r w:rsidRPr="004718F4">
        <w:t xml:space="preserve">. </w:t>
      </w:r>
      <w:proofErr w:type="spellStart"/>
      <w:r w:rsidRPr="004718F4">
        <w:t>Wochenschr</w:t>
      </w:r>
      <w:proofErr w:type="spellEnd"/>
      <w:r w:rsidRPr="004718F4">
        <w:t>. 93, 112-115, 1986.</w:t>
      </w:r>
    </w:p>
    <w:p w:rsidR="00E54B98" w:rsidRPr="004718F4" w:rsidRDefault="00E54B98" w:rsidP="00E54B98">
      <w:pPr>
        <w:spacing w:after="0"/>
      </w:pPr>
    </w:p>
    <w:p w:rsidR="00E54B98" w:rsidRPr="004718F4" w:rsidRDefault="00E54B98" w:rsidP="00E54B98">
      <w:pPr>
        <w:spacing w:after="0"/>
      </w:pPr>
    </w:p>
    <w:p w:rsidR="0077577E" w:rsidRPr="004718F4" w:rsidRDefault="0077577E" w:rsidP="0077577E">
      <w:pPr>
        <w:spacing w:after="0"/>
      </w:pPr>
      <w:r w:rsidRPr="004718F4">
        <w:t>Technická podpora:</w:t>
      </w:r>
    </w:p>
    <w:p w:rsidR="0077577E" w:rsidRPr="004718F4" w:rsidRDefault="0077577E" w:rsidP="0077577E">
      <w:pPr>
        <w:spacing w:after="0"/>
      </w:pPr>
    </w:p>
    <w:p w:rsidR="0077577E" w:rsidRPr="004718F4" w:rsidRDefault="0077577E" w:rsidP="0077577E">
      <w:pPr>
        <w:spacing w:after="0"/>
      </w:pPr>
      <w:r w:rsidRPr="004718F4">
        <w:t>IDEXX USA Tel: +1 800 548 9997 nebo +1 207 556 4895</w:t>
      </w:r>
    </w:p>
    <w:p w:rsidR="0077577E" w:rsidRPr="004718F4" w:rsidRDefault="0077577E" w:rsidP="0077577E">
      <w:pPr>
        <w:spacing w:after="0"/>
      </w:pPr>
      <w:r w:rsidRPr="004718F4">
        <w:t>IDEXX Evropa Tel: +800 727 43399</w:t>
      </w:r>
    </w:p>
    <w:p w:rsidR="0077577E" w:rsidRPr="004718F4" w:rsidRDefault="0077577E" w:rsidP="0077577E">
      <w:pPr>
        <w:spacing w:after="0"/>
      </w:pPr>
      <w:r w:rsidRPr="004718F4">
        <w:t xml:space="preserve">Obraťte se na manažera nebo distributora společnosti IDEXX pro Vaši oblast nebo navštivte naši webovou stránku: </w:t>
      </w:r>
      <w:hyperlink r:id="rId7" w:history="1">
        <w:r w:rsidRPr="004718F4">
          <w:rPr>
            <w:rStyle w:val="Hypertextovodkaz"/>
          </w:rPr>
          <w:t>www.idexx.com/production/contactlpd</w:t>
        </w:r>
      </w:hyperlink>
    </w:p>
    <w:p w:rsidR="0077577E" w:rsidRPr="004718F4" w:rsidRDefault="0077577E" w:rsidP="0077577E">
      <w:pPr>
        <w:spacing w:after="0"/>
      </w:pPr>
    </w:p>
    <w:p w:rsidR="0077577E" w:rsidRPr="004718F4" w:rsidRDefault="0077577E" w:rsidP="0077577E">
      <w:pPr>
        <w:spacing w:after="0"/>
      </w:pPr>
      <w:r w:rsidRPr="004718F4">
        <w:t xml:space="preserve">*IDEXX a Test </w:t>
      </w:r>
      <w:proofErr w:type="spellStart"/>
      <w:r w:rsidRPr="004718F4">
        <w:t>With</w:t>
      </w:r>
      <w:proofErr w:type="spellEnd"/>
      <w:r w:rsidRPr="004718F4">
        <w:t xml:space="preserve"> </w:t>
      </w:r>
      <w:proofErr w:type="spellStart"/>
      <w:r w:rsidRPr="004718F4">
        <w:t>Confidence</w:t>
      </w:r>
      <w:proofErr w:type="spellEnd"/>
      <w:r w:rsidRPr="004718F4">
        <w:t xml:space="preserve"> jsou ochranné známky nebo registrované ochranné známky</w:t>
      </w:r>
    </w:p>
    <w:p w:rsidR="0077577E" w:rsidRPr="004718F4" w:rsidRDefault="0077577E" w:rsidP="0077577E">
      <w:pPr>
        <w:spacing w:after="0"/>
      </w:pPr>
      <w:r w:rsidRPr="004718F4">
        <w:lastRenderedPageBreak/>
        <w:t xml:space="preserve">společnosti IDEXX </w:t>
      </w:r>
      <w:proofErr w:type="spellStart"/>
      <w:r w:rsidRPr="004718F4">
        <w:t>Laboratories</w:t>
      </w:r>
      <w:proofErr w:type="spellEnd"/>
      <w:r w:rsidRPr="004718F4">
        <w:t>, Inc. nebo jejích přidružených společností ve Spojených státech amerických a/nebo v jiných zemích.</w:t>
      </w:r>
    </w:p>
    <w:p w:rsidR="0077577E" w:rsidRPr="004718F4" w:rsidRDefault="0077577E" w:rsidP="0077577E">
      <w:pPr>
        <w:spacing w:after="0"/>
      </w:pPr>
      <w:r w:rsidRPr="004718F4">
        <w:t>© 20</w:t>
      </w:r>
      <w:r w:rsidR="00E54B98" w:rsidRPr="004718F4">
        <w:t>22</w:t>
      </w:r>
      <w:r w:rsidRPr="004718F4">
        <w:t xml:space="preserve"> IDEXX </w:t>
      </w:r>
      <w:proofErr w:type="spellStart"/>
      <w:r w:rsidRPr="004718F4">
        <w:t>Laboratories</w:t>
      </w:r>
      <w:proofErr w:type="spellEnd"/>
      <w:r w:rsidRPr="004718F4">
        <w:t>, Inc. Veškerá práva vyhrazena.</w:t>
      </w:r>
    </w:p>
    <w:p w:rsidR="0077577E" w:rsidRPr="004718F4" w:rsidRDefault="0077577E" w:rsidP="0077577E">
      <w:pPr>
        <w:spacing w:after="0"/>
      </w:pPr>
    </w:p>
    <w:p w:rsidR="00E54B98" w:rsidRPr="004718F4" w:rsidRDefault="00E54B98" w:rsidP="0077577E">
      <w:pPr>
        <w:spacing w:after="0"/>
      </w:pPr>
    </w:p>
    <w:p w:rsidR="0077577E" w:rsidRPr="004718F4" w:rsidRDefault="00E54B98" w:rsidP="00E54B98">
      <w:pPr>
        <w:spacing w:after="0"/>
        <w:jc w:val="center"/>
        <w:rPr>
          <w:b/>
        </w:rPr>
      </w:pPr>
      <w:r w:rsidRPr="004718F4">
        <w:rPr>
          <w:b/>
        </w:rPr>
        <w:t>VAROVÁNÍ</w:t>
      </w:r>
    </w:p>
    <w:p w:rsidR="0077577E" w:rsidRPr="004718F4" w:rsidRDefault="0077577E" w:rsidP="0077577E">
      <w:pPr>
        <w:spacing w:after="0"/>
      </w:pPr>
    </w:p>
    <w:p w:rsidR="00E54B98" w:rsidRPr="004718F4" w:rsidRDefault="00E54B98" w:rsidP="0077577E">
      <w:pPr>
        <w:spacing w:after="0"/>
      </w:pPr>
      <w:r w:rsidRPr="004718F4">
        <w:rPr>
          <w:noProof/>
          <w:lang w:eastAsia="cs-CZ"/>
        </w:rPr>
        <w:drawing>
          <wp:inline distT="0" distB="0" distL="0" distR="0">
            <wp:extent cx="5752465" cy="2527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98" w:rsidRPr="004718F4" w:rsidRDefault="00E54B98" w:rsidP="0077577E">
      <w:pPr>
        <w:spacing w:after="0"/>
      </w:pPr>
      <w:r w:rsidRPr="004718F4">
        <w:rPr>
          <w:b/>
        </w:rPr>
        <w:t xml:space="preserve">Pozitivní kontrolní vzorek / Negativní kontrolní vzorek / Konjugát / Mycí roztok (10x) </w:t>
      </w:r>
      <w:r w:rsidRPr="004718F4">
        <w:t xml:space="preserve">– Může vyvolat alergickou kožní reakci. Škodlivý pro vodní organismy, s dlouhodobými účinky. Zamezte vdechování </w:t>
      </w:r>
      <w:r w:rsidR="00707E3B" w:rsidRPr="004718F4">
        <w:t>mlhy/par. Používejte ochranné rukavice. Při podráždění kůže nebo vyrážce: Vyhledejte lékařskou pomoc/ošetření.</w:t>
      </w:r>
    </w:p>
    <w:p w:rsidR="00707E3B" w:rsidRPr="004718F4" w:rsidRDefault="00707E3B" w:rsidP="0077577E">
      <w:pPr>
        <w:spacing w:after="0"/>
      </w:pPr>
    </w:p>
    <w:p w:rsidR="00707E3B" w:rsidRPr="004718F4" w:rsidRDefault="00707E3B" w:rsidP="0077577E">
      <w:pPr>
        <w:spacing w:after="0"/>
      </w:pPr>
      <w:r w:rsidRPr="004718F4">
        <w:rPr>
          <w:noProof/>
          <w:lang w:eastAsia="cs-CZ"/>
        </w:rPr>
        <w:drawing>
          <wp:inline distT="0" distB="0" distL="0" distR="0">
            <wp:extent cx="5753735" cy="231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3B" w:rsidRPr="004718F4" w:rsidRDefault="00707E3B" w:rsidP="0077577E">
      <w:pPr>
        <w:spacing w:after="0"/>
      </w:pPr>
      <w:r w:rsidRPr="004718F4">
        <w:rPr>
          <w:b/>
        </w:rPr>
        <w:t xml:space="preserve">Roztok k ředění vzorků </w:t>
      </w:r>
      <w:r w:rsidRPr="004718F4">
        <w:t>- Může vyvolat alergickou kožní reakci. Způsobuje vážné podráždění očí. Škodlivý pro vodní organismy, s dlouhodobými účinky. Zamezte vdechování mlhy/par. Používejte ochranné rukavice, ochranné brýle a obličejový štít. PŘI ZASAŽENÍ OČÍ: Několik minut opatrně vyplachujte vodou. Vyjměte kontaktní čočky, jsou-li nasazeny a pokud je lze vyjmout snadno. Pokračujte ve vyplachování. Při podráždění kůže nebo vyrážce: Vyhledejte lékařskou pomoc/ošetření.</w:t>
      </w:r>
    </w:p>
    <w:p w:rsidR="001A2504" w:rsidRDefault="001A2504" w:rsidP="00707E3B">
      <w:pPr>
        <w:rPr>
          <w:rFonts w:cs="TTE1965D00t00"/>
          <w:b/>
          <w:noProof/>
          <w:color w:val="000000"/>
        </w:rPr>
      </w:pPr>
    </w:p>
    <w:p w:rsidR="001A2504" w:rsidRPr="004718F4" w:rsidRDefault="001A2504" w:rsidP="00707E3B">
      <w:pPr>
        <w:rPr>
          <w:rFonts w:cs="TTE1965D00t00"/>
          <w:b/>
          <w:noProof/>
          <w:color w:val="000000"/>
        </w:rPr>
      </w:pPr>
    </w:p>
    <w:p w:rsidR="00707E3B" w:rsidRPr="004718F4" w:rsidRDefault="00707E3B" w:rsidP="00707E3B">
      <w:pPr>
        <w:rPr>
          <w:rFonts w:cs="TTE1965D00t00"/>
          <w:b/>
          <w:noProof/>
          <w:color w:val="000000"/>
        </w:rPr>
      </w:pPr>
      <w:r w:rsidRPr="004718F4">
        <w:rPr>
          <w:rFonts w:cs="TTE1965D00t00"/>
          <w:b/>
          <w:noProof/>
          <w:color w:val="000000"/>
        </w:rPr>
        <w:t>Popis symbolů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1CA7A693" wp14:editId="66AE0940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Kód šarže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3DA5D0C4" wp14:editId="1D46B3FD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Sériové číslo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3C73C102" wp14:editId="3FC04A3C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Katalogové číslo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4EECB7D6" wp14:editId="6A5576FD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Diagnostika in vitro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6BC2B77A" wp14:editId="2805AEEB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Autorizovaný zástupce v Evropském společenství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7D1440EA" wp14:editId="0D0B3F28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Pozitivní kontrolní vzorek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0382959C" wp14:editId="43B23E5D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Negativní kontrolní vzorek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280F5492" wp14:editId="6F2C3642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Použijte do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0E2A7E49" wp14:editId="0F3B7730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Datum výroby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7758168B" wp14:editId="0965D5D9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Výrobce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22C9A958" wp14:editId="2D7261B2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Teplotní omezení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4718F4">
        <w:rPr>
          <w:rFonts w:cs="TTE1965D00t00"/>
          <w:noProof/>
          <w:color w:val="000000"/>
          <w:lang w:eastAsia="cs-CZ"/>
        </w:rPr>
        <w:drawing>
          <wp:inline distT="0" distB="0" distL="0" distR="0" wp14:anchorId="181AC381" wp14:editId="55CAFD89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TTE1965D00t00"/>
          <w:noProof/>
          <w:color w:val="000000"/>
        </w:rPr>
        <w:tab/>
        <w:t>Čtěte návod na použití</w:t>
      </w: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707E3B" w:rsidRPr="004718F4" w:rsidRDefault="00707E3B" w:rsidP="00707E3B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</w:rPr>
      </w:pPr>
      <w:r w:rsidRPr="004718F4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676D4A28" wp14:editId="66C2D51E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8F4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4718F4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4718F4">
        <w:rPr>
          <w:rFonts w:cs="Swiss721BT-Bold"/>
          <w:bCs/>
          <w:noProof/>
          <w:color w:val="000000"/>
          <w:sz w:val="24"/>
          <w:szCs w:val="24"/>
        </w:rPr>
        <w:tab/>
      </w:r>
      <w:r w:rsidRPr="004718F4">
        <w:rPr>
          <w:rFonts w:cs="Swiss721BT-Bold"/>
          <w:bCs/>
          <w:noProof/>
          <w:color w:val="000000"/>
          <w:sz w:val="24"/>
          <w:szCs w:val="24"/>
        </w:rPr>
        <w:tab/>
      </w:r>
      <w:r w:rsidRPr="004718F4">
        <w:rPr>
          <w:rFonts w:cs="Swiss721BT-Bold"/>
          <w:bCs/>
          <w:noProof/>
          <w:color w:val="000000"/>
          <w:sz w:val="24"/>
          <w:szCs w:val="24"/>
        </w:rPr>
        <w:tab/>
      </w:r>
      <w:r w:rsidRPr="004718F4">
        <w:rPr>
          <w:rFonts w:cs="Swiss721BT-Bold"/>
          <w:bCs/>
          <w:noProof/>
          <w:color w:val="000000"/>
        </w:rPr>
        <w:t>Větší změna v návodu na použití</w:t>
      </w:r>
    </w:p>
    <w:p w:rsidR="0077577E" w:rsidRPr="004718F4" w:rsidRDefault="0077577E" w:rsidP="0077577E">
      <w:pPr>
        <w:spacing w:after="0"/>
      </w:pPr>
    </w:p>
    <w:p w:rsidR="00707E3B" w:rsidRPr="004718F4" w:rsidRDefault="00707E3B" w:rsidP="0077577E">
      <w:pPr>
        <w:spacing w:after="0"/>
      </w:pPr>
      <w:r w:rsidRPr="004718F4">
        <w:t xml:space="preserve">IDEXX </w:t>
      </w:r>
      <w:proofErr w:type="spellStart"/>
      <w:r w:rsidRPr="004718F4">
        <w:t>Laboratories</w:t>
      </w:r>
      <w:proofErr w:type="spellEnd"/>
      <w:r w:rsidRPr="004718F4">
        <w:t>, Inc.</w:t>
      </w:r>
    </w:p>
    <w:p w:rsidR="00707E3B" w:rsidRPr="004718F4" w:rsidRDefault="00707E3B" w:rsidP="0077577E">
      <w:pPr>
        <w:spacing w:after="0"/>
      </w:pPr>
      <w:proofErr w:type="spellStart"/>
      <w:r w:rsidRPr="004718F4">
        <w:t>One</w:t>
      </w:r>
      <w:proofErr w:type="spellEnd"/>
      <w:r w:rsidRPr="004718F4">
        <w:t xml:space="preserve"> IDEXX Drive </w:t>
      </w:r>
    </w:p>
    <w:p w:rsidR="00707E3B" w:rsidRPr="004718F4" w:rsidRDefault="00707E3B" w:rsidP="0077577E">
      <w:pPr>
        <w:spacing w:after="0"/>
      </w:pPr>
      <w:proofErr w:type="spellStart"/>
      <w:r w:rsidRPr="004718F4">
        <w:t>WestBrook</w:t>
      </w:r>
      <w:proofErr w:type="spellEnd"/>
      <w:r w:rsidRPr="004718F4">
        <w:t>, Maine 04092</w:t>
      </w:r>
    </w:p>
    <w:p w:rsidR="00707E3B" w:rsidRPr="004718F4" w:rsidRDefault="00707E3B" w:rsidP="0077577E">
      <w:pPr>
        <w:spacing w:after="0"/>
      </w:pPr>
      <w:r w:rsidRPr="004718F4">
        <w:t>USA</w:t>
      </w:r>
    </w:p>
    <w:p w:rsidR="00707E3B" w:rsidRPr="004718F4" w:rsidRDefault="00707E3B" w:rsidP="0077577E">
      <w:pPr>
        <w:spacing w:after="0"/>
      </w:pPr>
    </w:p>
    <w:p w:rsidR="0077577E" w:rsidRPr="004718F4" w:rsidRDefault="0077577E" w:rsidP="0077577E">
      <w:pPr>
        <w:spacing w:after="0"/>
        <w:rPr>
          <w:i/>
        </w:rPr>
      </w:pPr>
      <w:r w:rsidRPr="004718F4">
        <w:rPr>
          <w:i/>
        </w:rPr>
        <w:t>Výrobce</w:t>
      </w:r>
    </w:p>
    <w:p w:rsidR="0077577E" w:rsidRPr="004718F4" w:rsidRDefault="0077577E" w:rsidP="0077577E">
      <w:pPr>
        <w:spacing w:after="0"/>
      </w:pPr>
      <w:r w:rsidRPr="004718F4">
        <w:t xml:space="preserve">IDEXX Švýcarsko </w:t>
      </w:r>
      <w:r w:rsidR="00707E3B" w:rsidRPr="004718F4">
        <w:t>GmbH</w:t>
      </w:r>
    </w:p>
    <w:p w:rsidR="0077577E" w:rsidRPr="004718F4" w:rsidRDefault="0077577E" w:rsidP="0077577E">
      <w:pPr>
        <w:spacing w:after="0"/>
      </w:pPr>
      <w:proofErr w:type="spellStart"/>
      <w:r w:rsidRPr="004718F4">
        <w:t>Stationsstrasse</w:t>
      </w:r>
      <w:proofErr w:type="spellEnd"/>
      <w:r w:rsidRPr="004718F4">
        <w:t xml:space="preserve"> 12</w:t>
      </w:r>
    </w:p>
    <w:p w:rsidR="0077577E" w:rsidRPr="004718F4" w:rsidRDefault="0077577E" w:rsidP="0077577E">
      <w:pPr>
        <w:spacing w:after="0"/>
      </w:pPr>
      <w:r w:rsidRPr="004718F4">
        <w:t xml:space="preserve">CH-3097 </w:t>
      </w:r>
      <w:proofErr w:type="spellStart"/>
      <w:r w:rsidRPr="004718F4">
        <w:t>Liebefeld</w:t>
      </w:r>
      <w:proofErr w:type="spellEnd"/>
      <w:r w:rsidRPr="004718F4">
        <w:t>-Bern</w:t>
      </w:r>
    </w:p>
    <w:p w:rsidR="0077577E" w:rsidRPr="004718F4" w:rsidRDefault="0077577E" w:rsidP="0077577E">
      <w:pPr>
        <w:spacing w:after="0"/>
      </w:pPr>
      <w:r w:rsidRPr="004718F4">
        <w:t>Švýcarsko</w:t>
      </w:r>
    </w:p>
    <w:p w:rsidR="0077577E" w:rsidRPr="004718F4" w:rsidRDefault="0077577E" w:rsidP="0077577E">
      <w:pPr>
        <w:spacing w:after="0"/>
      </w:pPr>
    </w:p>
    <w:p w:rsidR="0077577E" w:rsidRPr="004718F4" w:rsidRDefault="0077577E" w:rsidP="0077577E">
      <w:pPr>
        <w:spacing w:after="0"/>
        <w:rPr>
          <w:i/>
        </w:rPr>
      </w:pPr>
      <w:r w:rsidRPr="004718F4">
        <w:rPr>
          <w:i/>
        </w:rPr>
        <w:t>Zástupce pro EU</w:t>
      </w:r>
    </w:p>
    <w:p w:rsidR="0077577E" w:rsidRPr="004718F4" w:rsidRDefault="0077577E" w:rsidP="0077577E">
      <w:pPr>
        <w:spacing w:after="0"/>
      </w:pPr>
      <w:r w:rsidRPr="004718F4">
        <w:t xml:space="preserve">IDEXX </w:t>
      </w:r>
      <w:proofErr w:type="spellStart"/>
      <w:r w:rsidRPr="004718F4">
        <w:t>Europe</w:t>
      </w:r>
      <w:proofErr w:type="spellEnd"/>
      <w:r w:rsidRPr="004718F4">
        <w:t xml:space="preserve"> B.V.</w:t>
      </w:r>
    </w:p>
    <w:p w:rsidR="0077577E" w:rsidRPr="004718F4" w:rsidRDefault="0077577E" w:rsidP="0077577E">
      <w:pPr>
        <w:spacing w:after="0"/>
      </w:pPr>
      <w:r w:rsidRPr="004718F4">
        <w:t>P.O. Box 1334</w:t>
      </w:r>
    </w:p>
    <w:p w:rsidR="0077577E" w:rsidRPr="004718F4" w:rsidRDefault="0077577E" w:rsidP="0077577E">
      <w:pPr>
        <w:spacing w:after="0"/>
      </w:pPr>
      <w:r w:rsidRPr="004718F4">
        <w:t xml:space="preserve">2130 EK </w:t>
      </w:r>
      <w:proofErr w:type="spellStart"/>
      <w:r w:rsidRPr="004718F4">
        <w:t>Hoofddorp</w:t>
      </w:r>
      <w:proofErr w:type="spellEnd"/>
    </w:p>
    <w:p w:rsidR="0077577E" w:rsidRPr="004718F4" w:rsidRDefault="0077577E" w:rsidP="004864C2">
      <w:pPr>
        <w:spacing w:after="0"/>
      </w:pPr>
      <w:r w:rsidRPr="004718F4">
        <w:t>Nizozemsko</w:t>
      </w:r>
    </w:p>
    <w:sectPr w:rsidR="0077577E" w:rsidRPr="004718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FA" w:rsidRDefault="008063FA" w:rsidP="002A6081">
      <w:pPr>
        <w:spacing w:after="0" w:line="240" w:lineRule="auto"/>
      </w:pPr>
      <w:r>
        <w:separator/>
      </w:r>
    </w:p>
  </w:endnote>
  <w:endnote w:type="continuationSeparator" w:id="0">
    <w:p w:rsidR="008063FA" w:rsidRDefault="008063FA" w:rsidP="002A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OGTWT K+ Swiss 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4" w:rsidRDefault="00AE39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4" w:rsidRDefault="00AE39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4" w:rsidRDefault="00AE39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FA" w:rsidRDefault="008063FA" w:rsidP="002A6081">
      <w:pPr>
        <w:spacing w:after="0" w:line="240" w:lineRule="auto"/>
      </w:pPr>
      <w:r>
        <w:separator/>
      </w:r>
    </w:p>
  </w:footnote>
  <w:footnote w:type="continuationSeparator" w:id="0">
    <w:p w:rsidR="008063FA" w:rsidRDefault="008063FA" w:rsidP="002A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4" w:rsidRDefault="00AE39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081" w:rsidRDefault="002A6081" w:rsidP="00DE0D3A">
    <w:pPr>
      <w:jc w:val="both"/>
      <w:rPr>
        <w:b/>
        <w:bCs/>
      </w:rPr>
    </w:pPr>
    <w:r w:rsidRPr="00AD42B7">
      <w:rPr>
        <w:bCs/>
      </w:rPr>
      <w:t>Text příbalové informace </w:t>
    </w:r>
    <w:r w:rsidR="00AE39A4">
      <w:rPr>
        <w:bCs/>
      </w:rPr>
      <w:t xml:space="preserve"> </w:t>
    </w:r>
    <w:bookmarkStart w:id="1" w:name="_GoBack"/>
    <w:bookmarkEnd w:id="1"/>
    <w:r w:rsidRPr="00AD42B7">
      <w:rPr>
        <w:bCs/>
      </w:rPr>
      <w:t xml:space="preserve">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2622D34DDDF94C0C962BFDAE7F812678"/>
        </w:placeholder>
        <w:text/>
      </w:sdtPr>
      <w:sdtEndPr/>
      <w:sdtContent>
        <w:r>
          <w:rPr>
            <w:bCs/>
          </w:rPr>
          <w:t>USKVBL/11364/2022/POD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2622D34DDDF94C0C962BFDAE7F812678"/>
        </w:placeholder>
        <w:text/>
      </w:sdtPr>
      <w:sdtContent>
        <w:r w:rsidR="00AE39A4" w:rsidRPr="00AE39A4">
          <w:rPr>
            <w:bCs/>
          </w:rPr>
          <w:t>USKVBL/265/2022/REG-</w:t>
        </w:r>
        <w:proofErr w:type="spellStart"/>
        <w:r w:rsidR="00AE39A4" w:rsidRPr="00AE39A4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B17280AEE33B4028B30A8CB68EDB2C29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39A4">
          <w:rPr>
            <w:bCs/>
          </w:rPr>
          <w:t>9.1.2023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4597F68AC0FE4CBEA1327792F4B6A8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55477568B5E24A2A8916292BA2A0ED27"/>
        </w:placeholder>
        <w:text/>
      </w:sdtPr>
      <w:sdtEndPr/>
      <w:sdtContent>
        <w:r>
          <w:t>IDEXX IBR</w:t>
        </w:r>
        <w:r w:rsidR="009A4A1F">
          <w:t xml:space="preserve"> </w:t>
        </w:r>
        <w:proofErr w:type="spellStart"/>
        <w:r>
          <w:t>gE</w:t>
        </w:r>
        <w:proofErr w:type="spellEnd"/>
        <w:r w:rsidR="009A4A1F">
          <w:t xml:space="preserve"> Ab</w:t>
        </w:r>
      </w:sdtContent>
    </w:sdt>
  </w:p>
  <w:p w:rsidR="002A6081" w:rsidRDefault="002A60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4" w:rsidRDefault="00AE39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E7"/>
    <w:rsid w:val="00040FFF"/>
    <w:rsid w:val="000A7570"/>
    <w:rsid w:val="000D2CBE"/>
    <w:rsid w:val="001A2504"/>
    <w:rsid w:val="002817D7"/>
    <w:rsid w:val="002A6081"/>
    <w:rsid w:val="002C22B5"/>
    <w:rsid w:val="002F1C4F"/>
    <w:rsid w:val="00384EC1"/>
    <w:rsid w:val="00400CED"/>
    <w:rsid w:val="00431056"/>
    <w:rsid w:val="004718F4"/>
    <w:rsid w:val="004864C2"/>
    <w:rsid w:val="00562601"/>
    <w:rsid w:val="005F7BB4"/>
    <w:rsid w:val="006530A7"/>
    <w:rsid w:val="006E43CA"/>
    <w:rsid w:val="00707E3B"/>
    <w:rsid w:val="0077577E"/>
    <w:rsid w:val="00782DE7"/>
    <w:rsid w:val="008063FA"/>
    <w:rsid w:val="008476A0"/>
    <w:rsid w:val="008E2A95"/>
    <w:rsid w:val="008E5A84"/>
    <w:rsid w:val="008E69FF"/>
    <w:rsid w:val="008F1A6D"/>
    <w:rsid w:val="009055FC"/>
    <w:rsid w:val="009A4A1F"/>
    <w:rsid w:val="009D6060"/>
    <w:rsid w:val="00AD044D"/>
    <w:rsid w:val="00AE39A4"/>
    <w:rsid w:val="00B048D0"/>
    <w:rsid w:val="00B573C4"/>
    <w:rsid w:val="00C227B0"/>
    <w:rsid w:val="00C5661E"/>
    <w:rsid w:val="00CB7C5E"/>
    <w:rsid w:val="00CC1533"/>
    <w:rsid w:val="00CE0D20"/>
    <w:rsid w:val="00CF6059"/>
    <w:rsid w:val="00D77F25"/>
    <w:rsid w:val="00E032EA"/>
    <w:rsid w:val="00E54B98"/>
    <w:rsid w:val="00EB6FCE"/>
    <w:rsid w:val="00F1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C06AC-F335-4832-A7B1-7DF2C1F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95"/>
    <w:pPr>
      <w:ind w:left="720"/>
      <w:contextualSpacing/>
    </w:pPr>
  </w:style>
  <w:style w:type="table" w:styleId="Mkatabulky">
    <w:name w:val="Table Grid"/>
    <w:basedOn w:val="Normlntabulka"/>
    <w:uiPriority w:val="59"/>
    <w:rsid w:val="008E2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Normln"/>
    <w:next w:val="Normln"/>
    <w:uiPriority w:val="99"/>
    <w:rsid w:val="008E5A84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7577E"/>
    <w:rPr>
      <w:color w:val="0000FF" w:themeColor="hyperlink"/>
      <w:u w:val="single"/>
    </w:rPr>
  </w:style>
  <w:style w:type="paragraph" w:customStyle="1" w:styleId="Pa0">
    <w:name w:val="Pa0"/>
    <w:basedOn w:val="Normln"/>
    <w:next w:val="Normln"/>
    <w:uiPriority w:val="99"/>
    <w:rsid w:val="00E54B98"/>
    <w:pPr>
      <w:autoSpaceDE w:val="0"/>
      <w:autoSpaceDN w:val="0"/>
      <w:adjustRightInd w:val="0"/>
      <w:spacing w:after="0" w:line="241" w:lineRule="atLeast"/>
    </w:pPr>
    <w:rPr>
      <w:rFonts w:ascii="OGTWT K+ Swiss 721 BT" w:hAnsi="OGTWT K+ Swiss 721 BT"/>
      <w:sz w:val="24"/>
      <w:szCs w:val="24"/>
    </w:rPr>
  </w:style>
  <w:style w:type="character" w:customStyle="1" w:styleId="A13">
    <w:name w:val="A13"/>
    <w:uiPriority w:val="99"/>
    <w:rsid w:val="00E54B98"/>
    <w:rPr>
      <w:rFonts w:cs="OGTWT K+ Swiss 721 BT"/>
      <w:color w:val="221E1F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2A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081"/>
  </w:style>
  <w:style w:type="paragraph" w:styleId="Zpat">
    <w:name w:val="footer"/>
    <w:basedOn w:val="Normln"/>
    <w:link w:val="ZpatChar"/>
    <w:uiPriority w:val="99"/>
    <w:unhideWhenUsed/>
    <w:rsid w:val="002A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081"/>
  </w:style>
  <w:style w:type="character" w:styleId="Zstupntext">
    <w:name w:val="Placeholder Text"/>
    <w:rsid w:val="002A6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2D34DDDF94C0C962BFDAE7F812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50172-9CB9-4B99-8216-239AB3D487DD}"/>
      </w:docPartPr>
      <w:docPartBody>
        <w:p w:rsidR="00F95D5D" w:rsidRDefault="00E74F6D" w:rsidP="00E74F6D">
          <w:pPr>
            <w:pStyle w:val="2622D34DDDF94C0C962BFDAE7F81267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17280AEE33B4028B30A8CB68EDB2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95AFB-177B-45CB-AEB4-0343A1FBAAE1}"/>
      </w:docPartPr>
      <w:docPartBody>
        <w:p w:rsidR="00F95D5D" w:rsidRDefault="00E74F6D" w:rsidP="00E74F6D">
          <w:pPr>
            <w:pStyle w:val="B17280AEE33B4028B30A8CB68EDB2C2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597F68AC0FE4CBEA1327792F4B6A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CDA7E-0AD2-4B19-AFBE-ACC4AA5756DD}"/>
      </w:docPartPr>
      <w:docPartBody>
        <w:p w:rsidR="00F95D5D" w:rsidRDefault="00E74F6D" w:rsidP="00E74F6D">
          <w:pPr>
            <w:pStyle w:val="4597F68AC0FE4CBEA1327792F4B6A8D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5477568B5E24A2A8916292BA2A0E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5EFC1-5A0B-43D9-9E08-A6FEBE2A01D5}"/>
      </w:docPartPr>
      <w:docPartBody>
        <w:p w:rsidR="00F95D5D" w:rsidRDefault="00E74F6D" w:rsidP="00E74F6D">
          <w:pPr>
            <w:pStyle w:val="55477568B5E24A2A8916292BA2A0ED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OGTWT K+ Swiss 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6D"/>
    <w:rsid w:val="002548DC"/>
    <w:rsid w:val="006E3347"/>
    <w:rsid w:val="00D16935"/>
    <w:rsid w:val="00E74F6D"/>
    <w:rsid w:val="00F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4F6D"/>
    <w:rPr>
      <w:color w:val="808080"/>
    </w:rPr>
  </w:style>
  <w:style w:type="paragraph" w:customStyle="1" w:styleId="2622D34DDDF94C0C962BFDAE7F812678">
    <w:name w:val="2622D34DDDF94C0C962BFDAE7F812678"/>
    <w:rsid w:val="00E74F6D"/>
  </w:style>
  <w:style w:type="paragraph" w:customStyle="1" w:styleId="B17280AEE33B4028B30A8CB68EDB2C29">
    <w:name w:val="B17280AEE33B4028B30A8CB68EDB2C29"/>
    <w:rsid w:val="00E74F6D"/>
  </w:style>
  <w:style w:type="paragraph" w:customStyle="1" w:styleId="4597F68AC0FE4CBEA1327792F4B6A8D3">
    <w:name w:val="4597F68AC0FE4CBEA1327792F4B6A8D3"/>
    <w:rsid w:val="00E74F6D"/>
  </w:style>
  <w:style w:type="paragraph" w:customStyle="1" w:styleId="55477568B5E24A2A8916292BA2A0ED27">
    <w:name w:val="55477568B5E24A2A8916292BA2A0ED27"/>
    <w:rsid w:val="00E74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1769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Grodová Lenka</cp:lastModifiedBy>
  <cp:revision>25</cp:revision>
  <dcterms:created xsi:type="dcterms:W3CDTF">2023-01-05T13:55:00Z</dcterms:created>
  <dcterms:modified xsi:type="dcterms:W3CDTF">2023-01-09T13:57:00Z</dcterms:modified>
</cp:coreProperties>
</file>