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66A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B5C373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18135A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AB5835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63D467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84385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2FF76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2F29E9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679387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93919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45F945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89F9C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011D2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08595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5927D8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5A41E3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E990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626C0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810E2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0C5FA2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D7FCD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CACEB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E29E38" w14:textId="77777777" w:rsidR="00C114FF" w:rsidRPr="009A5A24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A5A24">
        <w:rPr>
          <w:b/>
          <w:szCs w:val="22"/>
        </w:rPr>
        <w:t>PŘÍLOHA I</w:t>
      </w:r>
    </w:p>
    <w:p w14:paraId="36DCA4EF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B02F74" w14:textId="77777777" w:rsidR="00C114FF" w:rsidRPr="009A5A24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A5A24">
        <w:rPr>
          <w:b/>
          <w:szCs w:val="22"/>
        </w:rPr>
        <w:t>SOUHRN ÚDAJŮ O PŘÍPRAVKU</w:t>
      </w:r>
    </w:p>
    <w:p w14:paraId="07194BB0" w14:textId="7F6E74C8" w:rsidR="00C114FF" w:rsidRPr="009A5A24" w:rsidRDefault="00C114FF" w:rsidP="0051422F">
      <w:pPr>
        <w:numPr>
          <w:ilvl w:val="0"/>
          <w:numId w:val="41"/>
        </w:numPr>
        <w:spacing w:line="240" w:lineRule="auto"/>
        <w:jc w:val="both"/>
        <w:rPr>
          <w:szCs w:val="22"/>
        </w:rPr>
      </w:pPr>
      <w:r w:rsidRPr="009A5A24">
        <w:br w:type="page"/>
      </w:r>
      <w:r w:rsidRPr="009A5A24">
        <w:rPr>
          <w:b/>
          <w:szCs w:val="22"/>
        </w:rPr>
        <w:lastRenderedPageBreak/>
        <w:t>NÁZEV VETERINÁRNÍHO LÉČIVÉHO PŘÍPRAVKU</w:t>
      </w:r>
    </w:p>
    <w:p w14:paraId="70794A8B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3EB4A1" w14:textId="1C127443" w:rsidR="00825877" w:rsidRPr="009A5A24" w:rsidRDefault="0082587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78753099"/>
      <w:proofErr w:type="spellStart"/>
      <w:r w:rsidRPr="009A5A24">
        <w:t>Dexafast</w:t>
      </w:r>
      <w:proofErr w:type="spellEnd"/>
      <w:r w:rsidRPr="009A5A24">
        <w:t xml:space="preserve"> 2 mg/ml i</w:t>
      </w:r>
      <w:r w:rsidR="00A24381" w:rsidRPr="009A5A24">
        <w:t xml:space="preserve">njekční roztok pro koně, skot, </w:t>
      </w:r>
      <w:r w:rsidR="00B237C6" w:rsidRPr="00B237C6">
        <w:t>kozy,</w:t>
      </w:r>
      <w:r w:rsidR="00B237C6">
        <w:t xml:space="preserve"> </w:t>
      </w:r>
      <w:r w:rsidR="00A24381" w:rsidRPr="009A5A24">
        <w:t>prasata, ps</w:t>
      </w:r>
      <w:r w:rsidR="0059040F" w:rsidRPr="009A5A24">
        <w:t>y</w:t>
      </w:r>
      <w:r w:rsidR="00A24381" w:rsidRPr="009A5A24">
        <w:t xml:space="preserve"> a kočky</w:t>
      </w:r>
    </w:p>
    <w:bookmarkEnd w:id="0"/>
    <w:p w14:paraId="5C02A253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1A3140" w14:textId="77777777" w:rsidR="00D8342B" w:rsidRPr="009A5A24" w:rsidRDefault="00D8342B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E0620E" w14:textId="4B8318BD" w:rsidR="00C114FF" w:rsidRPr="009A5A24" w:rsidRDefault="00C114FF" w:rsidP="0051422F">
      <w:pPr>
        <w:numPr>
          <w:ilvl w:val="0"/>
          <w:numId w:val="41"/>
        </w:numPr>
        <w:spacing w:line="240" w:lineRule="auto"/>
        <w:jc w:val="both"/>
        <w:rPr>
          <w:szCs w:val="22"/>
        </w:rPr>
      </w:pPr>
      <w:r w:rsidRPr="009A5A24">
        <w:rPr>
          <w:b/>
          <w:szCs w:val="22"/>
        </w:rPr>
        <w:t>KVALITATIVNÍ A KVANTITATIVNÍ SLOŽENÍ</w:t>
      </w:r>
    </w:p>
    <w:p w14:paraId="121E8C07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EEB352" w14:textId="01F64934" w:rsidR="00A24381" w:rsidRPr="009A5A24" w:rsidRDefault="002E6BC5" w:rsidP="0051422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Každý</w:t>
      </w:r>
      <w:r w:rsidR="00A24381" w:rsidRPr="009A5A24">
        <w:t xml:space="preserve"> ml</w:t>
      </w:r>
      <w:r>
        <w:t xml:space="preserve"> obsahuje</w:t>
      </w:r>
      <w:r w:rsidR="00A24381" w:rsidRPr="009A5A24">
        <w:t>:</w:t>
      </w:r>
    </w:p>
    <w:p w14:paraId="38623545" w14:textId="77777777" w:rsidR="005372A4" w:rsidRPr="009A5A24" w:rsidRDefault="005372A4" w:rsidP="0051422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AA261CC" w14:textId="77777777" w:rsidR="00A24381" w:rsidRPr="009A5A24" w:rsidRDefault="00A24381" w:rsidP="0051422F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9A5A24">
        <w:rPr>
          <w:b/>
          <w:szCs w:val="22"/>
        </w:rPr>
        <w:t>Léčivá látka:</w:t>
      </w:r>
    </w:p>
    <w:p w14:paraId="328E9EC2" w14:textId="4F98AE49" w:rsidR="00A24381" w:rsidRPr="009A5A24" w:rsidRDefault="00A24381" w:rsidP="0051422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9A5A24">
        <w:t>Dexamethason</w:t>
      </w:r>
      <w:r w:rsidR="006E4ACA">
        <w:t>um</w:t>
      </w:r>
      <w:proofErr w:type="spellEnd"/>
      <w:r w:rsidRPr="009A5A24">
        <w:t xml:space="preserve"> </w:t>
      </w:r>
      <w:r w:rsidRPr="009A5A24">
        <w:tab/>
      </w:r>
      <w:r w:rsidRPr="009A5A24">
        <w:tab/>
      </w:r>
      <w:r w:rsidRPr="009A5A24">
        <w:tab/>
      </w:r>
      <w:r w:rsidRPr="009A5A24">
        <w:tab/>
      </w:r>
      <w:r w:rsidRPr="009A5A24">
        <w:tab/>
        <w:t>2,0 mg</w:t>
      </w:r>
    </w:p>
    <w:p w14:paraId="246D558A" w14:textId="60630C22" w:rsidR="00A24381" w:rsidRPr="009A5A24" w:rsidRDefault="00A24381" w:rsidP="0051422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A5A24">
        <w:t xml:space="preserve">(jako </w:t>
      </w:r>
      <w:proofErr w:type="spellStart"/>
      <w:r w:rsidRPr="009A5A24">
        <w:t>dexamethason</w:t>
      </w:r>
      <w:r w:rsidR="006E4ACA">
        <w:t>i</w:t>
      </w:r>
      <w:proofErr w:type="spellEnd"/>
      <w:r w:rsidRPr="009A5A24">
        <w:t xml:space="preserve"> </w:t>
      </w:r>
      <w:r w:rsidR="006E4ACA">
        <w:t xml:space="preserve">natrii </w:t>
      </w:r>
      <w:proofErr w:type="spellStart"/>
      <w:r w:rsidR="006E4ACA">
        <w:t>phosphas</w:t>
      </w:r>
      <w:proofErr w:type="spellEnd"/>
      <w:r w:rsidRPr="009A5A24">
        <w:t>)</w:t>
      </w:r>
    </w:p>
    <w:p w14:paraId="1177598A" w14:textId="77777777" w:rsidR="005372A4" w:rsidRPr="009A5A24" w:rsidRDefault="005372A4" w:rsidP="0051422F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E29E993" w14:textId="665B0A40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rPr>
          <w:b/>
          <w:szCs w:val="22"/>
        </w:rPr>
        <w:t>Pomocné látky:</w:t>
      </w:r>
    </w:p>
    <w:p w14:paraId="015746B3" w14:textId="77777777" w:rsidR="005372A4" w:rsidRPr="009A5A24" w:rsidRDefault="005372A4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3B1E4C" w:rsidRPr="009A5A24" w14:paraId="5071043F" w14:textId="77777777" w:rsidTr="003C7D32">
        <w:tc>
          <w:tcPr>
            <w:tcW w:w="4643" w:type="dxa"/>
            <w:shd w:val="clear" w:color="auto" w:fill="auto"/>
            <w:vAlign w:val="center"/>
          </w:tcPr>
          <w:p w14:paraId="0C3FE2F9" w14:textId="77777777" w:rsidR="003B1E4C" w:rsidRPr="009A5A24" w:rsidRDefault="003B1E4C" w:rsidP="003C7D32">
            <w:pPr>
              <w:spacing w:before="60" w:after="60"/>
              <w:rPr>
                <w:iCs/>
                <w:szCs w:val="22"/>
              </w:rPr>
            </w:pPr>
            <w:r w:rsidRPr="009A5A24">
              <w:rPr>
                <w:b/>
                <w:bCs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F328CD" w14:textId="182393F3" w:rsidR="003B1E4C" w:rsidRPr="009A5A24" w:rsidRDefault="00C53ED7" w:rsidP="003C7D32">
            <w:pPr>
              <w:spacing w:before="60" w:after="60"/>
              <w:rPr>
                <w:i/>
                <w:iCs/>
                <w:szCs w:val="22"/>
              </w:rPr>
            </w:pPr>
            <w:r w:rsidRPr="009A5A2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B1E4C" w:rsidRPr="009A5A24" w14:paraId="29958B84" w14:textId="77777777" w:rsidTr="003C7D32">
        <w:tc>
          <w:tcPr>
            <w:tcW w:w="4643" w:type="dxa"/>
            <w:shd w:val="clear" w:color="auto" w:fill="auto"/>
            <w:vAlign w:val="center"/>
          </w:tcPr>
          <w:p w14:paraId="1ABCB6D3" w14:textId="77777777" w:rsidR="003B1E4C" w:rsidRPr="009A5A24" w:rsidRDefault="003B1E4C" w:rsidP="003C7D32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A5A24">
              <w:t>Benzylalkohol</w:t>
            </w:r>
            <w:proofErr w:type="spellEnd"/>
            <w:r w:rsidRPr="009A5A24">
              <w:t xml:space="preserve"> (E1519) </w:t>
            </w:r>
            <w:r w:rsidRPr="009A5A24">
              <w:tab/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BE74D9" w14:textId="77777777" w:rsidR="003B1E4C" w:rsidRPr="009A5A24" w:rsidRDefault="003B1E4C" w:rsidP="003C7D32">
            <w:pPr>
              <w:spacing w:before="60" w:after="60"/>
              <w:rPr>
                <w:iCs/>
                <w:szCs w:val="22"/>
              </w:rPr>
            </w:pPr>
            <w:r w:rsidRPr="009A5A24">
              <w:t>15,6 mg</w:t>
            </w:r>
          </w:p>
        </w:tc>
      </w:tr>
      <w:tr w:rsidR="003B1E4C" w:rsidRPr="009A5A24" w14:paraId="3D2020E3" w14:textId="77777777" w:rsidTr="003B1E4C">
        <w:tc>
          <w:tcPr>
            <w:tcW w:w="4643" w:type="dxa"/>
            <w:shd w:val="clear" w:color="auto" w:fill="auto"/>
          </w:tcPr>
          <w:p w14:paraId="691602E5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  <w:r w:rsidRPr="009A5A24"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79F106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</w:p>
        </w:tc>
      </w:tr>
      <w:tr w:rsidR="003B1E4C" w:rsidRPr="009A5A24" w14:paraId="64851D44" w14:textId="77777777" w:rsidTr="003B1E4C">
        <w:tc>
          <w:tcPr>
            <w:tcW w:w="4643" w:type="dxa"/>
            <w:shd w:val="clear" w:color="auto" w:fill="auto"/>
          </w:tcPr>
          <w:p w14:paraId="149A76AA" w14:textId="52D54FB1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  <w:proofErr w:type="spellStart"/>
            <w:r w:rsidRPr="009A5A24">
              <w:t>Dihydrát</w:t>
            </w:r>
            <w:proofErr w:type="spellEnd"/>
            <w:r w:rsidRPr="009A5A24">
              <w:t xml:space="preserve"> </w:t>
            </w:r>
            <w:r w:rsidR="006E4ACA">
              <w:t>natrium-citrátu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C71534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</w:p>
        </w:tc>
      </w:tr>
      <w:tr w:rsidR="003B1E4C" w:rsidRPr="009A5A24" w14:paraId="336982C2" w14:textId="77777777" w:rsidTr="003B1E4C">
        <w:tc>
          <w:tcPr>
            <w:tcW w:w="4643" w:type="dxa"/>
            <w:shd w:val="clear" w:color="auto" w:fill="auto"/>
          </w:tcPr>
          <w:p w14:paraId="61C0AE71" w14:textId="468ADC75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  <w:r w:rsidRPr="009A5A24">
              <w:t>Hydroxid sodný (</w:t>
            </w:r>
            <w:r w:rsidR="006E4ACA">
              <w:t>pro</w:t>
            </w:r>
            <w:r w:rsidR="006E4ACA" w:rsidRPr="009A5A24">
              <w:t xml:space="preserve"> úprav</w:t>
            </w:r>
            <w:r w:rsidR="006E4ACA">
              <w:t>u</w:t>
            </w:r>
            <w:r w:rsidR="006E4ACA" w:rsidRPr="009A5A24">
              <w:t xml:space="preserve"> </w:t>
            </w:r>
            <w:r w:rsidRPr="009A5A24">
              <w:t>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F0FEBE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</w:p>
        </w:tc>
      </w:tr>
      <w:tr w:rsidR="003B1E4C" w:rsidRPr="009A5A24" w14:paraId="63E07440" w14:textId="77777777" w:rsidTr="003B1E4C">
        <w:tc>
          <w:tcPr>
            <w:tcW w:w="4643" w:type="dxa"/>
            <w:shd w:val="clear" w:color="auto" w:fill="auto"/>
          </w:tcPr>
          <w:p w14:paraId="71CA2E1B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  <w:proofErr w:type="spellStart"/>
            <w:r w:rsidRPr="009A5A24">
              <w:t>Monohydrát</w:t>
            </w:r>
            <w:proofErr w:type="spellEnd"/>
            <w:r w:rsidRPr="009A5A24">
              <w:t xml:space="preserve"> kyseliny citronové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7B5A5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</w:p>
        </w:tc>
      </w:tr>
      <w:tr w:rsidR="003B1E4C" w:rsidRPr="009A5A24" w14:paraId="241D2290" w14:textId="77777777" w:rsidTr="003B1E4C">
        <w:tc>
          <w:tcPr>
            <w:tcW w:w="4643" w:type="dxa"/>
            <w:shd w:val="clear" w:color="auto" w:fill="auto"/>
          </w:tcPr>
          <w:p w14:paraId="34D89816" w14:textId="58384B0C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  <w:r w:rsidRPr="009A5A24">
              <w:t xml:space="preserve">Voda </w:t>
            </w:r>
            <w:r w:rsidR="006E4ACA">
              <w:t>pro</w:t>
            </w:r>
            <w:r w:rsidR="006E4ACA" w:rsidRPr="009A5A24">
              <w:t xml:space="preserve"> </w:t>
            </w:r>
            <w:r w:rsidRPr="009A5A24">
              <w:t>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4F5FDA" w14:textId="77777777" w:rsidR="003B1E4C" w:rsidRPr="009A5A24" w:rsidRDefault="003B1E4C" w:rsidP="003B1E4C">
            <w:pPr>
              <w:spacing w:before="60" w:after="60"/>
              <w:ind w:left="567" w:hanging="567"/>
              <w:rPr>
                <w:szCs w:val="22"/>
              </w:rPr>
            </w:pPr>
          </w:p>
        </w:tc>
      </w:tr>
    </w:tbl>
    <w:p w14:paraId="48A6CE1B" w14:textId="77777777" w:rsidR="00C114FF" w:rsidRPr="009A5A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51AB6" w14:textId="02A3DD56" w:rsidR="00C114FF" w:rsidRPr="009A5A24" w:rsidRDefault="005D7F7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Čirý</w:t>
      </w:r>
      <w:r w:rsidR="000A177F" w:rsidRPr="009A5A24">
        <w:t>, bezbarvý roztok.</w:t>
      </w:r>
    </w:p>
    <w:p w14:paraId="020E7C15" w14:textId="77777777" w:rsidR="007F3958" w:rsidRPr="009A5A24" w:rsidRDefault="007F395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AE6F2" w14:textId="77777777" w:rsidR="00D8342B" w:rsidRPr="009A5A24" w:rsidRDefault="00D8342B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3A7B51" w14:textId="78683760" w:rsidR="00C114FF" w:rsidRPr="009A5A24" w:rsidRDefault="00C114FF" w:rsidP="0051422F">
      <w:pPr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9A5A24">
        <w:rPr>
          <w:b/>
          <w:szCs w:val="22"/>
        </w:rPr>
        <w:t>KLINICKÉ INFORMACE</w:t>
      </w:r>
    </w:p>
    <w:p w14:paraId="67999764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51B8E3" w14:textId="688BE829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9A5A24">
        <w:rPr>
          <w:b/>
          <w:szCs w:val="22"/>
        </w:rPr>
        <w:t>Cílov</w:t>
      </w:r>
      <w:r w:rsidR="00C53ED7" w:rsidRPr="009A5A24">
        <w:rPr>
          <w:b/>
          <w:szCs w:val="22"/>
        </w:rPr>
        <w:t>é</w:t>
      </w:r>
      <w:r w:rsidRPr="009A5A24">
        <w:rPr>
          <w:b/>
          <w:szCs w:val="22"/>
        </w:rPr>
        <w:t xml:space="preserve"> druh</w:t>
      </w:r>
      <w:r w:rsidR="00C53ED7" w:rsidRPr="009A5A24">
        <w:rPr>
          <w:b/>
          <w:szCs w:val="22"/>
        </w:rPr>
        <w:t>y</w:t>
      </w:r>
      <w:r w:rsidRPr="009A5A24">
        <w:rPr>
          <w:b/>
          <w:szCs w:val="22"/>
        </w:rPr>
        <w:t xml:space="preserve"> zvířat</w:t>
      </w:r>
    </w:p>
    <w:p w14:paraId="7C2EA2F8" w14:textId="77777777" w:rsidR="007F3958" w:rsidRPr="009A5A24" w:rsidRDefault="007F3958" w:rsidP="0051422F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42F0160" w14:textId="61A9EAF8" w:rsidR="007F3958" w:rsidRPr="009A5A24" w:rsidRDefault="007F395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Koně, skot, </w:t>
      </w:r>
      <w:r w:rsidR="00B237C6" w:rsidRPr="00B237C6">
        <w:t xml:space="preserve">kozy, </w:t>
      </w:r>
      <w:r w:rsidRPr="009A5A24">
        <w:t>prasata, psi a kočky.</w:t>
      </w:r>
    </w:p>
    <w:p w14:paraId="3A548E53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E4E6CF" w14:textId="198A514C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</w:rPr>
      </w:pPr>
      <w:r w:rsidRPr="009A5A24">
        <w:rPr>
          <w:b/>
          <w:szCs w:val="22"/>
        </w:rPr>
        <w:t>Indikace pro použití pro každý cílový druh zvířat</w:t>
      </w:r>
    </w:p>
    <w:p w14:paraId="6077792D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70955A" w14:textId="3730A8F0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 xml:space="preserve">Koně, skot, </w:t>
      </w:r>
      <w:r w:rsidR="00B237C6" w:rsidRPr="00B237C6">
        <w:t xml:space="preserve">kozy, </w:t>
      </w:r>
      <w:r w:rsidRPr="009A5A24">
        <w:t>prasata, psi a kočky:</w:t>
      </w:r>
    </w:p>
    <w:p w14:paraId="141E8E04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Léčba zánětlivých nebo alergických stavů.</w:t>
      </w:r>
    </w:p>
    <w:p w14:paraId="733AEDA4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de-DE"/>
        </w:rPr>
      </w:pPr>
    </w:p>
    <w:p w14:paraId="36BBA3A4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Skot:</w:t>
      </w:r>
    </w:p>
    <w:p w14:paraId="5781962E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Vyvolání porodu.</w:t>
      </w:r>
    </w:p>
    <w:p w14:paraId="216B471E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Léčba primární ketózy (acetonémie).</w:t>
      </w:r>
    </w:p>
    <w:p w14:paraId="2B940CA9" w14:textId="77777777" w:rsidR="00686F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de-DE"/>
        </w:rPr>
      </w:pPr>
    </w:p>
    <w:p w14:paraId="3CD47FF1" w14:textId="25CE0365" w:rsidR="00B237C6" w:rsidRDefault="00B237C6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de-DE"/>
        </w:rPr>
      </w:pPr>
      <w:r w:rsidRPr="00B237C6">
        <w:rPr>
          <w:szCs w:val="22"/>
          <w:lang w:eastAsia="de-DE"/>
        </w:rPr>
        <w:t>Kozy</w:t>
      </w:r>
      <w:r>
        <w:rPr>
          <w:szCs w:val="22"/>
          <w:lang w:eastAsia="de-DE"/>
        </w:rPr>
        <w:t>:</w:t>
      </w:r>
    </w:p>
    <w:p w14:paraId="1AD78868" w14:textId="77777777" w:rsidR="00B237C6" w:rsidRPr="009A5A24" w:rsidRDefault="00B237C6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Léčba primární ketózy (acetonémie).</w:t>
      </w:r>
    </w:p>
    <w:p w14:paraId="2E8E42F4" w14:textId="77777777" w:rsidR="00B237C6" w:rsidRPr="009A5A24" w:rsidRDefault="00B237C6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de-DE"/>
        </w:rPr>
      </w:pPr>
    </w:p>
    <w:p w14:paraId="69B6832A" w14:textId="77777777" w:rsidR="00686F24" w:rsidRPr="009A5A24" w:rsidRDefault="00686F24" w:rsidP="005142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5A24">
        <w:t>Koně:</w:t>
      </w:r>
    </w:p>
    <w:p w14:paraId="19D2BEF2" w14:textId="77777777" w:rsidR="007F3958" w:rsidRPr="009A5A24" w:rsidRDefault="00686F2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Léčba artritidy, burzitidy nebo </w:t>
      </w:r>
      <w:proofErr w:type="spellStart"/>
      <w:r w:rsidRPr="009A5A24">
        <w:t>tenosynovitidy</w:t>
      </w:r>
      <w:proofErr w:type="spellEnd"/>
      <w:r w:rsidRPr="009A5A24">
        <w:t>.</w:t>
      </w:r>
    </w:p>
    <w:p w14:paraId="77905D40" w14:textId="77777777" w:rsidR="00825877" w:rsidRPr="009A5A24" w:rsidRDefault="0082587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436959" w14:textId="43F2DCC1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</w:rPr>
      </w:pPr>
      <w:r w:rsidRPr="009A5A24">
        <w:rPr>
          <w:b/>
          <w:szCs w:val="22"/>
        </w:rPr>
        <w:t>Kontraindikace</w:t>
      </w:r>
    </w:p>
    <w:p w14:paraId="32E85A54" w14:textId="77777777" w:rsidR="00825877" w:rsidRPr="009A5A24" w:rsidRDefault="00825877" w:rsidP="0051422F">
      <w:pPr>
        <w:tabs>
          <w:tab w:val="clear" w:pos="567"/>
        </w:tabs>
        <w:spacing w:line="240" w:lineRule="auto"/>
        <w:jc w:val="both"/>
      </w:pPr>
    </w:p>
    <w:p w14:paraId="48B15DD5" w14:textId="2DE5BA67" w:rsidR="00825877" w:rsidRPr="009A5A24" w:rsidRDefault="002A49A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S výjimkou naléhavých situací </w:t>
      </w:r>
      <w:r w:rsidR="00825877" w:rsidRPr="009A5A24">
        <w:t xml:space="preserve">nepoužívejte u zvířat </w:t>
      </w:r>
      <w:r w:rsidR="00E06925">
        <w:t>s</w:t>
      </w:r>
      <w:r w:rsidR="00E06925" w:rsidRPr="009A5A24">
        <w:t xml:space="preserve"> </w:t>
      </w:r>
      <w:r w:rsidR="00825877" w:rsidRPr="009A5A24">
        <w:t xml:space="preserve">onemocněním diabetes </w:t>
      </w:r>
      <w:proofErr w:type="spellStart"/>
      <w:r w:rsidR="00825877" w:rsidRPr="009A5A24">
        <w:t>mellitus</w:t>
      </w:r>
      <w:proofErr w:type="spellEnd"/>
      <w:r w:rsidR="00825877" w:rsidRPr="009A5A24">
        <w:t xml:space="preserve">, renální insuficiencí, srdeční insuficiencí, </w:t>
      </w:r>
      <w:proofErr w:type="spellStart"/>
      <w:r w:rsidR="00825877" w:rsidRPr="009A5A24">
        <w:t>hyperadrenokorticismem</w:t>
      </w:r>
      <w:proofErr w:type="spellEnd"/>
      <w:r w:rsidR="00825877" w:rsidRPr="009A5A24">
        <w:t xml:space="preserve"> nebo osteoporózou.</w:t>
      </w:r>
    </w:p>
    <w:p w14:paraId="2C2D57CC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C26297" w14:textId="612CBF4F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Nepoužívat u virových infekcí </w:t>
      </w:r>
      <w:r w:rsidR="00B906C9" w:rsidRPr="009A5A24">
        <w:t>během viremického stádia</w:t>
      </w:r>
      <w:r w:rsidRPr="009A5A24">
        <w:t xml:space="preserve"> nebo v případech systémových mykotických infekcí.</w:t>
      </w:r>
    </w:p>
    <w:p w14:paraId="544D3C8E" w14:textId="73922479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Nepoužívat u zvířat </w:t>
      </w:r>
      <w:r w:rsidR="00E06925">
        <w:t>s</w:t>
      </w:r>
      <w:r w:rsidR="00E06925" w:rsidRPr="009A5A24">
        <w:t xml:space="preserve"> </w:t>
      </w:r>
      <w:r w:rsidRPr="009A5A24">
        <w:t xml:space="preserve">gastrointestinálními nebo </w:t>
      </w:r>
      <w:r w:rsidR="00B906C9" w:rsidRPr="009A5A24">
        <w:t xml:space="preserve">korneálními </w:t>
      </w:r>
      <w:r w:rsidRPr="009A5A24">
        <w:t>vředy nebo </w:t>
      </w:r>
      <w:proofErr w:type="spellStart"/>
      <w:r w:rsidRPr="009A5A24">
        <w:t>demodikózou</w:t>
      </w:r>
      <w:proofErr w:type="spellEnd"/>
      <w:r w:rsidRPr="009A5A24">
        <w:t>.</w:t>
      </w:r>
    </w:p>
    <w:p w14:paraId="3218FD9C" w14:textId="02BCE3B6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Nepodávejte </w:t>
      </w:r>
      <w:proofErr w:type="spellStart"/>
      <w:r w:rsidRPr="009A5A24">
        <w:t>intraartikulárně</w:t>
      </w:r>
      <w:proofErr w:type="spellEnd"/>
      <w:r w:rsidRPr="009A5A24">
        <w:t xml:space="preserve">, </w:t>
      </w:r>
      <w:r w:rsidR="00B906C9" w:rsidRPr="009A5A24">
        <w:t>jestliže jsou prokázány fraktury</w:t>
      </w:r>
      <w:r w:rsidRPr="009A5A24">
        <w:t>, bakteriální infekc</w:t>
      </w:r>
      <w:r w:rsidR="00B906C9" w:rsidRPr="009A5A24">
        <w:t>e</w:t>
      </w:r>
      <w:r w:rsidRPr="009A5A24">
        <w:t xml:space="preserve"> kloubů a aseptické nekrózy</w:t>
      </w:r>
      <w:r w:rsidR="00B906C9" w:rsidRPr="009A5A24">
        <w:t xml:space="preserve"> kosti</w:t>
      </w:r>
      <w:r w:rsidRPr="009A5A24">
        <w:t xml:space="preserve">. </w:t>
      </w:r>
    </w:p>
    <w:p w14:paraId="03C62457" w14:textId="4B39C73D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Nepoužívat v případech přecitlivělosti na léčivou látku, kortikosteroidy nebo na některou z pomocných látek.</w:t>
      </w:r>
    </w:p>
    <w:p w14:paraId="636CC8D6" w14:textId="6A5D8009" w:rsidR="006B15F7" w:rsidRPr="009A5A24" w:rsidRDefault="0040525B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Viz také bod 3.7.</w:t>
      </w:r>
    </w:p>
    <w:p w14:paraId="4A5008FA" w14:textId="7B754ACA" w:rsidR="0029679D" w:rsidRPr="009A5A24" w:rsidRDefault="0029679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2A42B5" w14:textId="0F78B713" w:rsidR="00C114FF" w:rsidRPr="009A5A24" w:rsidRDefault="00C53ED7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9A5A24">
        <w:rPr>
          <w:b/>
          <w:szCs w:val="22"/>
        </w:rPr>
        <w:t>Zvláštní upozornění</w:t>
      </w:r>
    </w:p>
    <w:p w14:paraId="67044B19" w14:textId="77777777" w:rsidR="00C53ED7" w:rsidRPr="009A5A24" w:rsidRDefault="00C53ED7" w:rsidP="0051422F">
      <w:pPr>
        <w:tabs>
          <w:tab w:val="clear" w:pos="567"/>
        </w:tabs>
        <w:spacing w:line="240" w:lineRule="auto"/>
        <w:jc w:val="both"/>
      </w:pPr>
    </w:p>
    <w:p w14:paraId="604DE940" w14:textId="7266A63C" w:rsidR="00F15BE9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Nejsou.</w:t>
      </w:r>
    </w:p>
    <w:p w14:paraId="27FA31BD" w14:textId="77777777" w:rsidR="006B15F7" w:rsidRPr="009A5A24" w:rsidDel="00E86CEE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2F24E" w14:textId="7682F1A3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</w:rPr>
      </w:pPr>
      <w:r w:rsidRPr="009A5A24">
        <w:rPr>
          <w:b/>
          <w:szCs w:val="22"/>
        </w:rPr>
        <w:t>Zvláštní opatření pro použití</w:t>
      </w:r>
    </w:p>
    <w:p w14:paraId="3D268196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463CE0" w14:textId="1B552A0E" w:rsidR="00C114FF" w:rsidRPr="009A5A24" w:rsidRDefault="00C114FF" w:rsidP="0051422F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A5A24">
        <w:rPr>
          <w:szCs w:val="22"/>
          <w:u w:val="single"/>
        </w:rPr>
        <w:t>Zvláštní opatření pro bezpečné použití u cílových druhů zvířat:</w:t>
      </w:r>
    </w:p>
    <w:p w14:paraId="669A07A2" w14:textId="5119B3C5" w:rsidR="007B4F30" w:rsidRPr="009A5A24" w:rsidRDefault="00736C8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Odpověď </w:t>
      </w:r>
      <w:r w:rsidR="007B4F30" w:rsidRPr="009A5A24">
        <w:t xml:space="preserve">na dlouhodobou </w:t>
      </w:r>
      <w:r w:rsidRPr="009A5A24">
        <w:t xml:space="preserve">terapii </w:t>
      </w:r>
      <w:r w:rsidR="007B4F30" w:rsidRPr="009A5A24">
        <w:t xml:space="preserve">by měl v pravidelných intervalech sledovat veterinární lékař. </w:t>
      </w:r>
      <w:r w:rsidRPr="009A5A24">
        <w:t xml:space="preserve">Při použití kortikosteroidů u koní byly hlášeny případy </w:t>
      </w:r>
      <w:proofErr w:type="spellStart"/>
      <w:r w:rsidRPr="009A5A24">
        <w:t>laminitidy</w:t>
      </w:r>
      <w:proofErr w:type="spellEnd"/>
      <w:r w:rsidRPr="009A5A24">
        <w:t>.</w:t>
      </w:r>
      <w:r w:rsidRPr="009A5A24" w:rsidDel="00736C8D">
        <w:t xml:space="preserve"> </w:t>
      </w:r>
      <w:r w:rsidR="007B4F30" w:rsidRPr="009A5A24">
        <w:t xml:space="preserve">Proto by koně </w:t>
      </w:r>
      <w:r w:rsidR="00E06925">
        <w:t>ošetření</w:t>
      </w:r>
      <w:r w:rsidR="007B4F30" w:rsidRPr="009A5A24">
        <w:t xml:space="preserve"> takovými přípravky měli být během období léčby často sledováni. </w:t>
      </w:r>
    </w:p>
    <w:p w14:paraId="3E23BCC6" w14:textId="0BB17D2A" w:rsidR="007B4F30" w:rsidRPr="009A5A24" w:rsidRDefault="007B4F30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Vzhledem k farmakologickým vlastnostem </w:t>
      </w:r>
      <w:r w:rsidR="009869E1" w:rsidRPr="009869E1">
        <w:t>veterinárního léčivého přípravku</w:t>
      </w:r>
      <w:r w:rsidR="009869E1">
        <w:t xml:space="preserve"> </w:t>
      </w:r>
      <w:r w:rsidRPr="009A5A24">
        <w:t>je třeba zvláštní opatrnosti při použití přípravku u zvířat s oslabeným imunitním systémem.</w:t>
      </w:r>
    </w:p>
    <w:p w14:paraId="7C0DD97C" w14:textId="331B7D04" w:rsidR="007B4F30" w:rsidRPr="009A5A24" w:rsidRDefault="007B4F30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S výjimkou případů acetonémie a vyvolání porodu je účelem podávání kortikosteroidů spíše zlepšení klinických příznaků než vyléčení. </w:t>
      </w:r>
      <w:r w:rsidR="00E13394" w:rsidRPr="009A5A24">
        <w:t xml:space="preserve">Výchozí </w:t>
      </w:r>
      <w:r w:rsidRPr="009A5A24">
        <w:t xml:space="preserve">onemocnění by mělo být dále vyšetřeno. Po </w:t>
      </w:r>
      <w:proofErr w:type="spellStart"/>
      <w:r w:rsidRPr="009A5A24">
        <w:t>intraartikulární</w:t>
      </w:r>
      <w:r w:rsidR="00155A3E" w:rsidRPr="009A5A24">
        <w:t>m</w:t>
      </w:r>
      <w:proofErr w:type="spellEnd"/>
      <w:r w:rsidR="00155A3E" w:rsidRPr="009A5A24">
        <w:t xml:space="preserve"> podání</w:t>
      </w:r>
      <w:r w:rsidRPr="009A5A24">
        <w:t xml:space="preserve"> </w:t>
      </w:r>
      <w:r w:rsidR="00155A3E" w:rsidRPr="009A5A24">
        <w:t>je nutné</w:t>
      </w:r>
      <w:r w:rsidRPr="009A5A24">
        <w:t xml:space="preserve"> po dobu jednoho měsíce</w:t>
      </w:r>
      <w:r w:rsidR="00155A3E" w:rsidRPr="009A5A24">
        <w:t xml:space="preserve"> minimalizovat používání kloubu</w:t>
      </w:r>
      <w:r w:rsidRPr="009A5A24">
        <w:t xml:space="preserve"> a </w:t>
      </w:r>
      <w:r w:rsidR="00155A3E" w:rsidRPr="009A5A24">
        <w:t xml:space="preserve">po dobu </w:t>
      </w:r>
      <w:r w:rsidRPr="009A5A24">
        <w:t xml:space="preserve">osmi týdnů od použití </w:t>
      </w:r>
      <w:r w:rsidR="00155A3E" w:rsidRPr="009A5A24">
        <w:t>této cesty</w:t>
      </w:r>
      <w:r w:rsidRPr="009A5A24">
        <w:t xml:space="preserve"> podání </w:t>
      </w:r>
      <w:r w:rsidR="00155A3E" w:rsidRPr="009A5A24">
        <w:t xml:space="preserve">není vhodné provádět chirurgické zákroky na daném </w:t>
      </w:r>
      <w:r w:rsidRPr="009A5A24">
        <w:t>kloubu.</w:t>
      </w:r>
    </w:p>
    <w:p w14:paraId="3A5D56EB" w14:textId="77777777" w:rsidR="00F15BE9" w:rsidRPr="009A5A24" w:rsidRDefault="00F15BE9" w:rsidP="0051422F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5DD0E45D" w14:textId="77777777" w:rsidR="00C53ED7" w:rsidRPr="009A5A24" w:rsidRDefault="00C53ED7" w:rsidP="0051422F">
      <w:pPr>
        <w:keepNext/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</w:rPr>
      </w:pPr>
      <w:r w:rsidRPr="009A5A24">
        <w:rPr>
          <w:szCs w:val="22"/>
          <w:u w:val="single"/>
        </w:rPr>
        <w:t>Zvláštní opatření pro osobu, která podává veterinární léčivý přípravek zvířatům:</w:t>
      </w:r>
    </w:p>
    <w:p w14:paraId="036A6135" w14:textId="51971525" w:rsidR="006B15F7" w:rsidRPr="009A5A24" w:rsidRDefault="00D307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Zabraňte </w:t>
      </w:r>
      <w:r w:rsidR="006B15F7" w:rsidRPr="009A5A24">
        <w:t xml:space="preserve">náhodnému </w:t>
      </w:r>
      <w:proofErr w:type="spellStart"/>
      <w:r w:rsidR="006B15F7" w:rsidRPr="009A5A24">
        <w:t>s</w:t>
      </w:r>
      <w:r w:rsidRPr="009A5A24">
        <w:t>amopodání</w:t>
      </w:r>
      <w:proofErr w:type="spellEnd"/>
      <w:r w:rsidR="006B15F7" w:rsidRPr="009A5A24">
        <w:t>.</w:t>
      </w:r>
    </w:p>
    <w:p w14:paraId="7D344E79" w14:textId="029D4A88" w:rsidR="00E81E0C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V případě náhodného sebepoškození injekčně aplikovaným přípravkem vyhledejte ihned lékařskou pomoc a ukažte příbalovou informaci nebo etiketu praktickému lékaři.</w:t>
      </w:r>
    </w:p>
    <w:p w14:paraId="5E82DC13" w14:textId="6740FF0C" w:rsidR="00205263" w:rsidRPr="009A5A24" w:rsidRDefault="0020526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80155E" w14:textId="140BC968" w:rsidR="00E81E0C" w:rsidRPr="009A5A24" w:rsidRDefault="00C53ED7" w:rsidP="0051422F">
      <w:pPr>
        <w:tabs>
          <w:tab w:val="clear" w:pos="567"/>
        </w:tabs>
        <w:spacing w:line="240" w:lineRule="auto"/>
        <w:jc w:val="both"/>
      </w:pPr>
      <w:r w:rsidRPr="009A5A24">
        <w:t>Veterinární léčivý přípravek by neměly podávat těhotné ženy.</w:t>
      </w:r>
    </w:p>
    <w:p w14:paraId="233A5321" w14:textId="77777777" w:rsidR="00C53ED7" w:rsidRPr="009A5A24" w:rsidRDefault="00C53ED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EFBBC4" w14:textId="70D66A79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Za</w:t>
      </w:r>
      <w:r w:rsidR="00D30784" w:rsidRPr="009A5A24">
        <w:t xml:space="preserve">braňte kontaktu </w:t>
      </w:r>
      <w:r w:rsidRPr="009A5A24">
        <w:t>s kůží a očima. V případě náhodného zasažení očí nebo pokožky důkladně omyjte postižené místo čistou tekoucí vodou.</w:t>
      </w:r>
    </w:p>
    <w:p w14:paraId="3603038E" w14:textId="77777777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Lidé se známou přecitlivělostí na léčivou látku nebo na kteroukoli pomocnou látku by se měli vyhnout kontaktu s veterinárním léčivým přípravkem.</w:t>
      </w:r>
    </w:p>
    <w:p w14:paraId="2CAC1EA7" w14:textId="77777777" w:rsidR="00C114FF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>Po použití si umyjte ruce.</w:t>
      </w:r>
    </w:p>
    <w:p w14:paraId="6220ABC1" w14:textId="77777777" w:rsidR="006B15F7" w:rsidRPr="009A5A24" w:rsidRDefault="006B15F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6A0912" w14:textId="2B10535D" w:rsidR="00BB56F6" w:rsidRPr="009A5A24" w:rsidRDefault="00BB56F6" w:rsidP="002B736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rPr>
          <w:u w:val="single"/>
        </w:rPr>
        <w:t>Zvláštní opatření pro ochranu životního prostředí:</w:t>
      </w:r>
    </w:p>
    <w:p w14:paraId="70EAB7FA" w14:textId="6CBF91F3" w:rsidR="00BB56F6" w:rsidRPr="009A5A24" w:rsidRDefault="00CC159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</w:t>
      </w:r>
      <w:r w:rsidR="00BB56F6" w:rsidRPr="009A5A24">
        <w:t>.</w:t>
      </w:r>
    </w:p>
    <w:p w14:paraId="77A0D3C0" w14:textId="77777777" w:rsidR="00BB56F6" w:rsidRPr="009A5A24" w:rsidRDefault="00BB56F6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E8562C" w14:textId="239A9388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9A5A24">
        <w:rPr>
          <w:b/>
          <w:szCs w:val="22"/>
        </w:rPr>
        <w:t>Nežádoucí účinky</w:t>
      </w:r>
    </w:p>
    <w:p w14:paraId="3F3EC5B4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E3B3AE" w14:textId="7DAD5D34" w:rsidR="0016700D" w:rsidRPr="009A5A24" w:rsidRDefault="0016700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Koně, skot, </w:t>
      </w:r>
      <w:r w:rsidR="009869E1" w:rsidRPr="009869E1">
        <w:t>kozy,</w:t>
      </w:r>
      <w:r w:rsidR="006347D0">
        <w:t xml:space="preserve"> </w:t>
      </w:r>
      <w:r w:rsidRPr="009A5A24">
        <w:t>prasata, psi a kočky:</w:t>
      </w:r>
    </w:p>
    <w:p w14:paraId="78E31194" w14:textId="77777777" w:rsidR="00AE2CF7" w:rsidRPr="009A5A24" w:rsidRDefault="00AE2CF7" w:rsidP="00AE2CF7">
      <w:pPr>
        <w:tabs>
          <w:tab w:val="clear" w:pos="567"/>
        </w:tabs>
        <w:spacing w:line="240" w:lineRule="auto"/>
        <w:rPr>
          <w:szCs w:val="22"/>
        </w:rPr>
      </w:pPr>
      <w:bookmarkStart w:id="1" w:name="_Hlk118369595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22"/>
        <w:gridCol w:w="6330"/>
      </w:tblGrid>
      <w:tr w:rsidR="00AE2CF7" w:rsidRPr="009A5A24" w14:paraId="5A5AD9D9" w14:textId="77777777" w:rsidTr="001201FB">
        <w:trPr>
          <w:trHeight w:val="138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7DB74DF" w14:textId="77777777" w:rsidR="00C53ED7" w:rsidRPr="009A5A24" w:rsidRDefault="00C53ED7" w:rsidP="00C53ED7">
            <w:pPr>
              <w:rPr>
                <w:rFonts w:ascii="Times New Roman" w:hAnsi="Times New Roman"/>
              </w:rPr>
            </w:pPr>
            <w:r w:rsidRPr="009A5A24">
              <w:rPr>
                <w:rFonts w:ascii="Times New Roman" w:hAnsi="Times New Roman"/>
              </w:rPr>
              <w:t>Velmi vzácné</w:t>
            </w:r>
          </w:p>
          <w:p w14:paraId="491C84CC" w14:textId="691F80AD" w:rsidR="00AE2CF7" w:rsidRPr="009A5A24" w:rsidRDefault="00C53ED7" w:rsidP="00C53ED7">
            <w:pPr>
              <w:rPr>
                <w:rFonts w:ascii="Times New Roman" w:hAnsi="Times New Roman" w:cs="Times New Roman"/>
              </w:rPr>
            </w:pPr>
            <w:proofErr w:type="gramStart"/>
            <w:r w:rsidRPr="009A5A24">
              <w:rPr>
                <w:rFonts w:ascii="Times New Roman" w:hAnsi="Times New Roman"/>
              </w:rPr>
              <w:t>(&lt; 1</w:t>
            </w:r>
            <w:proofErr w:type="gramEnd"/>
            <w:r w:rsidRPr="009A5A24">
              <w:rPr>
                <w:rFonts w:ascii="Times New Roman" w:hAnsi="Times New Roman"/>
              </w:rPr>
              <w:t xml:space="preserve"> zvíře / 10 000 ošetřených zvířat, včetně ojedinělých hlášení):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shd w:val="clear" w:color="auto" w:fill="auto"/>
          </w:tcPr>
          <w:p w14:paraId="661F505C" w14:textId="77777777" w:rsidR="00AE2CF7" w:rsidRPr="009A5A24" w:rsidRDefault="00AE2CF7" w:rsidP="001201FB">
            <w:pPr>
              <w:rPr>
                <w:rFonts w:ascii="Times New Roman" w:hAnsi="Times New Roman" w:cs="Times New Roman"/>
              </w:rPr>
            </w:pPr>
            <w:r w:rsidRPr="009A5A24">
              <w:rPr>
                <w:rFonts w:ascii="Times New Roman" w:hAnsi="Times New Roman"/>
              </w:rPr>
              <w:t>hypersenzitivní reakce</w:t>
            </w:r>
          </w:p>
        </w:tc>
      </w:tr>
      <w:tr w:rsidR="00AE2CF7" w:rsidRPr="009A5A24" w14:paraId="09F1E06F" w14:textId="77777777" w:rsidTr="001201FB">
        <w:trPr>
          <w:trHeight w:val="178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A644068" w14:textId="4F3F32B5" w:rsidR="00AE2CF7" w:rsidRPr="009A5A24" w:rsidRDefault="00AE2CF7" w:rsidP="001201FB">
            <w:pPr>
              <w:rPr>
                <w:rFonts w:ascii="Times New Roman" w:hAnsi="Times New Roman" w:cs="Times New Roman"/>
              </w:rPr>
            </w:pPr>
            <w:r w:rsidRPr="009A5A24">
              <w:rPr>
                <w:rFonts w:ascii="Times New Roman" w:hAnsi="Times New Roman"/>
              </w:rPr>
              <w:lastRenderedPageBreak/>
              <w:t>Ne</w:t>
            </w:r>
            <w:r w:rsidR="00E06925">
              <w:rPr>
                <w:rFonts w:ascii="Times New Roman" w:hAnsi="Times New Roman"/>
              </w:rPr>
              <w:t>znám</w:t>
            </w:r>
            <w:r w:rsidR="00BB7A8B" w:rsidRPr="009A5A24">
              <w:rPr>
                <w:rFonts w:ascii="Times New Roman" w:hAnsi="Times New Roman"/>
              </w:rPr>
              <w:t>á</w:t>
            </w:r>
          </w:p>
          <w:p w14:paraId="2307C92C" w14:textId="63859F21" w:rsidR="00AE2CF7" w:rsidRPr="009A5A24" w:rsidRDefault="00AE2CF7" w:rsidP="001201FB">
            <w:pPr>
              <w:rPr>
                <w:rFonts w:ascii="Times New Roman" w:hAnsi="Times New Roman" w:cs="Times New Roman"/>
              </w:rPr>
            </w:pPr>
            <w:r w:rsidRPr="009A5A24">
              <w:rPr>
                <w:rFonts w:ascii="Times New Roman" w:hAnsi="Times New Roman"/>
              </w:rPr>
              <w:t xml:space="preserve">četnost </w:t>
            </w:r>
            <w:r w:rsidR="009869E1" w:rsidRPr="009869E1">
              <w:rPr>
                <w:rFonts w:ascii="Times New Roman" w:hAnsi="Times New Roman"/>
              </w:rPr>
              <w:t>(nelze odhadnout z dostupných údajů)</w:t>
            </w:r>
            <w:r w:rsidR="009869E1">
              <w:rPr>
                <w:rFonts w:ascii="Times New Roman" w:hAnsi="Times New Roman"/>
              </w:rPr>
              <w:t>: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shd w:val="clear" w:color="auto" w:fill="auto"/>
          </w:tcPr>
          <w:p w14:paraId="7CBD6C54" w14:textId="4097C43E" w:rsidR="00AE2CF7" w:rsidRPr="009A5A24" w:rsidRDefault="00AE2CF7" w:rsidP="001201FB">
            <w:pPr>
              <w:rPr>
                <w:rFonts w:ascii="Times New Roman" w:hAnsi="Times New Roman" w:cs="Times New Roman"/>
              </w:rPr>
            </w:pPr>
            <w:proofErr w:type="spellStart"/>
            <w:r w:rsidRPr="009A5A24">
              <w:rPr>
                <w:rFonts w:ascii="Times New Roman" w:hAnsi="Times New Roman"/>
              </w:rPr>
              <w:t>iatrogenní</w:t>
            </w:r>
            <w:proofErr w:type="spellEnd"/>
            <w:r w:rsidRPr="009A5A24">
              <w:rPr>
                <w:rFonts w:ascii="Times New Roman" w:hAnsi="Times New Roman"/>
              </w:rPr>
              <w:t xml:space="preserve"> </w:t>
            </w:r>
            <w:proofErr w:type="spellStart"/>
            <w:r w:rsidRPr="009A5A24">
              <w:rPr>
                <w:rFonts w:ascii="Times New Roman" w:hAnsi="Times New Roman"/>
              </w:rPr>
              <w:t>hyperadrenokorticismus</w:t>
            </w:r>
            <w:proofErr w:type="spellEnd"/>
            <w:r w:rsidRPr="009A5A24">
              <w:rPr>
                <w:rFonts w:ascii="Times New Roman" w:hAnsi="Times New Roman"/>
              </w:rPr>
              <w:t xml:space="preserve"> (</w:t>
            </w:r>
            <w:proofErr w:type="spellStart"/>
            <w:r w:rsidRPr="009A5A24">
              <w:rPr>
                <w:rFonts w:ascii="Times New Roman" w:hAnsi="Times New Roman"/>
              </w:rPr>
              <w:t>Cushingův</w:t>
            </w:r>
            <w:proofErr w:type="spellEnd"/>
            <w:r w:rsidRPr="009A5A24">
              <w:rPr>
                <w:rFonts w:ascii="Times New Roman" w:hAnsi="Times New Roman"/>
              </w:rPr>
              <w:t xml:space="preserve"> </w:t>
            </w:r>
            <w:proofErr w:type="gramStart"/>
            <w:r w:rsidRPr="009A5A24">
              <w:rPr>
                <w:rFonts w:ascii="Times New Roman" w:hAnsi="Times New Roman"/>
              </w:rPr>
              <w:t>syndrom)¹</w:t>
            </w:r>
            <w:proofErr w:type="gramEnd"/>
            <w:r w:rsidRPr="009A5A24">
              <w:rPr>
                <w:rFonts w:ascii="Times New Roman" w:hAnsi="Times New Roman"/>
              </w:rPr>
              <w:t>, polyurie</w:t>
            </w:r>
            <w:r w:rsidRPr="009A5A24">
              <w:rPr>
                <w:rFonts w:ascii="Times New Roman" w:hAnsi="Times New Roman"/>
                <w:vertAlign w:val="superscript"/>
              </w:rPr>
              <w:t>2</w:t>
            </w:r>
            <w:r w:rsidRPr="009A5A24">
              <w:rPr>
                <w:rFonts w:ascii="Times New Roman" w:hAnsi="Times New Roman"/>
              </w:rPr>
              <w:t>, polydipsie</w:t>
            </w:r>
            <w:r w:rsidRPr="009A5A24">
              <w:rPr>
                <w:rFonts w:ascii="Times New Roman" w:hAnsi="Times New Roman"/>
                <w:vertAlign w:val="superscript"/>
              </w:rPr>
              <w:t>2</w:t>
            </w:r>
            <w:r w:rsidRPr="009A5A24">
              <w:rPr>
                <w:rFonts w:ascii="Times New Roman" w:hAnsi="Times New Roman"/>
              </w:rPr>
              <w:t>, polyfagie</w:t>
            </w:r>
            <w:r w:rsidRPr="009A5A24">
              <w:rPr>
                <w:rFonts w:ascii="Times New Roman" w:hAnsi="Times New Roman"/>
                <w:vertAlign w:val="superscript"/>
              </w:rPr>
              <w:t>2</w:t>
            </w:r>
            <w:r w:rsidRPr="009A5A24">
              <w:rPr>
                <w:rFonts w:ascii="Times New Roman" w:hAnsi="Times New Roman"/>
              </w:rPr>
              <w:t>, retence sodíku</w:t>
            </w:r>
            <w:r w:rsidRPr="009A5A24">
              <w:rPr>
                <w:rFonts w:ascii="Times New Roman" w:hAnsi="Times New Roman"/>
                <w:vertAlign w:val="superscript"/>
              </w:rPr>
              <w:t>3</w:t>
            </w:r>
            <w:r w:rsidRPr="009A5A24">
              <w:rPr>
                <w:rFonts w:ascii="Times New Roman" w:hAnsi="Times New Roman"/>
              </w:rPr>
              <w:t>, retence vody</w:t>
            </w:r>
            <w:r w:rsidRPr="009A5A24">
              <w:rPr>
                <w:rFonts w:ascii="Times New Roman" w:hAnsi="Times New Roman"/>
                <w:vertAlign w:val="superscript"/>
              </w:rPr>
              <w:t>3</w:t>
            </w:r>
            <w:r w:rsidRPr="009A5A24">
              <w:rPr>
                <w:rFonts w:ascii="Times New Roman" w:hAnsi="Times New Roman"/>
              </w:rPr>
              <w:t>, hypokalémie</w:t>
            </w:r>
            <w:r w:rsidRPr="009A5A24">
              <w:rPr>
                <w:rFonts w:ascii="Times New Roman" w:hAnsi="Times New Roman"/>
                <w:vertAlign w:val="superscript"/>
              </w:rPr>
              <w:t>3</w:t>
            </w:r>
            <w:r w:rsidRPr="009A5A24">
              <w:rPr>
                <w:rFonts w:ascii="Times New Roman" w:hAnsi="Times New Roman"/>
              </w:rPr>
              <w:t xml:space="preserve">, </w:t>
            </w:r>
            <w:r w:rsidR="006C3C75">
              <w:rPr>
                <w:rFonts w:ascii="Times New Roman" w:hAnsi="Times New Roman"/>
              </w:rPr>
              <w:t>kalcinóza kůže</w:t>
            </w:r>
            <w:r w:rsidRPr="009A5A24">
              <w:rPr>
                <w:rFonts w:ascii="Times New Roman" w:hAnsi="Times New Roman"/>
              </w:rPr>
              <w:t xml:space="preserve">, </w:t>
            </w:r>
            <w:r w:rsidR="00284FE0" w:rsidRPr="009A5A24">
              <w:rPr>
                <w:rFonts w:ascii="Times New Roman" w:hAnsi="Times New Roman"/>
              </w:rPr>
              <w:t xml:space="preserve">zpomalené </w:t>
            </w:r>
            <w:r w:rsidRPr="009A5A24">
              <w:rPr>
                <w:rFonts w:ascii="Times New Roman" w:hAnsi="Times New Roman"/>
              </w:rPr>
              <w:t>hojení ran, oslabená odolnost nebo exacerbace existujících infekcí</w:t>
            </w:r>
            <w:r w:rsidRPr="009A5A24">
              <w:rPr>
                <w:rFonts w:ascii="Times New Roman" w:hAnsi="Times New Roman"/>
                <w:vertAlign w:val="superscript"/>
              </w:rPr>
              <w:t>4</w:t>
            </w:r>
            <w:r w:rsidRPr="009A5A24">
              <w:rPr>
                <w:rFonts w:ascii="Times New Roman" w:hAnsi="Times New Roman"/>
              </w:rPr>
              <w:t>, gastrointestinální ulcerace</w:t>
            </w:r>
            <w:r w:rsidRPr="009A5A24">
              <w:rPr>
                <w:rFonts w:ascii="Times New Roman" w:hAnsi="Times New Roman"/>
                <w:vertAlign w:val="superscript"/>
              </w:rPr>
              <w:t>5</w:t>
            </w:r>
            <w:r w:rsidRPr="009A5A24">
              <w:rPr>
                <w:rFonts w:ascii="Times New Roman" w:hAnsi="Times New Roman"/>
              </w:rPr>
              <w:t>, hepatomegalie</w:t>
            </w:r>
            <w:r w:rsidRPr="009A5A24">
              <w:rPr>
                <w:rFonts w:ascii="Times New Roman" w:hAnsi="Times New Roman"/>
                <w:vertAlign w:val="superscript"/>
              </w:rPr>
              <w:t>6</w:t>
            </w:r>
            <w:r w:rsidRPr="009A5A24">
              <w:rPr>
                <w:rFonts w:ascii="Times New Roman" w:hAnsi="Times New Roman"/>
              </w:rPr>
              <w:t>, změny biochemických a hematologických parametrů krve, hyperglykémie</w:t>
            </w:r>
            <w:r w:rsidRPr="009A5A24">
              <w:rPr>
                <w:rFonts w:ascii="Times New Roman" w:hAnsi="Times New Roman"/>
                <w:vertAlign w:val="superscript"/>
              </w:rPr>
              <w:t>7</w:t>
            </w:r>
            <w:r w:rsidRPr="009A5A24">
              <w:rPr>
                <w:rFonts w:ascii="Times New Roman" w:hAnsi="Times New Roman"/>
              </w:rPr>
              <w:t>, zadržená placenta</w:t>
            </w:r>
            <w:r w:rsidRPr="009A5A24">
              <w:rPr>
                <w:rFonts w:ascii="Times New Roman" w:hAnsi="Times New Roman"/>
                <w:vertAlign w:val="superscript"/>
              </w:rPr>
              <w:t>8</w:t>
            </w:r>
            <w:r w:rsidRPr="009A5A24">
              <w:rPr>
                <w:rFonts w:ascii="Times New Roman" w:hAnsi="Times New Roman"/>
              </w:rPr>
              <w:t>, snížená životaschopnost telete</w:t>
            </w:r>
            <w:r w:rsidRPr="009A5A24">
              <w:rPr>
                <w:rFonts w:ascii="Times New Roman" w:hAnsi="Times New Roman"/>
                <w:vertAlign w:val="superscript"/>
              </w:rPr>
              <w:t>9</w:t>
            </w:r>
            <w:r w:rsidRPr="009A5A24">
              <w:rPr>
                <w:rFonts w:ascii="Times New Roman" w:hAnsi="Times New Roman"/>
              </w:rPr>
              <w:t>, pankreatitida</w:t>
            </w:r>
            <w:r w:rsidRPr="009A5A24">
              <w:rPr>
                <w:rFonts w:ascii="Times New Roman" w:hAnsi="Times New Roman"/>
                <w:vertAlign w:val="superscript"/>
              </w:rPr>
              <w:t>10</w:t>
            </w:r>
            <w:r w:rsidRPr="009A5A24">
              <w:rPr>
                <w:rFonts w:ascii="Times New Roman" w:hAnsi="Times New Roman"/>
              </w:rPr>
              <w:t xml:space="preserve">, </w:t>
            </w:r>
            <w:proofErr w:type="spellStart"/>
            <w:r w:rsidRPr="009A5A24">
              <w:rPr>
                <w:rFonts w:ascii="Times New Roman" w:hAnsi="Times New Roman"/>
              </w:rPr>
              <w:t>laminitida</w:t>
            </w:r>
            <w:proofErr w:type="spellEnd"/>
            <w:r w:rsidRPr="009A5A24">
              <w:rPr>
                <w:rFonts w:ascii="Times New Roman" w:hAnsi="Times New Roman"/>
              </w:rPr>
              <w:t>, pokles produkce mléka</w:t>
            </w:r>
          </w:p>
        </w:tc>
      </w:tr>
    </w:tbl>
    <w:p w14:paraId="1F3BB700" w14:textId="77777777" w:rsidR="00AE2CF7" w:rsidRPr="009A5A24" w:rsidRDefault="00AE2CF7" w:rsidP="00AE2CF7">
      <w:pPr>
        <w:tabs>
          <w:tab w:val="clear" w:pos="567"/>
        </w:tabs>
        <w:spacing w:line="240" w:lineRule="auto"/>
        <w:rPr>
          <w:szCs w:val="22"/>
        </w:rPr>
      </w:pPr>
    </w:p>
    <w:p w14:paraId="50E84913" w14:textId="77777777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bookmarkStart w:id="2" w:name="_Hlk118718132"/>
      <w:r w:rsidRPr="009A5A24">
        <w:t xml:space="preserve">¹ </w:t>
      </w:r>
      <w:bookmarkStart w:id="3" w:name="_Hlk118369556"/>
      <w:proofErr w:type="spellStart"/>
      <w:r w:rsidRPr="009A5A24">
        <w:t>Iatrogenní</w:t>
      </w:r>
      <w:proofErr w:type="spellEnd"/>
      <w:r w:rsidRPr="009A5A24">
        <w:t xml:space="preserve"> </w:t>
      </w:r>
      <w:proofErr w:type="spellStart"/>
      <w:r w:rsidRPr="009A5A24">
        <w:t>hyperadrenokorticismus</w:t>
      </w:r>
      <w:proofErr w:type="spellEnd"/>
      <w:r w:rsidRPr="009A5A24">
        <w:t xml:space="preserve"> </w:t>
      </w:r>
      <w:bookmarkEnd w:id="3"/>
      <w:r w:rsidRPr="009A5A24">
        <w:t>(</w:t>
      </w:r>
      <w:proofErr w:type="spellStart"/>
      <w:r w:rsidRPr="009A5A24">
        <w:t>Cushingův</w:t>
      </w:r>
      <w:proofErr w:type="spellEnd"/>
      <w:r w:rsidRPr="009A5A24">
        <w:t xml:space="preserve"> syndrom), zahrnující významnou změnu metabolismu tuků, sacharidů, bílkovin a minerálů, např. může dojít k redistribuci tělesného tuku, svalové slabosti a úbytku a osteoporóze.</w:t>
      </w:r>
    </w:p>
    <w:p w14:paraId="7A484214" w14:textId="77777777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2</w:t>
      </w:r>
      <w:r w:rsidRPr="009A5A24">
        <w:t xml:space="preserve"> Po systémovém podání a zejména v časných stádiích léčby.</w:t>
      </w:r>
    </w:p>
    <w:p w14:paraId="411BF3D9" w14:textId="1950446F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3</w:t>
      </w:r>
      <w:r w:rsidRPr="009A5A24">
        <w:t xml:space="preserve"> Při dlouhodobém po</w:t>
      </w:r>
      <w:r w:rsidR="006414D2">
        <w:t>dá</w:t>
      </w:r>
      <w:r w:rsidRPr="009A5A24">
        <w:t>vání.</w:t>
      </w:r>
    </w:p>
    <w:p w14:paraId="6866ABF6" w14:textId="77777777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4</w:t>
      </w:r>
      <w:r w:rsidRPr="009A5A24">
        <w:t xml:space="preserve"> V případě bakteriální infekce je při použití steroidů obvykle vyžadováno krytí antibakteriálním léčivem. V přítomnosti virových infekcí mohou steroidy zhoršit nebo urychlit progresi onemocnění.</w:t>
      </w:r>
    </w:p>
    <w:p w14:paraId="45DFFE4B" w14:textId="190FCE66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5</w:t>
      </w:r>
      <w:r w:rsidRPr="009A5A24">
        <w:t xml:space="preserve"> Může být </w:t>
      </w:r>
      <w:proofErr w:type="spellStart"/>
      <w:r w:rsidRPr="009A5A24">
        <w:t>exacerbováno</w:t>
      </w:r>
      <w:proofErr w:type="spellEnd"/>
      <w:r w:rsidRPr="009A5A24">
        <w:t xml:space="preserve"> steroidy u pacientů užívajících nesteroidní protizánětlivé léky a u zvířat </w:t>
      </w:r>
      <w:r w:rsidR="004A0546" w:rsidRPr="009A5A24">
        <w:t>s</w:t>
      </w:r>
      <w:r w:rsidR="004A0546">
        <w:t> </w:t>
      </w:r>
      <w:r w:rsidRPr="009A5A24">
        <w:t>poraněním míchy.</w:t>
      </w:r>
    </w:p>
    <w:p w14:paraId="3D2B5BBD" w14:textId="495A5A7F" w:rsidR="00AE2CF7" w:rsidRPr="009A5A24" w:rsidRDefault="00AE2CF7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 xml:space="preserve">6 </w:t>
      </w:r>
      <w:r w:rsidRPr="009A5A24">
        <w:t xml:space="preserve">Zvýšené sérové koncentrace jaterních enzymů. </w:t>
      </w:r>
    </w:p>
    <w:p w14:paraId="2A4E99E6" w14:textId="367668CB" w:rsidR="00F94C71" w:rsidRPr="009A5A24" w:rsidRDefault="00F94C71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7</w:t>
      </w:r>
      <w:r w:rsidRPr="009A5A24">
        <w:t xml:space="preserve"> Přechodné.</w:t>
      </w:r>
    </w:p>
    <w:p w14:paraId="436B28FE" w14:textId="286C4C9C" w:rsidR="00AE2CF7" w:rsidRPr="009A5A24" w:rsidRDefault="00F94C71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8</w:t>
      </w:r>
      <w:r w:rsidRPr="009A5A24">
        <w:t xml:space="preserve"> Při použití k vyvolání porodu u skotu s možnou následnou metritidou a/nebo </w:t>
      </w:r>
      <w:proofErr w:type="spellStart"/>
      <w:r w:rsidRPr="009A5A24">
        <w:t>subfertilitou</w:t>
      </w:r>
      <w:proofErr w:type="spellEnd"/>
      <w:r w:rsidRPr="009A5A24">
        <w:t>.</w:t>
      </w:r>
    </w:p>
    <w:p w14:paraId="01106F1F" w14:textId="3B9F018F" w:rsidR="00AE2CF7" w:rsidRPr="009A5A24" w:rsidRDefault="00F94C71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9</w:t>
      </w:r>
      <w:r w:rsidRPr="009A5A24">
        <w:t xml:space="preserve"> Při použití k vyvolání porodu u skotu, zejména v časných stádiích.</w:t>
      </w:r>
    </w:p>
    <w:p w14:paraId="3AD73C41" w14:textId="0F3B2428" w:rsidR="00F94C71" w:rsidRPr="009A5A24" w:rsidRDefault="00F94C71" w:rsidP="00AE2CF7">
      <w:pPr>
        <w:spacing w:after="160" w:line="259" w:lineRule="auto"/>
        <w:rPr>
          <w:rFonts w:cs="Arial"/>
          <w:szCs w:val="22"/>
        </w:rPr>
      </w:pPr>
      <w:r w:rsidRPr="009A5A24">
        <w:rPr>
          <w:szCs w:val="22"/>
          <w:vertAlign w:val="superscript"/>
        </w:rPr>
        <w:t>10</w:t>
      </w:r>
      <w:r w:rsidRPr="009A5A24">
        <w:t xml:space="preserve"> Zvýšené riziko akutní pankreatitidy.</w:t>
      </w:r>
    </w:p>
    <w:bookmarkEnd w:id="1"/>
    <w:bookmarkEnd w:id="2"/>
    <w:p w14:paraId="3D9F7149" w14:textId="30571C15" w:rsidR="000A16A7" w:rsidRPr="009A5A24" w:rsidRDefault="000A16A7" w:rsidP="0051422F">
      <w:pPr>
        <w:spacing w:line="240" w:lineRule="auto"/>
        <w:jc w:val="both"/>
        <w:rPr>
          <w:szCs w:val="22"/>
        </w:rPr>
      </w:pPr>
      <w:r w:rsidRPr="009A5A24">
        <w:t xml:space="preserve">Je známo, že protizánětlivé kortikosteroidy, jako je </w:t>
      </w:r>
      <w:proofErr w:type="spellStart"/>
      <w:r w:rsidRPr="009A5A24">
        <w:t>dexamethason</w:t>
      </w:r>
      <w:proofErr w:type="spellEnd"/>
      <w:r w:rsidRPr="009A5A24">
        <w:t xml:space="preserve">, mají širokou škálu vedlejších účinků. </w:t>
      </w:r>
      <w:r w:rsidR="00284FE0" w:rsidRPr="009A5A24">
        <w:t xml:space="preserve">Zatímco </w:t>
      </w:r>
      <w:r w:rsidRPr="009A5A24">
        <w:t xml:space="preserve">jednotlivé vysoké dávky jsou obecně dobře tolerovány, </w:t>
      </w:r>
      <w:r w:rsidR="00284FE0" w:rsidRPr="009A5A24">
        <w:t xml:space="preserve">při dlouhodobém užívání a při podávání esterů s dlouhou dobou působení </w:t>
      </w:r>
      <w:r w:rsidRPr="009A5A24">
        <w:t xml:space="preserve">mohou vyvolat závažné </w:t>
      </w:r>
      <w:r w:rsidR="00284FE0" w:rsidRPr="009A5A24">
        <w:t xml:space="preserve">nežádoucí </w:t>
      </w:r>
      <w:r w:rsidRPr="009A5A24">
        <w:t xml:space="preserve">účinky. Během střednědobého až dlouhodobého </w:t>
      </w:r>
      <w:r w:rsidR="008329AB">
        <w:t>podávání</w:t>
      </w:r>
      <w:r w:rsidR="008329AB" w:rsidRPr="009A5A24">
        <w:t xml:space="preserve"> </w:t>
      </w:r>
      <w:r w:rsidRPr="009A5A24">
        <w:t>by proto měla být dávka obecně udržována na minimu nezbytném ke kontrole příznaků.</w:t>
      </w:r>
    </w:p>
    <w:p w14:paraId="3147CF01" w14:textId="2ADD38D3" w:rsidR="000A16A7" w:rsidRPr="009A5A24" w:rsidRDefault="000A16A7" w:rsidP="0051422F">
      <w:pPr>
        <w:spacing w:line="240" w:lineRule="auto"/>
        <w:jc w:val="both"/>
        <w:rPr>
          <w:szCs w:val="22"/>
          <w:lang w:eastAsia="en-GB"/>
        </w:rPr>
      </w:pPr>
    </w:p>
    <w:p w14:paraId="03D9B9DE" w14:textId="06673B5E" w:rsidR="000A16A7" w:rsidRPr="009A5A24" w:rsidRDefault="000A16A7" w:rsidP="0051422F">
      <w:pPr>
        <w:spacing w:line="240" w:lineRule="auto"/>
        <w:jc w:val="both"/>
        <w:rPr>
          <w:szCs w:val="22"/>
        </w:rPr>
      </w:pPr>
      <w:bookmarkStart w:id="4" w:name="_Hlk118718180"/>
      <w:r w:rsidRPr="009A5A24">
        <w:t xml:space="preserve">Během </w:t>
      </w:r>
      <w:r w:rsidR="00284FE0" w:rsidRPr="009A5A24">
        <w:t xml:space="preserve">terapie </w:t>
      </w:r>
      <w:r w:rsidRPr="009A5A24">
        <w:t xml:space="preserve">účinné dávky potlačují osu hypotalamus-hypofýza-nadledviny. Po ukončení léčby se mohou objevit příznaky adrenální insuficience </w:t>
      </w:r>
      <w:r w:rsidR="00284FE0" w:rsidRPr="009A5A24">
        <w:t xml:space="preserve">vedoucí k </w:t>
      </w:r>
      <w:proofErr w:type="spellStart"/>
      <w:r w:rsidRPr="009A5A24">
        <w:t>adrenokortikální</w:t>
      </w:r>
      <w:proofErr w:type="spellEnd"/>
      <w:r w:rsidRPr="009A5A24">
        <w:t xml:space="preserve"> atrofii, což může způsobit, že zvíře nebude schopné adekvátně zvládat stresové situace. Je proto třeba zvážit způsoby, jak minimalizovat problémy s </w:t>
      </w:r>
      <w:r w:rsidR="00284FE0" w:rsidRPr="009A5A24">
        <w:t>adrenální insuficiencí</w:t>
      </w:r>
      <w:r w:rsidRPr="009A5A24">
        <w:t xml:space="preserve"> po vysazení léčby (další </w:t>
      </w:r>
      <w:r w:rsidR="00D43847">
        <w:t>informace</w:t>
      </w:r>
      <w:r w:rsidR="00D43847" w:rsidRPr="009A5A24">
        <w:t xml:space="preserve"> </w:t>
      </w:r>
      <w:r w:rsidRPr="009A5A24">
        <w:t>viz standardní texty).</w:t>
      </w:r>
    </w:p>
    <w:bookmarkEnd w:id="4"/>
    <w:p w14:paraId="604F6D80" w14:textId="77777777" w:rsidR="000A16A7" w:rsidRPr="009A5A24" w:rsidRDefault="000A16A7" w:rsidP="0051422F">
      <w:pPr>
        <w:spacing w:line="240" w:lineRule="auto"/>
        <w:jc w:val="both"/>
        <w:rPr>
          <w:szCs w:val="22"/>
        </w:rPr>
      </w:pPr>
    </w:p>
    <w:p w14:paraId="19D7811F" w14:textId="4E02727D" w:rsidR="00C53ED7" w:rsidRPr="009A5A24" w:rsidRDefault="00C53ED7" w:rsidP="0051422F">
      <w:pPr>
        <w:spacing w:line="240" w:lineRule="auto"/>
        <w:jc w:val="both"/>
      </w:pPr>
      <w:bookmarkStart w:id="5" w:name="_Hlk66891708"/>
      <w:r w:rsidRPr="009A5A2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9869E1">
        <w:t xml:space="preserve"> </w:t>
      </w:r>
      <w:r w:rsidR="009869E1" w:rsidRPr="00B41D57">
        <w:t>nebo jeho místnímu zástupci</w:t>
      </w:r>
      <w:r w:rsidRPr="009A5A24">
        <w:t xml:space="preserve">, nebo příslušnému vnitrostátnímu orgánu prostřednictvím národního systému hlášení. Podrobné kontaktní údaje naleznete </w:t>
      </w:r>
      <w:proofErr w:type="gramStart"/>
      <w:r w:rsidRPr="009A5A24">
        <w:t>v</w:t>
      </w:r>
      <w:r w:rsidR="00CA6CBD" w:rsidRPr="009A5A24">
        <w:t> </w:t>
      </w:r>
      <w:r w:rsidRPr="009A5A24">
        <w:t xml:space="preserve"> příbalové</w:t>
      </w:r>
      <w:proofErr w:type="gramEnd"/>
      <w:r w:rsidRPr="009A5A24">
        <w:t xml:space="preserve"> informac</w:t>
      </w:r>
      <w:r w:rsidR="006414D2">
        <w:t>i</w:t>
      </w:r>
      <w:r w:rsidRPr="009A5A24">
        <w:t>.</w:t>
      </w:r>
      <w:bookmarkEnd w:id="5"/>
    </w:p>
    <w:p w14:paraId="1DB4F48E" w14:textId="0DF473FB" w:rsidR="00AD0710" w:rsidRPr="009A5A24" w:rsidRDefault="00AD0710" w:rsidP="0051422F">
      <w:pPr>
        <w:spacing w:line="240" w:lineRule="auto"/>
        <w:jc w:val="both"/>
        <w:rPr>
          <w:szCs w:val="22"/>
        </w:rPr>
      </w:pPr>
    </w:p>
    <w:p w14:paraId="4216BCBC" w14:textId="309FDB15" w:rsidR="00C114FF" w:rsidRPr="009A5A24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</w:rPr>
      </w:pPr>
      <w:r w:rsidRPr="009A5A24">
        <w:rPr>
          <w:b/>
          <w:szCs w:val="22"/>
        </w:rPr>
        <w:t>Použití v průběhu březosti, laktace nebo snášky</w:t>
      </w:r>
    </w:p>
    <w:p w14:paraId="68B639EE" w14:textId="77777777" w:rsidR="004A0546" w:rsidRDefault="004A0546" w:rsidP="0051422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D534745" w14:textId="142BA06D" w:rsidR="00C114FF" w:rsidRPr="009A5A24" w:rsidRDefault="00944920" w:rsidP="0051422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9A5A24">
        <w:rPr>
          <w:szCs w:val="22"/>
          <w:u w:val="single"/>
        </w:rPr>
        <w:t>Březost:</w:t>
      </w:r>
    </w:p>
    <w:p w14:paraId="7EE20D23" w14:textId="6606F9F7" w:rsidR="005605F0" w:rsidRPr="000E2BF7" w:rsidRDefault="005605F0" w:rsidP="0051422F">
      <w:pPr>
        <w:tabs>
          <w:tab w:val="clear" w:pos="567"/>
        </w:tabs>
        <w:spacing w:line="240" w:lineRule="auto"/>
        <w:jc w:val="both"/>
      </w:pPr>
      <w:r w:rsidRPr="009A5A24">
        <w:t xml:space="preserve">Kromě použití </w:t>
      </w:r>
      <w:r w:rsidR="009869E1" w:rsidRPr="009869E1">
        <w:t xml:space="preserve">veterinárního léčivého </w:t>
      </w:r>
      <w:r w:rsidRPr="009A5A24">
        <w:t xml:space="preserve">přípravku k </w:t>
      </w:r>
      <w:r w:rsidR="000E2BF7">
        <w:t>indukci porodu u skotu se kortikosteroidy u březích zvířat nedoporučují.</w:t>
      </w:r>
      <w:r w:rsidRPr="009A5A24">
        <w:t xml:space="preserve"> Je známo, že podávání v časné březosti způsobilo fetální abnormality </w:t>
      </w:r>
      <w:r w:rsidR="003E4F5A" w:rsidRPr="009A5A24">
        <w:t>u</w:t>
      </w:r>
      <w:r w:rsidR="003E4F5A">
        <w:t> </w:t>
      </w:r>
      <w:r w:rsidRPr="009A5A24">
        <w:t>laboratorních zvířat. Podávání v pozdní březosti může způsobit předčasný porod nebo potrat.</w:t>
      </w:r>
    </w:p>
    <w:p w14:paraId="411EE749" w14:textId="77777777" w:rsidR="005605F0" w:rsidRPr="009A5A24" w:rsidRDefault="005605F0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9BA0D4" w14:textId="77777777" w:rsidR="00944920" w:rsidRPr="0051422F" w:rsidRDefault="00944920" w:rsidP="0051422F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1422F">
        <w:rPr>
          <w:szCs w:val="22"/>
          <w:u w:val="single"/>
        </w:rPr>
        <w:t>Laktace:</w:t>
      </w:r>
    </w:p>
    <w:p w14:paraId="4275BF87" w14:textId="5966818C" w:rsidR="00C114FF" w:rsidRPr="0051422F" w:rsidRDefault="005605F0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Použití </w:t>
      </w:r>
      <w:r w:rsidR="009869E1" w:rsidRPr="0051422F">
        <w:rPr>
          <w:szCs w:val="22"/>
        </w:rPr>
        <w:t xml:space="preserve">veterinárního léčivého </w:t>
      </w:r>
      <w:r w:rsidRPr="0051422F">
        <w:rPr>
          <w:szCs w:val="22"/>
        </w:rPr>
        <w:t xml:space="preserve">přípravku u </w:t>
      </w:r>
      <w:proofErr w:type="spellStart"/>
      <w:r w:rsidRPr="0051422F">
        <w:rPr>
          <w:szCs w:val="22"/>
        </w:rPr>
        <w:t>laktujících</w:t>
      </w:r>
      <w:proofErr w:type="spellEnd"/>
      <w:r w:rsidRPr="0051422F">
        <w:rPr>
          <w:szCs w:val="22"/>
        </w:rPr>
        <w:t xml:space="preserve"> krav </w:t>
      </w:r>
      <w:bookmarkStart w:id="6" w:name="_Hlk172796134"/>
      <w:r w:rsidR="009869E1" w:rsidRPr="0051422F">
        <w:rPr>
          <w:szCs w:val="22"/>
        </w:rPr>
        <w:t xml:space="preserve">a koz </w:t>
      </w:r>
      <w:bookmarkEnd w:id="6"/>
      <w:r w:rsidRPr="0051422F">
        <w:rPr>
          <w:szCs w:val="22"/>
        </w:rPr>
        <w:t xml:space="preserve">může způsobit </w:t>
      </w:r>
      <w:r w:rsidR="008B558D" w:rsidRPr="0051422F">
        <w:rPr>
          <w:szCs w:val="22"/>
        </w:rPr>
        <w:t xml:space="preserve">dočasné </w:t>
      </w:r>
      <w:r w:rsidRPr="0051422F">
        <w:rPr>
          <w:szCs w:val="22"/>
        </w:rPr>
        <w:t xml:space="preserve">snížení </w:t>
      </w:r>
      <w:r w:rsidR="006414D2">
        <w:rPr>
          <w:szCs w:val="22"/>
        </w:rPr>
        <w:t>nádoje</w:t>
      </w:r>
      <w:r w:rsidRPr="0051422F">
        <w:rPr>
          <w:szCs w:val="22"/>
        </w:rPr>
        <w:t>.</w:t>
      </w:r>
    </w:p>
    <w:p w14:paraId="1A47CABE" w14:textId="4C84B12C" w:rsidR="008B558D" w:rsidRPr="0051422F" w:rsidRDefault="008B558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lastRenderedPageBreak/>
        <w:t xml:space="preserve">U zvířat v období </w:t>
      </w:r>
      <w:r w:rsidR="006414D2">
        <w:rPr>
          <w:szCs w:val="22"/>
        </w:rPr>
        <w:t>laktace</w:t>
      </w:r>
      <w:r w:rsidRPr="0051422F">
        <w:rPr>
          <w:szCs w:val="22"/>
        </w:rPr>
        <w:t xml:space="preserve"> by měl být veterinární léčivý přípravek používán pouze na základě posouzení přínosů a rizik odpovědným veterinárním lékařem.</w:t>
      </w:r>
    </w:p>
    <w:p w14:paraId="3A418811" w14:textId="7FCE420D" w:rsidR="005605F0" w:rsidRPr="0051422F" w:rsidRDefault="001C28B9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Viz také bod 3.6</w:t>
      </w:r>
      <w:r w:rsidR="006414D2">
        <w:rPr>
          <w:szCs w:val="22"/>
        </w:rPr>
        <w:t>.</w:t>
      </w:r>
    </w:p>
    <w:p w14:paraId="53AAB569" w14:textId="77777777" w:rsidR="00304FAA" w:rsidRPr="0051422F" w:rsidRDefault="00304FA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C4DFB4" w14:textId="004C2977" w:rsidR="00C114FF" w:rsidRPr="0051422F" w:rsidRDefault="00C53ED7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Interakce s jinými léčivými přípravky a další formy interakce</w:t>
      </w:r>
    </w:p>
    <w:p w14:paraId="4EC6CEE3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FBB3C8" w14:textId="198DD29B" w:rsidR="00253D3A" w:rsidRPr="0051422F" w:rsidRDefault="00253D3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Současné </w:t>
      </w:r>
      <w:r w:rsidR="00020D9C" w:rsidRPr="0051422F">
        <w:rPr>
          <w:szCs w:val="22"/>
        </w:rPr>
        <w:t xml:space="preserve">použití </w:t>
      </w:r>
      <w:r w:rsidRPr="0051422F">
        <w:rPr>
          <w:szCs w:val="22"/>
        </w:rPr>
        <w:t>s nesteroidními protizánětlivými l</w:t>
      </w:r>
      <w:r w:rsidR="006414D2">
        <w:rPr>
          <w:szCs w:val="22"/>
        </w:rPr>
        <w:t>átkami</w:t>
      </w:r>
      <w:r w:rsidRPr="0051422F">
        <w:rPr>
          <w:szCs w:val="22"/>
        </w:rPr>
        <w:t xml:space="preserve"> může </w:t>
      </w:r>
      <w:r w:rsidR="00020D9C" w:rsidRPr="0051422F">
        <w:rPr>
          <w:szCs w:val="22"/>
        </w:rPr>
        <w:t>vést k exacerbaci vředů v</w:t>
      </w:r>
      <w:r w:rsidR="004A0546" w:rsidRPr="0051422F">
        <w:rPr>
          <w:szCs w:val="22"/>
        </w:rPr>
        <w:t> </w:t>
      </w:r>
      <w:r w:rsidRPr="0051422F">
        <w:rPr>
          <w:szCs w:val="22"/>
        </w:rPr>
        <w:t>gastrointestinální</w:t>
      </w:r>
      <w:r w:rsidR="00020D9C" w:rsidRPr="0051422F">
        <w:rPr>
          <w:szCs w:val="22"/>
        </w:rPr>
        <w:t>m</w:t>
      </w:r>
      <w:r w:rsidRPr="0051422F">
        <w:rPr>
          <w:szCs w:val="22"/>
        </w:rPr>
        <w:t xml:space="preserve"> traktu. </w:t>
      </w:r>
    </w:p>
    <w:p w14:paraId="422CC6EA" w14:textId="25A28354" w:rsidR="00253D3A" w:rsidRPr="0051422F" w:rsidRDefault="00020D9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Jelikož </w:t>
      </w:r>
      <w:r w:rsidR="00253D3A" w:rsidRPr="0051422F">
        <w:rPr>
          <w:szCs w:val="22"/>
        </w:rPr>
        <w:t xml:space="preserve">kortikosteroidy mohou snížit imunitní reakci na </w:t>
      </w:r>
      <w:r w:rsidR="00157735">
        <w:rPr>
          <w:szCs w:val="22"/>
        </w:rPr>
        <w:t>vakcinaci</w:t>
      </w:r>
      <w:r w:rsidR="00253D3A" w:rsidRPr="0051422F">
        <w:rPr>
          <w:szCs w:val="22"/>
        </w:rPr>
        <w:t xml:space="preserve">, </w:t>
      </w:r>
      <w:proofErr w:type="spellStart"/>
      <w:r w:rsidR="00253D3A" w:rsidRPr="0051422F">
        <w:rPr>
          <w:szCs w:val="22"/>
        </w:rPr>
        <w:t>dexamethason</w:t>
      </w:r>
      <w:proofErr w:type="spellEnd"/>
      <w:r w:rsidR="00253D3A" w:rsidRPr="0051422F">
        <w:rPr>
          <w:szCs w:val="22"/>
        </w:rPr>
        <w:t xml:space="preserve"> by se neměl po</w:t>
      </w:r>
      <w:r w:rsidR="006414D2">
        <w:rPr>
          <w:szCs w:val="22"/>
        </w:rPr>
        <w:t>dá</w:t>
      </w:r>
      <w:r w:rsidR="00253D3A" w:rsidRPr="0051422F">
        <w:rPr>
          <w:szCs w:val="22"/>
        </w:rPr>
        <w:t xml:space="preserve">vat v kombinaci s vakcínami nebo během dvou týdnů po </w:t>
      </w:r>
      <w:r w:rsidR="008141D1">
        <w:rPr>
          <w:szCs w:val="22"/>
        </w:rPr>
        <w:t>vakcinaci</w:t>
      </w:r>
      <w:r w:rsidR="00253D3A" w:rsidRPr="0051422F">
        <w:rPr>
          <w:szCs w:val="22"/>
        </w:rPr>
        <w:t>.</w:t>
      </w:r>
    </w:p>
    <w:p w14:paraId="4AD7CEE2" w14:textId="77777777" w:rsidR="00253D3A" w:rsidRPr="0051422F" w:rsidRDefault="00253D3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Podávání </w:t>
      </w:r>
      <w:proofErr w:type="spellStart"/>
      <w:r w:rsidRPr="0051422F">
        <w:rPr>
          <w:szCs w:val="22"/>
        </w:rPr>
        <w:t>dexamethasonu</w:t>
      </w:r>
      <w:proofErr w:type="spellEnd"/>
      <w:r w:rsidRPr="0051422F">
        <w:rPr>
          <w:szCs w:val="22"/>
        </w:rPr>
        <w:t xml:space="preserve"> může vyvolat </w:t>
      </w:r>
      <w:proofErr w:type="spellStart"/>
      <w:r w:rsidRPr="0051422F">
        <w:rPr>
          <w:szCs w:val="22"/>
        </w:rPr>
        <w:t>hypokalémii</w:t>
      </w:r>
      <w:proofErr w:type="spellEnd"/>
      <w:r w:rsidRPr="0051422F">
        <w:rPr>
          <w:szCs w:val="22"/>
        </w:rPr>
        <w:t xml:space="preserve">, a tudíž zvýšit riziko toxicity </w:t>
      </w:r>
      <w:proofErr w:type="spellStart"/>
      <w:r w:rsidRPr="0051422F">
        <w:rPr>
          <w:szCs w:val="22"/>
        </w:rPr>
        <w:t>kardioaktivními</w:t>
      </w:r>
      <w:proofErr w:type="spellEnd"/>
      <w:r w:rsidRPr="0051422F">
        <w:rPr>
          <w:szCs w:val="22"/>
        </w:rPr>
        <w:t xml:space="preserve"> glykosidy. Riziko </w:t>
      </w:r>
      <w:proofErr w:type="spellStart"/>
      <w:r w:rsidRPr="0051422F">
        <w:rPr>
          <w:szCs w:val="22"/>
        </w:rPr>
        <w:t>hypokalémie</w:t>
      </w:r>
      <w:proofErr w:type="spellEnd"/>
      <w:r w:rsidRPr="0051422F">
        <w:rPr>
          <w:szCs w:val="22"/>
        </w:rPr>
        <w:t xml:space="preserve"> se může zvýšit, pokud je </w:t>
      </w:r>
      <w:proofErr w:type="spellStart"/>
      <w:r w:rsidRPr="0051422F">
        <w:rPr>
          <w:szCs w:val="22"/>
        </w:rPr>
        <w:t>dexamethason</w:t>
      </w:r>
      <w:proofErr w:type="spellEnd"/>
      <w:r w:rsidRPr="0051422F">
        <w:rPr>
          <w:szCs w:val="22"/>
        </w:rPr>
        <w:t xml:space="preserve"> podáván společně s draslík šetřícími diuretiky. </w:t>
      </w:r>
    </w:p>
    <w:p w14:paraId="54287FB4" w14:textId="6694F73E" w:rsidR="00253D3A" w:rsidRPr="0051422F" w:rsidRDefault="00253D3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Současné </w:t>
      </w:r>
      <w:r w:rsidR="00020D9C" w:rsidRPr="0051422F">
        <w:rPr>
          <w:szCs w:val="22"/>
        </w:rPr>
        <w:t xml:space="preserve">použití </w:t>
      </w:r>
      <w:r w:rsidRPr="0051422F">
        <w:rPr>
          <w:szCs w:val="22"/>
        </w:rPr>
        <w:t xml:space="preserve">s </w:t>
      </w:r>
      <w:proofErr w:type="spellStart"/>
      <w:r w:rsidRPr="0051422F">
        <w:rPr>
          <w:szCs w:val="22"/>
        </w:rPr>
        <w:t>anticholinesterázou</w:t>
      </w:r>
      <w:proofErr w:type="spellEnd"/>
      <w:r w:rsidRPr="0051422F">
        <w:rPr>
          <w:szCs w:val="22"/>
        </w:rPr>
        <w:t xml:space="preserve"> může vést ke zvýšené svalové slabosti u pacientů s </w:t>
      </w:r>
      <w:proofErr w:type="spellStart"/>
      <w:r w:rsidRPr="0051422F">
        <w:rPr>
          <w:szCs w:val="22"/>
        </w:rPr>
        <w:t>myasthenia</w:t>
      </w:r>
      <w:proofErr w:type="spellEnd"/>
      <w:r w:rsidRPr="0051422F">
        <w:rPr>
          <w:szCs w:val="22"/>
        </w:rPr>
        <w:t xml:space="preserve"> gravis.  </w:t>
      </w:r>
    </w:p>
    <w:p w14:paraId="30B800CC" w14:textId="77777777" w:rsidR="00253D3A" w:rsidRPr="0051422F" w:rsidRDefault="00253D3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Glukokortikoidy antagonizují účinky inzulínu. </w:t>
      </w:r>
    </w:p>
    <w:p w14:paraId="1E0354DF" w14:textId="1C8E032C" w:rsidR="00253D3A" w:rsidRPr="0051422F" w:rsidRDefault="00253D3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Současné </w:t>
      </w:r>
      <w:r w:rsidR="00396AB6" w:rsidRPr="0051422F">
        <w:rPr>
          <w:szCs w:val="22"/>
        </w:rPr>
        <w:t xml:space="preserve">použití </w:t>
      </w:r>
      <w:r w:rsidRPr="0051422F">
        <w:rPr>
          <w:szCs w:val="22"/>
        </w:rPr>
        <w:t xml:space="preserve">s fenobarbitalem, </w:t>
      </w:r>
      <w:proofErr w:type="spellStart"/>
      <w:r w:rsidRPr="0051422F">
        <w:rPr>
          <w:szCs w:val="22"/>
        </w:rPr>
        <w:t>fenytoinem</w:t>
      </w:r>
      <w:proofErr w:type="spellEnd"/>
      <w:r w:rsidRPr="0051422F">
        <w:rPr>
          <w:szCs w:val="22"/>
        </w:rPr>
        <w:t xml:space="preserve"> a </w:t>
      </w:r>
      <w:proofErr w:type="spellStart"/>
      <w:r w:rsidRPr="0051422F">
        <w:rPr>
          <w:szCs w:val="22"/>
        </w:rPr>
        <w:t>rifampicinem</w:t>
      </w:r>
      <w:proofErr w:type="spellEnd"/>
      <w:r w:rsidRPr="0051422F">
        <w:rPr>
          <w:szCs w:val="22"/>
        </w:rPr>
        <w:t xml:space="preserve"> může snížit účinky </w:t>
      </w:r>
      <w:proofErr w:type="spellStart"/>
      <w:r w:rsidRPr="0051422F">
        <w:rPr>
          <w:szCs w:val="22"/>
        </w:rPr>
        <w:t>dexamethasonu</w:t>
      </w:r>
      <w:proofErr w:type="spellEnd"/>
      <w:r w:rsidRPr="0051422F">
        <w:rPr>
          <w:szCs w:val="22"/>
        </w:rPr>
        <w:t xml:space="preserve">. </w:t>
      </w:r>
    </w:p>
    <w:p w14:paraId="00DBC2C9" w14:textId="77777777" w:rsidR="00C65D2D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0CB0E4" w14:textId="107BEC12" w:rsidR="00145D34" w:rsidRPr="0051422F" w:rsidRDefault="00C53ED7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Cesty podání a dávkování</w:t>
      </w:r>
    </w:p>
    <w:p w14:paraId="4DEF3FD1" w14:textId="77777777" w:rsidR="00C53ED7" w:rsidRPr="0051422F" w:rsidRDefault="00C53ED7" w:rsidP="0051422F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47EB22EF" w14:textId="4FE01031" w:rsidR="00C65D2D" w:rsidRPr="0051422F" w:rsidRDefault="00983B28" w:rsidP="0051422F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1422F">
        <w:rPr>
          <w:i/>
          <w:szCs w:val="22"/>
        </w:rPr>
        <w:t>Cesty</w:t>
      </w:r>
      <w:r w:rsidR="00C65D2D" w:rsidRPr="0051422F">
        <w:rPr>
          <w:i/>
          <w:szCs w:val="22"/>
        </w:rPr>
        <w:t xml:space="preserve"> podání:</w:t>
      </w:r>
    </w:p>
    <w:p w14:paraId="22A8160C" w14:textId="7BDDFB88" w:rsidR="00C65D2D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Koně: </w:t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Pr="0051422F">
        <w:rPr>
          <w:szCs w:val="22"/>
        </w:rPr>
        <w:tab/>
        <w:t>Intravenózní</w:t>
      </w:r>
      <w:r w:rsidR="00A96856" w:rsidRPr="0051422F">
        <w:rPr>
          <w:szCs w:val="22"/>
        </w:rPr>
        <w:t xml:space="preserve"> (</w:t>
      </w:r>
      <w:proofErr w:type="spellStart"/>
      <w:r w:rsidR="00A96856" w:rsidRPr="0051422F">
        <w:rPr>
          <w:szCs w:val="22"/>
        </w:rPr>
        <w:t>i.v</w:t>
      </w:r>
      <w:proofErr w:type="spellEnd"/>
      <w:r w:rsidR="00A96856" w:rsidRPr="0051422F">
        <w:rPr>
          <w:szCs w:val="22"/>
        </w:rPr>
        <w:t>.)</w:t>
      </w:r>
      <w:r w:rsidRPr="0051422F">
        <w:rPr>
          <w:szCs w:val="22"/>
        </w:rPr>
        <w:t>, intramuskulární</w:t>
      </w:r>
      <w:r w:rsidR="00A96856" w:rsidRPr="0051422F">
        <w:rPr>
          <w:szCs w:val="22"/>
        </w:rPr>
        <w:t xml:space="preserve"> (</w:t>
      </w:r>
      <w:proofErr w:type="spellStart"/>
      <w:r w:rsidR="00A96856" w:rsidRPr="0051422F">
        <w:rPr>
          <w:szCs w:val="22"/>
        </w:rPr>
        <w:t>i.m</w:t>
      </w:r>
      <w:proofErr w:type="spellEnd"/>
      <w:r w:rsidR="00A96856" w:rsidRPr="0051422F">
        <w:rPr>
          <w:szCs w:val="22"/>
        </w:rPr>
        <w:t>.)</w:t>
      </w:r>
      <w:r w:rsidR="009869E1" w:rsidRPr="0051422F">
        <w:rPr>
          <w:szCs w:val="22"/>
        </w:rPr>
        <w:t>,</w:t>
      </w:r>
      <w:r w:rsidRPr="0051422F">
        <w:rPr>
          <w:szCs w:val="22"/>
        </w:rPr>
        <w:t xml:space="preserve"> </w:t>
      </w:r>
      <w:proofErr w:type="spellStart"/>
      <w:r w:rsidRPr="0051422F">
        <w:rPr>
          <w:szCs w:val="22"/>
        </w:rPr>
        <w:t>intraartikulární</w:t>
      </w:r>
      <w:proofErr w:type="spellEnd"/>
      <w:r w:rsidRPr="0051422F">
        <w:rPr>
          <w:szCs w:val="22"/>
        </w:rPr>
        <w:t xml:space="preserve"> </w:t>
      </w:r>
      <w:r w:rsidR="009869E1" w:rsidRPr="0051422F">
        <w:rPr>
          <w:szCs w:val="22"/>
        </w:rPr>
        <w:t xml:space="preserve">nebo </w:t>
      </w:r>
      <w:proofErr w:type="spellStart"/>
      <w:r w:rsidR="009869E1" w:rsidRPr="0051422F">
        <w:rPr>
          <w:szCs w:val="22"/>
          <w:lang w:eastAsia="de-DE"/>
        </w:rPr>
        <w:t>periartikulární</w:t>
      </w:r>
      <w:proofErr w:type="spellEnd"/>
      <w:r w:rsidR="009869E1" w:rsidRPr="0051422F">
        <w:rPr>
          <w:szCs w:val="22"/>
        </w:rPr>
        <w:t xml:space="preserve"> </w:t>
      </w:r>
      <w:r w:rsidR="00956049" w:rsidRPr="0051422F">
        <w:rPr>
          <w:szCs w:val="22"/>
        </w:rPr>
        <w:t>podání</w:t>
      </w:r>
      <w:r w:rsidRPr="0051422F">
        <w:rPr>
          <w:szCs w:val="22"/>
        </w:rPr>
        <w:t>.</w:t>
      </w:r>
    </w:p>
    <w:p w14:paraId="2562A16E" w14:textId="53BF1CEF" w:rsidR="00C114FF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Skot, </w:t>
      </w:r>
      <w:r w:rsidR="009869E1" w:rsidRPr="0051422F">
        <w:rPr>
          <w:szCs w:val="22"/>
        </w:rPr>
        <w:t xml:space="preserve">kozy a </w:t>
      </w:r>
      <w:r w:rsidRPr="0051422F">
        <w:rPr>
          <w:szCs w:val="22"/>
        </w:rPr>
        <w:t>prasata:</w:t>
      </w:r>
      <w:r w:rsidRPr="0051422F">
        <w:rPr>
          <w:szCs w:val="22"/>
        </w:rPr>
        <w:tab/>
      </w:r>
      <w:r w:rsidR="004726FC" w:rsidRPr="0051422F">
        <w:rPr>
          <w:szCs w:val="22"/>
        </w:rPr>
        <w:tab/>
      </w:r>
      <w:r w:rsidR="009869E1" w:rsidRPr="0051422F">
        <w:rPr>
          <w:szCs w:val="22"/>
        </w:rPr>
        <w:t>Intravenózní nebo i</w:t>
      </w:r>
      <w:r w:rsidRPr="0051422F">
        <w:rPr>
          <w:szCs w:val="22"/>
        </w:rPr>
        <w:t xml:space="preserve">ntramuskulární </w:t>
      </w:r>
      <w:r w:rsidR="00983B28" w:rsidRPr="0051422F">
        <w:rPr>
          <w:szCs w:val="22"/>
        </w:rPr>
        <w:t>p</w:t>
      </w:r>
      <w:r w:rsidR="00956049" w:rsidRPr="0051422F">
        <w:rPr>
          <w:szCs w:val="22"/>
        </w:rPr>
        <w:t>odání</w:t>
      </w:r>
      <w:r w:rsidRPr="0051422F">
        <w:rPr>
          <w:szCs w:val="22"/>
        </w:rPr>
        <w:t>.</w:t>
      </w:r>
    </w:p>
    <w:p w14:paraId="53D7AEFC" w14:textId="42CF21A0" w:rsidR="00C65D2D" w:rsidRPr="0051422F" w:rsidRDefault="009869E1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Psi a kočky: </w:t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="004726FC" w:rsidRPr="0051422F">
        <w:rPr>
          <w:szCs w:val="22"/>
        </w:rPr>
        <w:t xml:space="preserve">Intravenózní, intramuskulární nebo subkutánní </w:t>
      </w:r>
      <w:r w:rsidR="00A96856" w:rsidRPr="0051422F">
        <w:rPr>
          <w:szCs w:val="22"/>
        </w:rPr>
        <w:t>(</w:t>
      </w:r>
      <w:proofErr w:type="spellStart"/>
      <w:r w:rsidR="00A96856" w:rsidRPr="0051422F">
        <w:rPr>
          <w:szCs w:val="22"/>
        </w:rPr>
        <w:t>s.c</w:t>
      </w:r>
      <w:proofErr w:type="spellEnd"/>
      <w:r w:rsidR="00A96856" w:rsidRPr="0051422F">
        <w:rPr>
          <w:szCs w:val="22"/>
        </w:rPr>
        <w:t xml:space="preserve">.) </w:t>
      </w:r>
      <w:r w:rsidR="004726FC" w:rsidRPr="0051422F">
        <w:rPr>
          <w:szCs w:val="22"/>
        </w:rPr>
        <w:t>podání.</w:t>
      </w:r>
    </w:p>
    <w:p w14:paraId="4138499B" w14:textId="77777777" w:rsidR="009869E1" w:rsidRPr="0051422F" w:rsidRDefault="009869E1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60D1F7" w14:textId="77777777" w:rsidR="00C65D2D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Používejte běžné aseptické techniky.</w:t>
      </w:r>
    </w:p>
    <w:p w14:paraId="6163B118" w14:textId="77F7FB5D" w:rsidR="00C65D2D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K odměření malých objemů </w:t>
      </w:r>
      <w:r w:rsidR="004726FC" w:rsidRPr="0051422F">
        <w:rPr>
          <w:szCs w:val="22"/>
        </w:rPr>
        <w:t xml:space="preserve">veterinárního léčivého </w:t>
      </w:r>
      <w:r w:rsidRPr="0051422F">
        <w:rPr>
          <w:szCs w:val="22"/>
        </w:rPr>
        <w:t xml:space="preserve">přípravku menších než 1 ml by měla být použita vhodně </w:t>
      </w:r>
      <w:r w:rsidR="00D43847" w:rsidRPr="0051422F">
        <w:rPr>
          <w:szCs w:val="22"/>
        </w:rPr>
        <w:t>dělen</w:t>
      </w:r>
      <w:r w:rsidR="00983B28" w:rsidRPr="0051422F">
        <w:rPr>
          <w:szCs w:val="22"/>
        </w:rPr>
        <w:t>á</w:t>
      </w:r>
      <w:r w:rsidR="00D43847" w:rsidRPr="0051422F">
        <w:rPr>
          <w:szCs w:val="22"/>
        </w:rPr>
        <w:t xml:space="preserve"> </w:t>
      </w:r>
      <w:r w:rsidRPr="0051422F">
        <w:rPr>
          <w:szCs w:val="22"/>
        </w:rPr>
        <w:t>injekční stříkačka, aby bylo zajištěno přesné podání správné dávky.</w:t>
      </w:r>
    </w:p>
    <w:p w14:paraId="488DC0AE" w14:textId="77777777" w:rsidR="00C65D2D" w:rsidRPr="0051422F" w:rsidRDefault="00C65D2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25C0AF" w14:textId="714C43D3" w:rsidR="00C65D2D" w:rsidRPr="0051422F" w:rsidRDefault="00983B2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i/>
          <w:szCs w:val="22"/>
        </w:rPr>
        <w:t>L</w:t>
      </w:r>
      <w:r w:rsidR="00C65D2D" w:rsidRPr="0051422F">
        <w:rPr>
          <w:i/>
          <w:szCs w:val="22"/>
        </w:rPr>
        <w:t>éčb</w:t>
      </w:r>
      <w:r w:rsidRPr="0051422F">
        <w:rPr>
          <w:i/>
          <w:szCs w:val="22"/>
        </w:rPr>
        <w:t>a</w:t>
      </w:r>
      <w:r w:rsidR="00C65D2D" w:rsidRPr="0051422F">
        <w:rPr>
          <w:i/>
          <w:szCs w:val="22"/>
        </w:rPr>
        <w:t xml:space="preserve"> zánětlivých nebo alergických stavů:</w:t>
      </w:r>
      <w:r w:rsidR="00C65D2D" w:rsidRPr="0051422F">
        <w:rPr>
          <w:szCs w:val="22"/>
        </w:rPr>
        <w:t xml:space="preserve"> Doporučují se následující dávky. </w:t>
      </w:r>
    </w:p>
    <w:p w14:paraId="205DBB83" w14:textId="77777777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EF6470" w14:textId="6E398E00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 xml:space="preserve">Druh </w:t>
      </w:r>
      <w:r w:rsidRPr="0051422F">
        <w:rPr>
          <w:b/>
          <w:szCs w:val="22"/>
        </w:rPr>
        <w:tab/>
      </w:r>
      <w:r w:rsidRPr="0051422F">
        <w:rPr>
          <w:b/>
          <w:szCs w:val="22"/>
        </w:rPr>
        <w:tab/>
      </w:r>
      <w:r w:rsidRPr="0051422F">
        <w:rPr>
          <w:b/>
          <w:szCs w:val="22"/>
        </w:rPr>
        <w:tab/>
        <w:t xml:space="preserve"> </w:t>
      </w:r>
      <w:r w:rsidR="00C53ED7" w:rsidRPr="0051422F">
        <w:rPr>
          <w:b/>
          <w:szCs w:val="22"/>
        </w:rPr>
        <w:tab/>
      </w:r>
      <w:r w:rsidR="003E4F5A">
        <w:rPr>
          <w:b/>
          <w:szCs w:val="22"/>
        </w:rPr>
        <w:tab/>
      </w:r>
      <w:r w:rsidRPr="0051422F">
        <w:rPr>
          <w:b/>
          <w:szCs w:val="22"/>
        </w:rPr>
        <w:t>Dávka</w:t>
      </w:r>
    </w:p>
    <w:p w14:paraId="68ECE57A" w14:textId="623ABC5C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Koně, skot, </w:t>
      </w:r>
      <w:r w:rsidR="004726FC" w:rsidRPr="0051422F">
        <w:rPr>
          <w:szCs w:val="22"/>
        </w:rPr>
        <w:t xml:space="preserve">kozy, </w:t>
      </w:r>
      <w:r w:rsidRPr="0051422F">
        <w:rPr>
          <w:szCs w:val="22"/>
        </w:rPr>
        <w:t>prasata</w:t>
      </w:r>
      <w:r w:rsidRPr="0051422F">
        <w:rPr>
          <w:szCs w:val="22"/>
        </w:rPr>
        <w:tab/>
      </w:r>
      <w:r w:rsidRPr="0051422F">
        <w:rPr>
          <w:szCs w:val="22"/>
        </w:rPr>
        <w:tab/>
        <w:t xml:space="preserve">0,06 mg </w:t>
      </w:r>
      <w:proofErr w:type="spellStart"/>
      <w:r w:rsidRPr="0051422F">
        <w:rPr>
          <w:szCs w:val="22"/>
        </w:rPr>
        <w:t>dexamethasonu</w:t>
      </w:r>
      <w:proofErr w:type="spellEnd"/>
      <w:r w:rsidRPr="0051422F">
        <w:rPr>
          <w:szCs w:val="22"/>
        </w:rPr>
        <w:t xml:space="preserve">/kg </w:t>
      </w:r>
      <w:r w:rsidR="00956049" w:rsidRPr="0051422F">
        <w:rPr>
          <w:szCs w:val="22"/>
        </w:rPr>
        <w:t xml:space="preserve">živé </w:t>
      </w:r>
      <w:r w:rsidRPr="0051422F">
        <w:rPr>
          <w:szCs w:val="22"/>
        </w:rPr>
        <w:t>hmotnosti</w:t>
      </w:r>
      <w:r w:rsidR="00AB0F36" w:rsidRPr="0051422F">
        <w:rPr>
          <w:szCs w:val="22"/>
        </w:rPr>
        <w:t xml:space="preserve"> (ž.hm.)</w:t>
      </w:r>
      <w:r w:rsidRPr="0051422F">
        <w:rPr>
          <w:szCs w:val="22"/>
        </w:rPr>
        <w:t>, což odpovídá 1,5 ml/50 kg</w:t>
      </w:r>
      <w:r w:rsidR="00AB0F36" w:rsidRPr="0051422F">
        <w:rPr>
          <w:szCs w:val="22"/>
        </w:rPr>
        <w:t xml:space="preserve"> ž.hm.</w:t>
      </w:r>
    </w:p>
    <w:p w14:paraId="632C7819" w14:textId="65C5CC65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Psi, kočky</w:t>
      </w:r>
      <w:r w:rsidRPr="0051422F">
        <w:rPr>
          <w:szCs w:val="22"/>
        </w:rPr>
        <w:tab/>
      </w:r>
      <w:r w:rsidRPr="0051422F">
        <w:rPr>
          <w:szCs w:val="22"/>
        </w:rPr>
        <w:tab/>
      </w:r>
      <w:r w:rsidR="00C53ED7" w:rsidRPr="0051422F">
        <w:rPr>
          <w:szCs w:val="22"/>
        </w:rPr>
        <w:tab/>
      </w:r>
      <w:r w:rsidR="00A96856" w:rsidRPr="0051422F">
        <w:rPr>
          <w:szCs w:val="22"/>
        </w:rPr>
        <w:tab/>
      </w:r>
      <w:r w:rsidRPr="0051422F">
        <w:rPr>
          <w:szCs w:val="22"/>
        </w:rPr>
        <w:t xml:space="preserve">0,1 mg </w:t>
      </w:r>
      <w:proofErr w:type="spellStart"/>
      <w:r w:rsidRPr="0051422F">
        <w:rPr>
          <w:szCs w:val="22"/>
        </w:rPr>
        <w:t>dexamethasonu</w:t>
      </w:r>
      <w:proofErr w:type="spellEnd"/>
      <w:r w:rsidRPr="0051422F">
        <w:rPr>
          <w:szCs w:val="22"/>
        </w:rPr>
        <w:t xml:space="preserve">/kg </w:t>
      </w:r>
      <w:r w:rsidR="00956049" w:rsidRPr="0051422F">
        <w:rPr>
          <w:szCs w:val="22"/>
        </w:rPr>
        <w:t xml:space="preserve">živé </w:t>
      </w:r>
      <w:r w:rsidRPr="0051422F">
        <w:rPr>
          <w:szCs w:val="22"/>
        </w:rPr>
        <w:t>hmotnosti</w:t>
      </w:r>
      <w:r w:rsidR="00AB0F36" w:rsidRPr="0051422F">
        <w:rPr>
          <w:szCs w:val="22"/>
        </w:rPr>
        <w:t xml:space="preserve"> (ž.hm.)</w:t>
      </w:r>
      <w:r w:rsidRPr="0051422F">
        <w:rPr>
          <w:szCs w:val="22"/>
        </w:rPr>
        <w:t>, což odpovídá 0,5 ml/10 kg</w:t>
      </w:r>
      <w:r w:rsidR="00AB0F36" w:rsidRPr="0051422F">
        <w:rPr>
          <w:szCs w:val="22"/>
        </w:rPr>
        <w:t xml:space="preserve"> ž.hm.</w:t>
      </w:r>
    </w:p>
    <w:p w14:paraId="3C083DCF" w14:textId="77777777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38092A" w14:textId="5E7A8832" w:rsidR="00423E84" w:rsidRPr="0051422F" w:rsidRDefault="00983B2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i/>
          <w:szCs w:val="22"/>
        </w:rPr>
        <w:t>L</w:t>
      </w:r>
      <w:r w:rsidR="00423E84" w:rsidRPr="0051422F">
        <w:rPr>
          <w:i/>
          <w:szCs w:val="22"/>
        </w:rPr>
        <w:t>éčb</w:t>
      </w:r>
      <w:r w:rsidRPr="0051422F">
        <w:rPr>
          <w:i/>
          <w:szCs w:val="22"/>
        </w:rPr>
        <w:t>a</w:t>
      </w:r>
      <w:r w:rsidR="00423E84" w:rsidRPr="0051422F">
        <w:rPr>
          <w:i/>
          <w:szCs w:val="22"/>
        </w:rPr>
        <w:t xml:space="preserve"> primární ketózy u skotu </w:t>
      </w:r>
      <w:r w:rsidR="004726FC" w:rsidRPr="0051422F">
        <w:rPr>
          <w:i/>
          <w:szCs w:val="22"/>
        </w:rPr>
        <w:t xml:space="preserve">a koz </w:t>
      </w:r>
      <w:r w:rsidR="00423E84" w:rsidRPr="0051422F">
        <w:rPr>
          <w:i/>
          <w:szCs w:val="22"/>
        </w:rPr>
        <w:t>(acetonémie):</w:t>
      </w:r>
      <w:r w:rsidR="00423E84" w:rsidRPr="0051422F">
        <w:rPr>
          <w:szCs w:val="22"/>
        </w:rPr>
        <w:t xml:space="preserve"> 0,02 až 0,04 mg </w:t>
      </w:r>
      <w:proofErr w:type="spellStart"/>
      <w:r w:rsidR="00423E84" w:rsidRPr="0051422F">
        <w:rPr>
          <w:szCs w:val="22"/>
        </w:rPr>
        <w:t>dexamethasonu</w:t>
      </w:r>
      <w:proofErr w:type="spellEnd"/>
      <w:r w:rsidR="00423E84" w:rsidRPr="0051422F">
        <w:rPr>
          <w:szCs w:val="22"/>
        </w:rPr>
        <w:t xml:space="preserve">/kg živé hmotnosti </w:t>
      </w:r>
      <w:r w:rsidR="006347D0" w:rsidRPr="0051422F">
        <w:rPr>
          <w:szCs w:val="22"/>
        </w:rPr>
        <w:t xml:space="preserve">(skot: </w:t>
      </w:r>
      <w:r w:rsidR="00423E84" w:rsidRPr="0051422F">
        <w:rPr>
          <w:szCs w:val="22"/>
        </w:rPr>
        <w:t xml:space="preserve">5-10 ml </w:t>
      </w:r>
      <w:r w:rsidR="006347D0" w:rsidRPr="0051422F">
        <w:rPr>
          <w:szCs w:val="22"/>
        </w:rPr>
        <w:t xml:space="preserve">veterinárního léčivého </w:t>
      </w:r>
      <w:r w:rsidR="00423E84" w:rsidRPr="0051422F">
        <w:rPr>
          <w:szCs w:val="22"/>
        </w:rPr>
        <w:t xml:space="preserve">přípravku na 500 kg </w:t>
      </w:r>
      <w:r w:rsidR="00AB0F36" w:rsidRPr="0051422F">
        <w:rPr>
          <w:szCs w:val="22"/>
        </w:rPr>
        <w:t>ž.hm.</w:t>
      </w:r>
      <w:r w:rsidR="006347D0" w:rsidRPr="0051422F">
        <w:rPr>
          <w:szCs w:val="22"/>
        </w:rPr>
        <w:t xml:space="preserve">; kozy: 0,65-1,3 ml veterinárního léčivého přípravku na 65 kg </w:t>
      </w:r>
      <w:r w:rsidR="00AB0F36" w:rsidRPr="0051422F">
        <w:rPr>
          <w:szCs w:val="22"/>
        </w:rPr>
        <w:t>ž.hm.</w:t>
      </w:r>
      <w:r w:rsidR="006347D0" w:rsidRPr="0051422F">
        <w:rPr>
          <w:szCs w:val="22"/>
        </w:rPr>
        <w:t>)</w:t>
      </w:r>
      <w:r w:rsidR="00423E84" w:rsidRPr="0051422F">
        <w:rPr>
          <w:szCs w:val="22"/>
        </w:rPr>
        <w:t xml:space="preserve"> </w:t>
      </w:r>
      <w:r w:rsidR="008141D1">
        <w:rPr>
          <w:szCs w:val="22"/>
        </w:rPr>
        <w:t>jednorázově</w:t>
      </w:r>
      <w:r w:rsidR="006347D0" w:rsidRPr="0051422F">
        <w:rPr>
          <w:szCs w:val="22"/>
        </w:rPr>
        <w:t xml:space="preserve"> intramuskulárn</w:t>
      </w:r>
      <w:r w:rsidR="008141D1">
        <w:rPr>
          <w:szCs w:val="22"/>
        </w:rPr>
        <w:t>ě</w:t>
      </w:r>
      <w:r w:rsidR="006347D0" w:rsidRPr="0051422F" w:rsidDel="006347D0">
        <w:rPr>
          <w:szCs w:val="22"/>
        </w:rPr>
        <w:t xml:space="preserve"> </w:t>
      </w:r>
      <w:r w:rsidR="00423E84" w:rsidRPr="0051422F">
        <w:rPr>
          <w:szCs w:val="22"/>
        </w:rPr>
        <w:t xml:space="preserve">v závislosti na velikosti </w:t>
      </w:r>
      <w:r w:rsidR="008141D1">
        <w:rPr>
          <w:szCs w:val="22"/>
        </w:rPr>
        <w:t>zvířete</w:t>
      </w:r>
      <w:r w:rsidR="008141D1" w:rsidRPr="0051422F">
        <w:rPr>
          <w:szCs w:val="22"/>
        </w:rPr>
        <w:t xml:space="preserve"> </w:t>
      </w:r>
      <w:r w:rsidR="00423E84" w:rsidRPr="0051422F">
        <w:rPr>
          <w:szCs w:val="22"/>
        </w:rPr>
        <w:t>a délce trvání příznaků. Je třeba dbát na to, abyste nepředávkovali plemena</w:t>
      </w:r>
      <w:r w:rsidR="00852D39" w:rsidRPr="0051422F">
        <w:rPr>
          <w:szCs w:val="22"/>
        </w:rPr>
        <w:t xml:space="preserve"> </w:t>
      </w:r>
      <w:r w:rsidR="003E4F5A" w:rsidRPr="0051422F">
        <w:rPr>
          <w:szCs w:val="22"/>
        </w:rPr>
        <w:t>z</w:t>
      </w:r>
      <w:r w:rsidR="003E4F5A">
        <w:rPr>
          <w:szCs w:val="22"/>
        </w:rPr>
        <w:t> </w:t>
      </w:r>
      <w:r w:rsidR="00423E84" w:rsidRPr="0051422F">
        <w:rPr>
          <w:szCs w:val="22"/>
        </w:rPr>
        <w:t xml:space="preserve">Normanských ostrovů. Větší dávky (až 0,06 mg </w:t>
      </w:r>
      <w:proofErr w:type="spellStart"/>
      <w:r w:rsidR="00423E84" w:rsidRPr="0051422F">
        <w:rPr>
          <w:szCs w:val="22"/>
        </w:rPr>
        <w:t>dexamethasonu</w:t>
      </w:r>
      <w:proofErr w:type="spellEnd"/>
      <w:r w:rsidR="00423E84" w:rsidRPr="0051422F">
        <w:rPr>
          <w:szCs w:val="22"/>
        </w:rPr>
        <w:t>/kg</w:t>
      </w:r>
      <w:r w:rsidR="003A67AD" w:rsidRPr="0051422F">
        <w:rPr>
          <w:szCs w:val="22"/>
        </w:rPr>
        <w:t xml:space="preserve"> ž.hm.</w:t>
      </w:r>
      <w:r w:rsidR="00423E84" w:rsidRPr="0051422F">
        <w:rPr>
          <w:szCs w:val="22"/>
        </w:rPr>
        <w:t xml:space="preserve">) jsou vyžadovány tehdy, pokud jsou příznaky přítomny po určitou dobu nebo pokud jsou léčena zvířata s relapsem. </w:t>
      </w:r>
    </w:p>
    <w:p w14:paraId="37C4575E" w14:textId="77777777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87317" w14:textId="0B9F5720" w:rsidR="002032C9" w:rsidRPr="0051422F" w:rsidRDefault="00983B2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i/>
          <w:szCs w:val="22"/>
        </w:rPr>
        <w:t>V</w:t>
      </w:r>
      <w:r w:rsidR="00423E84" w:rsidRPr="0051422F">
        <w:rPr>
          <w:i/>
          <w:szCs w:val="22"/>
        </w:rPr>
        <w:t>yvolání porodu</w:t>
      </w:r>
      <w:r w:rsidR="00423E84" w:rsidRPr="0051422F">
        <w:rPr>
          <w:szCs w:val="22"/>
        </w:rPr>
        <w:t xml:space="preserve"> – k zamezení nadměrné velikosti plodu a otoku mléčné žlázy u skotu. Jedn</w:t>
      </w:r>
      <w:r w:rsidR="00956049" w:rsidRPr="0051422F">
        <w:rPr>
          <w:szCs w:val="22"/>
        </w:rPr>
        <w:t>o</w:t>
      </w:r>
      <w:r w:rsidRPr="0051422F">
        <w:rPr>
          <w:szCs w:val="22"/>
        </w:rPr>
        <w:t>rázové</w:t>
      </w:r>
      <w:r w:rsidR="00423E84" w:rsidRPr="0051422F">
        <w:rPr>
          <w:szCs w:val="22"/>
        </w:rPr>
        <w:t xml:space="preserve"> intramuskulární </w:t>
      </w:r>
      <w:r w:rsidR="00956049" w:rsidRPr="0051422F">
        <w:rPr>
          <w:szCs w:val="22"/>
        </w:rPr>
        <w:t>podání</w:t>
      </w:r>
      <w:r w:rsidR="00423E84" w:rsidRPr="0051422F">
        <w:rPr>
          <w:szCs w:val="22"/>
        </w:rPr>
        <w:t xml:space="preserve"> 0,04 mg </w:t>
      </w:r>
      <w:proofErr w:type="spellStart"/>
      <w:r w:rsidR="00423E84" w:rsidRPr="0051422F">
        <w:rPr>
          <w:szCs w:val="22"/>
        </w:rPr>
        <w:t>dexamethasonu</w:t>
      </w:r>
      <w:proofErr w:type="spellEnd"/>
      <w:r w:rsidR="00423E84" w:rsidRPr="0051422F">
        <w:rPr>
          <w:szCs w:val="22"/>
        </w:rPr>
        <w:t xml:space="preserve">/kg </w:t>
      </w:r>
      <w:r w:rsidR="003A67AD" w:rsidRPr="0051422F">
        <w:rPr>
          <w:szCs w:val="22"/>
        </w:rPr>
        <w:t>ž.hm.</w:t>
      </w:r>
      <w:r w:rsidR="00423E84" w:rsidRPr="0051422F">
        <w:rPr>
          <w:szCs w:val="22"/>
        </w:rPr>
        <w:t xml:space="preserve">, což odpovídá 10 ml </w:t>
      </w:r>
      <w:r w:rsidR="006347D0" w:rsidRPr="0051422F">
        <w:rPr>
          <w:szCs w:val="22"/>
        </w:rPr>
        <w:t xml:space="preserve">veterinárního léčivého </w:t>
      </w:r>
      <w:r w:rsidR="00423E84" w:rsidRPr="0051422F">
        <w:rPr>
          <w:szCs w:val="22"/>
        </w:rPr>
        <w:t xml:space="preserve">přípravku na 500 kg </w:t>
      </w:r>
      <w:r w:rsidR="003A67AD" w:rsidRPr="0051422F">
        <w:rPr>
          <w:szCs w:val="22"/>
        </w:rPr>
        <w:t>ž.hm.</w:t>
      </w:r>
      <w:r w:rsidR="00423E84" w:rsidRPr="0051422F">
        <w:rPr>
          <w:szCs w:val="22"/>
        </w:rPr>
        <w:t xml:space="preserve"> po 260</w:t>
      </w:r>
      <w:r w:rsidR="00956049" w:rsidRPr="0051422F">
        <w:rPr>
          <w:szCs w:val="22"/>
        </w:rPr>
        <w:t>.</w:t>
      </w:r>
      <w:r w:rsidR="00423E84" w:rsidRPr="0051422F">
        <w:rPr>
          <w:szCs w:val="22"/>
        </w:rPr>
        <w:t xml:space="preserve"> dni březosti.</w:t>
      </w:r>
    </w:p>
    <w:p w14:paraId="1643E6D7" w14:textId="77777777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K porodu obvykle dojde během 48–72 hodin.</w:t>
      </w:r>
    </w:p>
    <w:p w14:paraId="45FB8366" w14:textId="77777777" w:rsidR="00423E84" w:rsidRPr="0051422F" w:rsidRDefault="00423E84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ECC0DC" w14:textId="7ADE263C" w:rsidR="00423E84" w:rsidRPr="0051422F" w:rsidRDefault="00983B28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i/>
          <w:iCs/>
          <w:szCs w:val="22"/>
        </w:rPr>
        <w:t>L</w:t>
      </w:r>
      <w:r w:rsidR="00423E84" w:rsidRPr="0051422F">
        <w:rPr>
          <w:i/>
          <w:iCs/>
          <w:szCs w:val="22"/>
        </w:rPr>
        <w:t>éčb</w:t>
      </w:r>
      <w:r w:rsidRPr="0051422F">
        <w:rPr>
          <w:i/>
          <w:iCs/>
          <w:szCs w:val="22"/>
        </w:rPr>
        <w:t>a</w:t>
      </w:r>
      <w:r w:rsidR="00423E84" w:rsidRPr="0051422F">
        <w:rPr>
          <w:i/>
          <w:iCs/>
          <w:szCs w:val="22"/>
        </w:rPr>
        <w:t xml:space="preserve"> artritidy, burzitidy nebo </w:t>
      </w:r>
      <w:proofErr w:type="spellStart"/>
      <w:r w:rsidR="00423E84" w:rsidRPr="0051422F">
        <w:rPr>
          <w:i/>
          <w:iCs/>
          <w:szCs w:val="22"/>
        </w:rPr>
        <w:t>tenosynovitidy</w:t>
      </w:r>
      <w:proofErr w:type="spellEnd"/>
      <w:r w:rsidR="004367CA">
        <w:rPr>
          <w:szCs w:val="22"/>
        </w:rPr>
        <w:t xml:space="preserve"> </w:t>
      </w:r>
      <w:proofErr w:type="spellStart"/>
      <w:r w:rsidR="00423E84" w:rsidRPr="0051422F">
        <w:rPr>
          <w:szCs w:val="22"/>
        </w:rPr>
        <w:t>intraartikulární</w:t>
      </w:r>
      <w:r w:rsidR="00852D39" w:rsidRPr="0051422F">
        <w:rPr>
          <w:szCs w:val="22"/>
        </w:rPr>
        <w:t>m</w:t>
      </w:r>
      <w:proofErr w:type="spellEnd"/>
      <w:r w:rsidR="00423E84" w:rsidRPr="0051422F">
        <w:rPr>
          <w:szCs w:val="22"/>
        </w:rPr>
        <w:t xml:space="preserve"> </w:t>
      </w:r>
      <w:r w:rsidR="006347D0" w:rsidRPr="0051422F">
        <w:rPr>
          <w:szCs w:val="22"/>
        </w:rPr>
        <w:t xml:space="preserve">nebo </w:t>
      </w:r>
      <w:proofErr w:type="spellStart"/>
      <w:r w:rsidR="006347D0" w:rsidRPr="0051422F">
        <w:rPr>
          <w:szCs w:val="22"/>
          <w:lang w:eastAsia="de-DE"/>
        </w:rPr>
        <w:t>periartikulárním</w:t>
      </w:r>
      <w:proofErr w:type="spellEnd"/>
      <w:r w:rsidR="006347D0" w:rsidRPr="0051422F">
        <w:rPr>
          <w:szCs w:val="22"/>
        </w:rPr>
        <w:t xml:space="preserve"> </w:t>
      </w:r>
      <w:r w:rsidR="00956049" w:rsidRPr="0051422F">
        <w:rPr>
          <w:szCs w:val="22"/>
        </w:rPr>
        <w:t>podání</w:t>
      </w:r>
      <w:r w:rsidRPr="0051422F">
        <w:rPr>
          <w:szCs w:val="22"/>
        </w:rPr>
        <w:t>m</w:t>
      </w:r>
      <w:r w:rsidR="00423E84" w:rsidRPr="0051422F">
        <w:rPr>
          <w:szCs w:val="22"/>
        </w:rPr>
        <w:t xml:space="preserve"> u koní:</w:t>
      </w:r>
    </w:p>
    <w:p w14:paraId="01AFABD7" w14:textId="51D31D26" w:rsidR="00423E84" w:rsidRPr="009A5A24" w:rsidRDefault="00423E84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5A24">
        <w:t xml:space="preserve">Dávkujte 1–5 ml </w:t>
      </w:r>
      <w:r w:rsidR="006347D0" w:rsidRPr="006347D0">
        <w:t xml:space="preserve">veterinárního léčivého </w:t>
      </w:r>
      <w:r w:rsidRPr="009A5A24">
        <w:t>přípravku.</w:t>
      </w:r>
    </w:p>
    <w:p w14:paraId="4B600A82" w14:textId="77777777" w:rsidR="002032C9" w:rsidRPr="009A5A24" w:rsidRDefault="002032C9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7FE7EF" w14:textId="017B2A70" w:rsidR="00423E84" w:rsidRPr="0051422F" w:rsidRDefault="00423E84" w:rsidP="002849C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Tato množství nejsou konkrétní a jsou uváděna pouze jako orientační. Injek</w:t>
      </w:r>
      <w:r w:rsidR="00FE1AC5" w:rsidRPr="0051422F">
        <w:t>čním podán</w:t>
      </w:r>
      <w:r w:rsidRPr="0051422F">
        <w:t xml:space="preserve">ím do kloubních prostor nebo </w:t>
      </w:r>
      <w:proofErr w:type="spellStart"/>
      <w:r w:rsidRPr="0051422F">
        <w:t>burs</w:t>
      </w:r>
      <w:proofErr w:type="spellEnd"/>
      <w:r w:rsidRPr="0051422F">
        <w:t xml:space="preserve"> by měl předcházet </w:t>
      </w:r>
      <w:r w:rsidR="00FE1AC5" w:rsidRPr="0051422F">
        <w:t xml:space="preserve">odběr </w:t>
      </w:r>
      <w:r w:rsidRPr="0051422F">
        <w:t xml:space="preserve">ekvivalentního objemu synoviální tekutiny. </w:t>
      </w:r>
      <w:bookmarkStart w:id="7" w:name="_Hlk133489708"/>
      <w:r w:rsidRPr="0051422F">
        <w:t>Nezbytn</w:t>
      </w:r>
      <w:r w:rsidR="00FE1AC5" w:rsidRPr="0051422F">
        <w:t>é</w:t>
      </w:r>
      <w:r w:rsidRPr="0051422F">
        <w:t xml:space="preserve"> je </w:t>
      </w:r>
      <w:r w:rsidR="00FE1AC5" w:rsidRPr="0051422F">
        <w:t xml:space="preserve">přísné dodržení </w:t>
      </w:r>
      <w:r w:rsidRPr="0051422F">
        <w:t>asep</w:t>
      </w:r>
      <w:r w:rsidR="00FE1AC5" w:rsidRPr="0051422F">
        <w:t xml:space="preserve">tických </w:t>
      </w:r>
      <w:r w:rsidR="00905EFE" w:rsidRPr="0051422F">
        <w:t>podmínek</w:t>
      </w:r>
      <w:r w:rsidRPr="0051422F">
        <w:t>.</w:t>
      </w:r>
    </w:p>
    <w:bookmarkEnd w:id="7"/>
    <w:p w14:paraId="4BF189F9" w14:textId="77777777" w:rsidR="00BA59F1" w:rsidRPr="0051422F" w:rsidRDefault="00BA59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47009C" w14:textId="6F7DAA69" w:rsidR="0077539E" w:rsidRPr="0051422F" w:rsidRDefault="003501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lastRenderedPageBreak/>
        <w:t>Zátku</w:t>
      </w:r>
      <w:r w:rsidR="00BA59F1" w:rsidRPr="0051422F">
        <w:t xml:space="preserve"> lze bezpečně propíchnout </w:t>
      </w:r>
      <w:r w:rsidR="0062784C" w:rsidRPr="0051422F">
        <w:t xml:space="preserve">max. </w:t>
      </w:r>
      <w:r w:rsidR="00BA59F1" w:rsidRPr="0051422F">
        <w:t xml:space="preserve">100krát. </w:t>
      </w:r>
    </w:p>
    <w:p w14:paraId="1AEF0A69" w14:textId="77777777" w:rsidR="00001687" w:rsidRPr="0051422F" w:rsidRDefault="00001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Vyberte nejvhodnější velikost lahvičky podle cílového druhu zvířat, který má být ošetřen.</w:t>
      </w:r>
    </w:p>
    <w:p w14:paraId="5F6F184A" w14:textId="77777777" w:rsidR="00001687" w:rsidRPr="0051422F" w:rsidRDefault="000016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3A6EC" w14:textId="3A762A06" w:rsidR="0077539E" w:rsidRPr="0051422F" w:rsidRDefault="0077539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 xml:space="preserve">Při ošetřování skupin zvířat použijte </w:t>
      </w:r>
      <w:r w:rsidR="007B6C71" w:rsidRPr="0051422F">
        <w:t xml:space="preserve">odběrovou </w:t>
      </w:r>
      <w:r w:rsidRPr="0051422F">
        <w:t xml:space="preserve">jehlu, aby nedošlo k nadměrnému </w:t>
      </w:r>
      <w:r w:rsidR="007B6C71" w:rsidRPr="0051422F">
        <w:t>propichování zátky</w:t>
      </w:r>
      <w:r w:rsidRPr="0051422F">
        <w:t xml:space="preserve">. </w:t>
      </w:r>
      <w:r w:rsidR="007B6C71" w:rsidRPr="0051422F">
        <w:t xml:space="preserve">Odběrová </w:t>
      </w:r>
      <w:r w:rsidRPr="0051422F">
        <w:t>jehla by měla být po ošetření odstraněna.</w:t>
      </w:r>
    </w:p>
    <w:p w14:paraId="5B2795FB" w14:textId="77777777" w:rsidR="0077539E" w:rsidRPr="0051422F" w:rsidRDefault="0077539E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638A58" w14:textId="7BA2AB98" w:rsidR="00C114FF" w:rsidRPr="0051422F" w:rsidRDefault="00C53ED7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Příznaky předávkování (a kde je relevantní, první pomoc a antidota)</w:t>
      </w:r>
    </w:p>
    <w:p w14:paraId="432F6B97" w14:textId="77777777" w:rsidR="00C53ED7" w:rsidRPr="0051422F" w:rsidRDefault="00C53ED7" w:rsidP="00CE3516">
      <w:pPr>
        <w:tabs>
          <w:tab w:val="clear" w:pos="567"/>
        </w:tabs>
        <w:spacing w:line="240" w:lineRule="auto"/>
        <w:jc w:val="both"/>
      </w:pPr>
    </w:p>
    <w:p w14:paraId="4CBF4BE0" w14:textId="0569B41D" w:rsidR="00C14517" w:rsidRPr="0051422F" w:rsidRDefault="00C14517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Předávkování může u koní vyvolat ospalost a letargii.</w:t>
      </w:r>
    </w:p>
    <w:p w14:paraId="61CEBE98" w14:textId="00E11574" w:rsidR="002473B8" w:rsidRPr="0051422F" w:rsidRDefault="00C14517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Viz také bod 3.6.</w:t>
      </w:r>
    </w:p>
    <w:p w14:paraId="5372AE7A" w14:textId="77777777" w:rsidR="00C14517" w:rsidRPr="0051422F" w:rsidRDefault="00C14517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9C4F51" w14:textId="51A1B08E" w:rsidR="000C2FE2" w:rsidRPr="0051422F" w:rsidRDefault="00C53ED7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 xml:space="preserve">Zvláštní omezení pro použití a zvláštní podmínky pro použití, včetně omezení používání </w:t>
      </w:r>
      <w:r w:rsidRPr="0051422F">
        <w:rPr>
          <w:b/>
          <w:szCs w:val="22"/>
        </w:rPr>
        <w:tab/>
        <w:t xml:space="preserve">antimikrobních a antiparazitárních veterinárních léčivých přípravků, za účelem snížení </w:t>
      </w:r>
      <w:r w:rsidRPr="0051422F">
        <w:rPr>
          <w:b/>
          <w:szCs w:val="22"/>
        </w:rPr>
        <w:tab/>
        <w:t>rizika rozvoje rezistence</w:t>
      </w:r>
    </w:p>
    <w:p w14:paraId="149BBDD4" w14:textId="77777777" w:rsidR="000C2FE2" w:rsidRPr="0051422F" w:rsidRDefault="000C2FE2" w:rsidP="00CE3516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5CE3AF8" w14:textId="6236ECD0" w:rsidR="000C2FE2" w:rsidRPr="0051422F" w:rsidRDefault="004B4211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Neuplatňuje se</w:t>
      </w:r>
      <w:r w:rsidR="000C2FE2" w:rsidRPr="0051422F">
        <w:t>.</w:t>
      </w:r>
    </w:p>
    <w:p w14:paraId="43B90479" w14:textId="77777777" w:rsidR="000C2FE2" w:rsidRPr="0051422F" w:rsidRDefault="000C2FE2" w:rsidP="00CE3516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BED81A1" w14:textId="5600C2FA" w:rsidR="00C114FF" w:rsidRPr="0051422F" w:rsidRDefault="00C114FF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</w:rPr>
      </w:pPr>
      <w:r w:rsidRPr="0051422F">
        <w:rPr>
          <w:b/>
          <w:szCs w:val="22"/>
        </w:rPr>
        <w:t>Ochranné lhůty</w:t>
      </w:r>
    </w:p>
    <w:p w14:paraId="5192D800" w14:textId="77777777" w:rsidR="00C114FF" w:rsidRPr="0051422F" w:rsidRDefault="00C114FF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756207" w14:textId="7027D016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 xml:space="preserve">Maso: </w:t>
      </w:r>
    </w:p>
    <w:p w14:paraId="773E5AD7" w14:textId="3C33E4AF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Skot</w:t>
      </w:r>
      <w:r w:rsidR="006347D0" w:rsidRPr="0051422F">
        <w:t xml:space="preserve">, </w:t>
      </w:r>
      <w:proofErr w:type="gramStart"/>
      <w:r w:rsidR="006347D0" w:rsidRPr="0051422F">
        <w:t>kozy</w:t>
      </w:r>
      <w:r w:rsidRPr="0051422F">
        <w:t xml:space="preserve">: </w:t>
      </w:r>
      <w:r w:rsidR="00C11139" w:rsidRPr="0051422F">
        <w:t xml:space="preserve"> </w:t>
      </w:r>
      <w:r w:rsidRPr="0051422F">
        <w:tab/>
      </w:r>
      <w:proofErr w:type="gramEnd"/>
      <w:r w:rsidRPr="0051422F">
        <w:t>8 dní.</w:t>
      </w:r>
    </w:p>
    <w:p w14:paraId="2E2FE211" w14:textId="2F8A3458" w:rsidR="002473B8" w:rsidRPr="0051422F" w:rsidRDefault="002473B8" w:rsidP="00C11139">
      <w:pPr>
        <w:tabs>
          <w:tab w:val="clear" w:pos="567"/>
        </w:tabs>
        <w:spacing w:line="240" w:lineRule="auto"/>
        <w:jc w:val="both"/>
      </w:pPr>
      <w:r w:rsidRPr="0051422F">
        <w:t xml:space="preserve">Prasata: </w:t>
      </w:r>
      <w:r w:rsidRPr="0051422F">
        <w:tab/>
        <w:t>2 dn</w:t>
      </w:r>
      <w:r w:rsidR="007C4537" w:rsidRPr="0051422F">
        <w:t>y</w:t>
      </w:r>
      <w:r w:rsidR="006347D0" w:rsidRPr="0051422F">
        <w:t xml:space="preserve"> po intramuskulárním podání</w:t>
      </w:r>
      <w:r w:rsidRPr="0051422F">
        <w:t>.</w:t>
      </w:r>
    </w:p>
    <w:p w14:paraId="32DBF2C1" w14:textId="376DD42B" w:rsidR="006347D0" w:rsidRPr="0051422F" w:rsidRDefault="006347D0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ab/>
      </w:r>
      <w:r w:rsidRPr="0051422F">
        <w:rPr>
          <w:szCs w:val="22"/>
        </w:rPr>
        <w:tab/>
        <w:t>6 dn</w:t>
      </w:r>
      <w:r w:rsidR="009B707B">
        <w:rPr>
          <w:szCs w:val="22"/>
        </w:rPr>
        <w:t>í</w:t>
      </w:r>
      <w:r w:rsidRPr="0051422F">
        <w:rPr>
          <w:szCs w:val="22"/>
        </w:rPr>
        <w:t xml:space="preserve"> po </w:t>
      </w:r>
      <w:r w:rsidRPr="0051422F">
        <w:rPr>
          <w:szCs w:val="22"/>
          <w:lang w:eastAsia="de-DE"/>
        </w:rPr>
        <w:t xml:space="preserve">intravenózním </w:t>
      </w:r>
      <w:r w:rsidRPr="0051422F">
        <w:rPr>
          <w:szCs w:val="22"/>
        </w:rPr>
        <w:t>podání.</w:t>
      </w:r>
    </w:p>
    <w:p w14:paraId="7E0078AB" w14:textId="77777777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 xml:space="preserve">Koně: </w:t>
      </w:r>
      <w:r w:rsidRPr="0051422F">
        <w:tab/>
        <w:t>8 dní.</w:t>
      </w:r>
    </w:p>
    <w:p w14:paraId="732237CC" w14:textId="77777777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2C37ABC" w14:textId="77777777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b/>
          <w:szCs w:val="22"/>
        </w:rPr>
        <w:t>Mléko:</w:t>
      </w:r>
      <w:r w:rsidRPr="0051422F">
        <w:t xml:space="preserve"> </w:t>
      </w:r>
    </w:p>
    <w:p w14:paraId="204827E2" w14:textId="12A0CEF6" w:rsidR="002473B8" w:rsidRPr="0051422F" w:rsidRDefault="002473B8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Skot</w:t>
      </w:r>
      <w:r w:rsidR="006347D0" w:rsidRPr="0051422F">
        <w:t xml:space="preserve">, </w:t>
      </w:r>
      <w:proofErr w:type="gramStart"/>
      <w:r w:rsidR="006347D0" w:rsidRPr="0051422F">
        <w:t>kozy</w:t>
      </w:r>
      <w:r w:rsidRPr="0051422F">
        <w:t xml:space="preserve">: </w:t>
      </w:r>
      <w:r w:rsidR="00571084">
        <w:t xml:space="preserve"> </w:t>
      </w:r>
      <w:r w:rsidRPr="0051422F">
        <w:t>72</w:t>
      </w:r>
      <w:proofErr w:type="gramEnd"/>
      <w:r w:rsidRPr="0051422F">
        <w:t xml:space="preserve"> hodin.</w:t>
      </w:r>
    </w:p>
    <w:p w14:paraId="0B2EDBAE" w14:textId="799DF4F1" w:rsidR="00C114FF" w:rsidRPr="0051422F" w:rsidRDefault="002473B8" w:rsidP="00C1113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1422F">
        <w:t xml:space="preserve">Koně: </w:t>
      </w:r>
      <w:r w:rsidR="00C11139" w:rsidRPr="0051422F">
        <w:t xml:space="preserve">  </w:t>
      </w:r>
      <w:proofErr w:type="gramEnd"/>
      <w:r w:rsidR="00C11139" w:rsidRPr="0051422F">
        <w:t xml:space="preserve">     </w:t>
      </w:r>
      <w:r w:rsidR="00F14DF4">
        <w:t xml:space="preserve"> </w:t>
      </w:r>
      <w:r w:rsidR="00C11139" w:rsidRPr="0051422F">
        <w:t xml:space="preserve">  </w:t>
      </w:r>
      <w:r w:rsidRPr="0051422F">
        <w:t>Nepoužívat u koní, jejichž mléko je určeno pro lidskou spotřebu</w:t>
      </w:r>
      <w:r w:rsidR="00C11139" w:rsidRPr="0051422F">
        <w:t>.</w:t>
      </w:r>
    </w:p>
    <w:p w14:paraId="1FAE4CC6" w14:textId="77777777" w:rsidR="002B7B35" w:rsidRPr="0051422F" w:rsidRDefault="002B7B35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C401FF" w14:textId="77777777" w:rsidR="00D8342B" w:rsidRPr="0051422F" w:rsidRDefault="00D8342B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8D8B14" w14:textId="1C6AB31C" w:rsidR="00C114FF" w:rsidRPr="0051422F" w:rsidRDefault="002E1E9A" w:rsidP="002B7360">
      <w:pPr>
        <w:keepNext/>
        <w:numPr>
          <w:ilvl w:val="0"/>
          <w:numId w:val="41"/>
        </w:numPr>
        <w:spacing w:line="240" w:lineRule="auto"/>
        <w:jc w:val="both"/>
        <w:rPr>
          <w:b/>
        </w:rPr>
      </w:pPr>
      <w:r w:rsidRPr="0051422F">
        <w:rPr>
          <w:b/>
          <w:szCs w:val="22"/>
        </w:rPr>
        <w:t>FARMAKOLOGICKÉ INFORMACE</w:t>
      </w:r>
    </w:p>
    <w:p w14:paraId="7F1D200E" w14:textId="77777777" w:rsidR="00C114FF" w:rsidRPr="0051422F" w:rsidRDefault="00C114FF" w:rsidP="002B736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D33A583" w14:textId="741D3F2B" w:rsidR="00C114FF" w:rsidRPr="0051422F" w:rsidRDefault="00C114FF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</w:pPr>
      <w:r w:rsidRPr="0051422F">
        <w:rPr>
          <w:b/>
        </w:rPr>
        <w:t>ATCvet kód:</w:t>
      </w:r>
      <w:r w:rsidR="004A0546" w:rsidRPr="0051422F">
        <w:rPr>
          <w:b/>
        </w:rPr>
        <w:t xml:space="preserve"> </w:t>
      </w:r>
      <w:r w:rsidR="002E1E9A" w:rsidRPr="0051422F">
        <w:t>QH02AB02</w:t>
      </w:r>
    </w:p>
    <w:p w14:paraId="51617C76" w14:textId="77777777" w:rsidR="00C114FF" w:rsidRPr="0051422F" w:rsidRDefault="00C114FF" w:rsidP="00CE3516">
      <w:pPr>
        <w:tabs>
          <w:tab w:val="clear" w:pos="567"/>
        </w:tabs>
        <w:spacing w:line="240" w:lineRule="auto"/>
        <w:jc w:val="both"/>
      </w:pPr>
    </w:p>
    <w:p w14:paraId="23F0ADF6" w14:textId="0A4D33A9" w:rsidR="00C114FF" w:rsidRPr="0051422F" w:rsidRDefault="00655CEF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 xml:space="preserve">Farmakodynamika </w:t>
      </w:r>
    </w:p>
    <w:p w14:paraId="634E69D7" w14:textId="77777777" w:rsidR="00C114FF" w:rsidRPr="0051422F" w:rsidRDefault="00C114FF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F5524" w14:textId="6F07A324" w:rsidR="006333DB" w:rsidRPr="0051422F" w:rsidRDefault="006333DB" w:rsidP="008B558D">
      <w:pPr>
        <w:tabs>
          <w:tab w:val="clear" w:pos="567"/>
        </w:tabs>
        <w:spacing w:line="240" w:lineRule="auto"/>
        <w:jc w:val="both"/>
      </w:pPr>
      <w:r w:rsidRPr="0051422F">
        <w:t xml:space="preserve">Tento přípravek obsahuje </w:t>
      </w:r>
      <w:proofErr w:type="spellStart"/>
      <w:r w:rsidR="00860ACF" w:rsidRPr="0051422F">
        <w:t>dexamethason</w:t>
      </w:r>
      <w:proofErr w:type="spellEnd"/>
      <w:r w:rsidR="00860ACF" w:rsidRPr="0051422F">
        <w:t xml:space="preserve"> ve formě </w:t>
      </w:r>
      <w:r w:rsidRPr="0051422F">
        <w:t>ester</w:t>
      </w:r>
      <w:r w:rsidR="00865EB4" w:rsidRPr="0051422F">
        <w:t>u</w:t>
      </w:r>
      <w:r w:rsidRPr="0051422F">
        <w:t xml:space="preserve"> fosforečnanu sodného, </w:t>
      </w:r>
      <w:proofErr w:type="spellStart"/>
      <w:r w:rsidRPr="0051422F">
        <w:t>fluoro</w:t>
      </w:r>
      <w:proofErr w:type="spellEnd"/>
      <w:r w:rsidRPr="0051422F">
        <w:t>-methyl</w:t>
      </w:r>
      <w:r w:rsidR="00865EB4" w:rsidRPr="0051422F">
        <w:t>ový</w:t>
      </w:r>
      <w:r w:rsidRPr="0051422F">
        <w:t xml:space="preserve"> derivát </w:t>
      </w:r>
      <w:proofErr w:type="spellStart"/>
      <w:r w:rsidRPr="0051422F">
        <w:t>prednisolonu</w:t>
      </w:r>
      <w:proofErr w:type="spellEnd"/>
      <w:r w:rsidRPr="0051422F">
        <w:t xml:space="preserve">, což je silný glukokortikoid s minimální </w:t>
      </w:r>
      <w:proofErr w:type="spellStart"/>
      <w:r w:rsidRPr="0051422F">
        <w:t>mineralokortikoidní</w:t>
      </w:r>
      <w:proofErr w:type="spellEnd"/>
      <w:r w:rsidRPr="0051422F">
        <w:t xml:space="preserve"> aktivitou. </w:t>
      </w:r>
      <w:proofErr w:type="spellStart"/>
      <w:r w:rsidRPr="0051422F">
        <w:t>Dexamethason</w:t>
      </w:r>
      <w:proofErr w:type="spellEnd"/>
      <w:r w:rsidRPr="0051422F">
        <w:t xml:space="preserve"> má deset až dvacetkrát vyšší protizánětlivou </w:t>
      </w:r>
      <w:r w:rsidR="00983B28" w:rsidRPr="0051422F">
        <w:t xml:space="preserve">účinnost </w:t>
      </w:r>
      <w:r w:rsidRPr="0051422F">
        <w:t xml:space="preserve">než </w:t>
      </w:r>
      <w:proofErr w:type="spellStart"/>
      <w:r w:rsidRPr="0051422F">
        <w:t>prednisolon</w:t>
      </w:r>
      <w:proofErr w:type="spellEnd"/>
      <w:r w:rsidRPr="0051422F">
        <w:t>.</w:t>
      </w:r>
    </w:p>
    <w:p w14:paraId="62B21F77" w14:textId="65134E01" w:rsidR="006333DB" w:rsidRPr="0051422F" w:rsidRDefault="006333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6E0CD1" w14:textId="26CCB3E7" w:rsidR="00C14517" w:rsidRPr="0051422F" w:rsidRDefault="00C1451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>Kortikosteroidy potlačují imunologickou odpověď inhibicí dilatace kapilár, migrace a </w:t>
      </w:r>
      <w:r w:rsidR="00983B28" w:rsidRPr="0051422F">
        <w:t xml:space="preserve">činnosti </w:t>
      </w:r>
      <w:r w:rsidRPr="0051422F">
        <w:t>leukocytů a fagocytózy. Glukokortikoidy mají vliv na metabolismus zvýšením glukoneogeneze.</w:t>
      </w:r>
    </w:p>
    <w:p w14:paraId="26EEA00B" w14:textId="77777777" w:rsidR="006333DB" w:rsidRPr="0051422F" w:rsidRDefault="006333DB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7E91FA" w14:textId="4EC38DA5" w:rsidR="00C114FF" w:rsidRPr="0051422F" w:rsidRDefault="00C114FF" w:rsidP="00CE3516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 xml:space="preserve">Farmakokinetika </w:t>
      </w:r>
    </w:p>
    <w:p w14:paraId="31B2DE57" w14:textId="77777777" w:rsidR="00C114FF" w:rsidRPr="0051422F" w:rsidRDefault="00C114FF" w:rsidP="00CE35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884325" w14:textId="170C0DFD" w:rsidR="008309DE" w:rsidRPr="0051422F" w:rsidRDefault="008B55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t xml:space="preserve">Po intramuskulárním podání přípravku se fosforečnan sodný </w:t>
      </w:r>
      <w:proofErr w:type="spellStart"/>
      <w:r w:rsidRPr="0051422F">
        <w:t>dexamethasonu</w:t>
      </w:r>
      <w:proofErr w:type="spellEnd"/>
      <w:r w:rsidRPr="0051422F">
        <w:t xml:space="preserve"> rychle vstřebává a hydrolyzuje na </w:t>
      </w:r>
      <w:proofErr w:type="spellStart"/>
      <w:r w:rsidRPr="0051422F">
        <w:t>dexamethason</w:t>
      </w:r>
      <w:proofErr w:type="spellEnd"/>
      <w:r w:rsidRPr="0051422F">
        <w:t xml:space="preserve"> (báze), což umožňuje rychlou a krátkodobou (přibližně 48 hodin) odpověď. </w:t>
      </w:r>
      <w:proofErr w:type="spellStart"/>
      <w:r w:rsidRPr="0051422F">
        <w:t>Tmax</w:t>
      </w:r>
      <w:proofErr w:type="spellEnd"/>
      <w:r w:rsidRPr="0051422F">
        <w:t xml:space="preserve"> u skotu, koz, koní, prasat, psů a koček je dosaženo do 30 minut po intramuskulárním podání. T½ (</w:t>
      </w:r>
      <w:r w:rsidR="008141D1">
        <w:t xml:space="preserve">biologický </w:t>
      </w:r>
      <w:r w:rsidRPr="0051422F">
        <w:t>poločas eliminace) se pohybuje mezi 5 a 20 hodinami v závislosti na druhu. Biologická dostupnost po intramuskulárním podání je přibližně 100 %.</w:t>
      </w:r>
    </w:p>
    <w:p w14:paraId="2646024D" w14:textId="66D30D07" w:rsidR="00825877" w:rsidRPr="0051422F" w:rsidRDefault="008258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43674F" w14:textId="44502406" w:rsidR="00C114FF" w:rsidRPr="0051422F" w:rsidRDefault="00C114FF" w:rsidP="0051422F">
      <w:pPr>
        <w:keepNext/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>FARMACEUTICKÉ ÚDAJE</w:t>
      </w:r>
    </w:p>
    <w:p w14:paraId="4E908F58" w14:textId="77777777" w:rsidR="00DD5FD3" w:rsidRPr="0051422F" w:rsidRDefault="00DD5FD3" w:rsidP="0051422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AD7F6F7" w14:textId="2EEE3DDE" w:rsidR="00C114FF" w:rsidRPr="0051422F" w:rsidRDefault="00092A37" w:rsidP="0051422F">
      <w:pPr>
        <w:keepNext/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 xml:space="preserve">Hlavní </w:t>
      </w:r>
      <w:r w:rsidR="00C53ED7" w:rsidRPr="0051422F">
        <w:rPr>
          <w:b/>
          <w:szCs w:val="22"/>
        </w:rPr>
        <w:t>in</w:t>
      </w:r>
      <w:r w:rsidRPr="0051422F">
        <w:rPr>
          <w:b/>
          <w:szCs w:val="22"/>
        </w:rPr>
        <w:t>kompatibility</w:t>
      </w:r>
    </w:p>
    <w:p w14:paraId="6A2A2CF5" w14:textId="77777777" w:rsidR="00C114FF" w:rsidRPr="0051422F" w:rsidRDefault="00C114FF" w:rsidP="0051422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F0B9AED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2B4373D4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F5E10" w14:textId="20D92ED7" w:rsidR="00C114FF" w:rsidRPr="0051422F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Doba použitelnosti</w:t>
      </w:r>
    </w:p>
    <w:p w14:paraId="298861AF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183031" w14:textId="4465F24E" w:rsidR="00DD5FD3" w:rsidRPr="0051422F" w:rsidRDefault="00DD5FD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Doba použitelnosti veterinárního léčivého přípravku v neporušeném obalu: 4 roky.</w:t>
      </w:r>
    </w:p>
    <w:p w14:paraId="6AFDBBCA" w14:textId="0FF56D91" w:rsidR="00C114FF" w:rsidRPr="0051422F" w:rsidRDefault="00DD5FD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Doba použitelnosti po prvním otevření vnitřního obalu: 28 dní.</w:t>
      </w:r>
    </w:p>
    <w:p w14:paraId="55790760" w14:textId="77777777" w:rsidR="0088576F" w:rsidRPr="0051422F" w:rsidRDefault="0088576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A8E68E" w14:textId="46E6A33B" w:rsidR="00C114FF" w:rsidRPr="0051422F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Zvláštní opatření pro uchovávání</w:t>
      </w:r>
    </w:p>
    <w:p w14:paraId="7CA1BA70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7A4742" w14:textId="77777777" w:rsidR="00C114FF" w:rsidRPr="0051422F" w:rsidRDefault="0091702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Uchovávejte injekční lahvičku v krabičce, aby byl přípravek chráněn před světlem.</w:t>
      </w:r>
    </w:p>
    <w:p w14:paraId="7F8AE20A" w14:textId="1516C232" w:rsidR="006347D0" w:rsidRPr="0051422F" w:rsidRDefault="006347D0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Tento veterinární léčivý přípravek nevyžaduje žádné zvláštní teplotní podmínky uchovávání.</w:t>
      </w:r>
    </w:p>
    <w:p w14:paraId="650C9075" w14:textId="77777777" w:rsidR="002B7B35" w:rsidRPr="0051422F" w:rsidRDefault="002B7B35" w:rsidP="0051422F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E0EBE68" w14:textId="1910DFF5" w:rsidR="00C114FF" w:rsidRPr="0051422F" w:rsidRDefault="00C114FF" w:rsidP="0051422F">
      <w:pPr>
        <w:numPr>
          <w:ilvl w:val="1"/>
          <w:numId w:val="41"/>
        </w:numPr>
        <w:tabs>
          <w:tab w:val="clear" w:pos="567"/>
        </w:tabs>
        <w:spacing w:line="240" w:lineRule="auto"/>
        <w:ind w:left="0" w:firstLine="0"/>
        <w:jc w:val="both"/>
        <w:rPr>
          <w:b/>
          <w:szCs w:val="22"/>
        </w:rPr>
      </w:pPr>
      <w:r w:rsidRPr="0051422F">
        <w:rPr>
          <w:b/>
          <w:szCs w:val="22"/>
        </w:rPr>
        <w:t>Druh a složení vnitřního obalu</w:t>
      </w:r>
    </w:p>
    <w:p w14:paraId="06AB76D3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FA245C" w14:textId="64A998C3" w:rsidR="00C114FF" w:rsidRPr="0051422F" w:rsidRDefault="0062784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Injekční lahvičky </w:t>
      </w:r>
      <w:r w:rsidR="00DD5FD3" w:rsidRPr="0051422F">
        <w:rPr>
          <w:szCs w:val="22"/>
        </w:rPr>
        <w:t xml:space="preserve">z čirého skla (Typ I </w:t>
      </w:r>
      <w:proofErr w:type="spellStart"/>
      <w:r w:rsidR="00DD5FD3" w:rsidRPr="0051422F">
        <w:rPr>
          <w:szCs w:val="22"/>
        </w:rPr>
        <w:t>Ph</w:t>
      </w:r>
      <w:proofErr w:type="spellEnd"/>
      <w:r w:rsidR="00DD5FD3" w:rsidRPr="0051422F">
        <w:rPr>
          <w:szCs w:val="22"/>
        </w:rPr>
        <w:t xml:space="preserve">. Eur.) o objemu 20 ml, 50 ml a 100 ml uzavřené </w:t>
      </w:r>
      <w:proofErr w:type="spellStart"/>
      <w:r w:rsidR="00DD5FD3" w:rsidRPr="0051422F">
        <w:rPr>
          <w:szCs w:val="22"/>
        </w:rPr>
        <w:t>brombutylovou</w:t>
      </w:r>
      <w:proofErr w:type="spellEnd"/>
      <w:r w:rsidR="00DD5FD3" w:rsidRPr="0051422F">
        <w:rPr>
          <w:szCs w:val="22"/>
        </w:rPr>
        <w:t xml:space="preserve"> pryžovou zátkou a utěsněné hliníkovým </w:t>
      </w:r>
      <w:proofErr w:type="spellStart"/>
      <w:r w:rsidR="003B5C3C" w:rsidRPr="0051422F">
        <w:rPr>
          <w:szCs w:val="22"/>
        </w:rPr>
        <w:t>pertlem</w:t>
      </w:r>
      <w:proofErr w:type="spellEnd"/>
      <w:r w:rsidR="00DD5FD3" w:rsidRPr="0051422F">
        <w:rPr>
          <w:szCs w:val="22"/>
        </w:rPr>
        <w:t>.</w:t>
      </w:r>
    </w:p>
    <w:p w14:paraId="6951E7F6" w14:textId="77777777" w:rsidR="004A20A7" w:rsidRPr="0051422F" w:rsidRDefault="004A20A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3CC307" w14:textId="3D9C0DA1" w:rsidR="00DE0218" w:rsidRPr="0051422F" w:rsidRDefault="00A7727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Krabička</w:t>
      </w:r>
      <w:r w:rsidR="003B5C3C" w:rsidRPr="0051422F">
        <w:rPr>
          <w:szCs w:val="22"/>
        </w:rPr>
        <w:t xml:space="preserve"> obsahující</w:t>
      </w:r>
      <w:r w:rsidRPr="0051422F">
        <w:rPr>
          <w:szCs w:val="22"/>
        </w:rPr>
        <w:t xml:space="preserve"> 1 x 20 ml, 6 x 20 ml nebo 12 x 20 ml</w:t>
      </w:r>
    </w:p>
    <w:p w14:paraId="6412A447" w14:textId="50CB55C0" w:rsidR="004A20A7" w:rsidRPr="0051422F" w:rsidRDefault="004A20A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Krabička</w:t>
      </w:r>
      <w:r w:rsidR="003B5C3C" w:rsidRPr="0051422F">
        <w:rPr>
          <w:szCs w:val="22"/>
        </w:rPr>
        <w:t xml:space="preserve"> obsahující</w:t>
      </w:r>
      <w:r w:rsidRPr="0051422F">
        <w:rPr>
          <w:szCs w:val="22"/>
        </w:rPr>
        <w:t xml:space="preserve"> 1 x 50 ml, 6 x 50 ml nebo 12 x 50 ml</w:t>
      </w:r>
    </w:p>
    <w:p w14:paraId="3A353599" w14:textId="5956589D" w:rsidR="004A20A7" w:rsidRPr="0051422F" w:rsidRDefault="004A20A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Krabička</w:t>
      </w:r>
      <w:r w:rsidR="003B5C3C" w:rsidRPr="0051422F">
        <w:rPr>
          <w:szCs w:val="22"/>
        </w:rPr>
        <w:t xml:space="preserve"> obsahující </w:t>
      </w:r>
      <w:r w:rsidRPr="0051422F">
        <w:rPr>
          <w:szCs w:val="22"/>
        </w:rPr>
        <w:t>1 x 100 ml, 6 x 100 ml nebo 12 x 100 ml</w:t>
      </w:r>
    </w:p>
    <w:p w14:paraId="26560773" w14:textId="77777777" w:rsidR="004A20A7" w:rsidRPr="0051422F" w:rsidRDefault="004A20A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88A96" w14:textId="77777777" w:rsidR="004A20A7" w:rsidRPr="0051422F" w:rsidRDefault="004A20A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Na trhu nemusí být všechny velikosti balení.</w:t>
      </w:r>
    </w:p>
    <w:p w14:paraId="3E998518" w14:textId="77777777" w:rsidR="00DD5FD3" w:rsidRPr="0051422F" w:rsidRDefault="00DD5FD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93B313" w14:textId="428B6EBA" w:rsidR="00C114FF" w:rsidRPr="0051422F" w:rsidRDefault="00C114FF" w:rsidP="002B7360">
      <w:pPr>
        <w:keepNext/>
        <w:numPr>
          <w:ilvl w:val="1"/>
          <w:numId w:val="41"/>
        </w:num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 w:rsidRPr="0051422F">
        <w:rPr>
          <w:b/>
          <w:szCs w:val="22"/>
        </w:rPr>
        <w:t xml:space="preserve">Zvláštní opatření pro </w:t>
      </w:r>
      <w:r w:rsidR="0083384B" w:rsidRPr="0051422F">
        <w:rPr>
          <w:b/>
          <w:szCs w:val="22"/>
        </w:rPr>
        <w:t>likvidaci</w:t>
      </w:r>
      <w:r w:rsidRPr="0051422F">
        <w:rPr>
          <w:b/>
          <w:szCs w:val="22"/>
        </w:rPr>
        <w:t xml:space="preserve"> nepoužit</w:t>
      </w:r>
      <w:r w:rsidR="0083384B" w:rsidRPr="0051422F">
        <w:rPr>
          <w:b/>
          <w:szCs w:val="22"/>
        </w:rPr>
        <w:t>ých</w:t>
      </w:r>
      <w:r w:rsidRPr="0051422F">
        <w:rPr>
          <w:b/>
          <w:szCs w:val="22"/>
        </w:rPr>
        <w:t xml:space="preserve"> veterinární</w:t>
      </w:r>
      <w:r w:rsidR="0083384B" w:rsidRPr="0051422F">
        <w:rPr>
          <w:b/>
          <w:szCs w:val="22"/>
        </w:rPr>
        <w:t>c</w:t>
      </w:r>
      <w:r w:rsidRPr="0051422F">
        <w:rPr>
          <w:b/>
          <w:szCs w:val="22"/>
        </w:rPr>
        <w:t>h léčiv</w:t>
      </w:r>
      <w:r w:rsidR="0083384B" w:rsidRPr="0051422F">
        <w:rPr>
          <w:b/>
          <w:szCs w:val="22"/>
        </w:rPr>
        <w:t>ýc</w:t>
      </w:r>
      <w:r w:rsidRPr="0051422F">
        <w:rPr>
          <w:b/>
          <w:szCs w:val="22"/>
        </w:rPr>
        <w:t>h přípravk</w:t>
      </w:r>
      <w:r w:rsidR="0083384B" w:rsidRPr="0051422F">
        <w:rPr>
          <w:b/>
          <w:szCs w:val="22"/>
        </w:rPr>
        <w:t>ů</w:t>
      </w:r>
      <w:r w:rsidRPr="0051422F">
        <w:rPr>
          <w:b/>
          <w:szCs w:val="22"/>
        </w:rPr>
        <w:t xml:space="preserve"> nebo odpad</w:t>
      </w:r>
      <w:r w:rsidR="0083384B" w:rsidRPr="0051422F">
        <w:rPr>
          <w:b/>
          <w:szCs w:val="22"/>
        </w:rPr>
        <w:t>ů</w:t>
      </w:r>
      <w:r w:rsidRPr="0051422F">
        <w:rPr>
          <w:b/>
          <w:szCs w:val="22"/>
        </w:rPr>
        <w:t>, kter</w:t>
      </w:r>
      <w:r w:rsidR="0083384B" w:rsidRPr="0051422F">
        <w:rPr>
          <w:b/>
          <w:szCs w:val="22"/>
        </w:rPr>
        <w:t>é</w:t>
      </w:r>
      <w:r w:rsidRPr="0051422F">
        <w:rPr>
          <w:b/>
          <w:szCs w:val="22"/>
        </w:rPr>
        <w:t xml:space="preserve"> pochází z t</w:t>
      </w:r>
      <w:r w:rsidR="0083384B" w:rsidRPr="0051422F">
        <w:rPr>
          <w:b/>
          <w:szCs w:val="22"/>
        </w:rPr>
        <w:t>ěc</w:t>
      </w:r>
      <w:r w:rsidRPr="0051422F">
        <w:rPr>
          <w:b/>
          <w:szCs w:val="22"/>
        </w:rPr>
        <w:t>hto přípravk</w:t>
      </w:r>
      <w:r w:rsidR="0083384B" w:rsidRPr="0051422F">
        <w:rPr>
          <w:b/>
          <w:szCs w:val="22"/>
        </w:rPr>
        <w:t>ů</w:t>
      </w:r>
    </w:p>
    <w:p w14:paraId="1749B313" w14:textId="77777777" w:rsidR="00C114FF" w:rsidRPr="0051422F" w:rsidRDefault="00C114FF" w:rsidP="002B736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91B7E22" w14:textId="4742354A" w:rsidR="003F0C23" w:rsidRPr="0051422F" w:rsidRDefault="003F0C23" w:rsidP="0051422F">
      <w:pPr>
        <w:spacing w:line="240" w:lineRule="auto"/>
        <w:jc w:val="both"/>
        <w:rPr>
          <w:szCs w:val="22"/>
        </w:rPr>
      </w:pPr>
      <w:r w:rsidRPr="0051422F">
        <w:rPr>
          <w:szCs w:val="22"/>
        </w:rPr>
        <w:t>Léčivé přípravky se nesmí likvidovat prostřednictvím odpadní vody či domovního odpadu.</w:t>
      </w:r>
    </w:p>
    <w:p w14:paraId="1C6E5416" w14:textId="77777777" w:rsidR="0083384B" w:rsidRPr="0051422F" w:rsidRDefault="0083384B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40527C" w14:textId="6F6BFA4D" w:rsidR="003F0C23" w:rsidRPr="0051422F" w:rsidRDefault="003F0C2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6159079" w14:textId="77777777" w:rsidR="00C114FF" w:rsidRPr="0051422F" w:rsidRDefault="00C114FF" w:rsidP="0051422F">
      <w:pPr>
        <w:tabs>
          <w:tab w:val="clear" w:pos="567"/>
        </w:tabs>
        <w:spacing w:line="240" w:lineRule="auto"/>
        <w:rPr>
          <w:szCs w:val="22"/>
        </w:rPr>
      </w:pPr>
    </w:p>
    <w:p w14:paraId="64545469" w14:textId="5493AE76" w:rsidR="00D8342B" w:rsidRPr="0051422F" w:rsidRDefault="00D8342B" w:rsidP="0051422F">
      <w:pPr>
        <w:tabs>
          <w:tab w:val="clear" w:pos="567"/>
        </w:tabs>
        <w:spacing w:line="240" w:lineRule="auto"/>
        <w:rPr>
          <w:szCs w:val="22"/>
        </w:rPr>
      </w:pPr>
    </w:p>
    <w:p w14:paraId="123733E9" w14:textId="12DF57C4" w:rsidR="00C114FF" w:rsidRPr="0051422F" w:rsidRDefault="00D8342B" w:rsidP="0051422F">
      <w:pPr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>JMÉNO DRŽITELE ROZHODNUTÍ O REGISTRACI</w:t>
      </w:r>
    </w:p>
    <w:p w14:paraId="6ACF3D78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761DE7" w14:textId="77777777" w:rsidR="006E1ABC" w:rsidRPr="0051422F" w:rsidRDefault="006E1ABC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 xml:space="preserve">LIVISTO </w:t>
      </w:r>
      <w:proofErr w:type="spellStart"/>
      <w:r w:rsidRPr="0051422F">
        <w:rPr>
          <w:szCs w:val="22"/>
        </w:rPr>
        <w:t>Int’l</w:t>
      </w:r>
      <w:proofErr w:type="spellEnd"/>
      <w:r w:rsidRPr="0051422F">
        <w:rPr>
          <w:szCs w:val="22"/>
        </w:rPr>
        <w:t>, S.L.</w:t>
      </w:r>
    </w:p>
    <w:p w14:paraId="363B26B5" w14:textId="22D320E4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8B6D0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DA557F" w14:textId="4098B7E3" w:rsidR="00C114FF" w:rsidRPr="0051422F" w:rsidRDefault="00C114FF" w:rsidP="0051422F">
      <w:pPr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>REGISTRAČNÍ ČÍSLO(A)</w:t>
      </w:r>
    </w:p>
    <w:p w14:paraId="180E9F2A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A7D6E" w14:textId="5C961571" w:rsidR="00C114FF" w:rsidRPr="0051422F" w:rsidRDefault="00FF37C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96/028/</w:t>
      </w:r>
      <w:proofErr w:type="gramStart"/>
      <w:r w:rsidRPr="0051422F">
        <w:rPr>
          <w:szCs w:val="22"/>
        </w:rPr>
        <w:t>23-C</w:t>
      </w:r>
      <w:proofErr w:type="gramEnd"/>
    </w:p>
    <w:p w14:paraId="04C165D9" w14:textId="77777777" w:rsidR="00FF37CA" w:rsidRPr="0051422F" w:rsidRDefault="00FF37C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4BD223" w14:textId="77777777" w:rsidR="00FF37CA" w:rsidRPr="0051422F" w:rsidRDefault="00FF37C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5A9990" w14:textId="18A19263" w:rsidR="00C114FF" w:rsidRPr="0051422F" w:rsidRDefault="00C114FF" w:rsidP="0051422F">
      <w:pPr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>DATUM PRVNÍ REGISTRACE</w:t>
      </w:r>
    </w:p>
    <w:p w14:paraId="20C1F06C" w14:textId="77777777" w:rsidR="00C114FF" w:rsidRPr="0051422F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31212C" w14:textId="690D22C9" w:rsidR="00C114FF" w:rsidRPr="0051422F" w:rsidRDefault="00FF37CA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1422F">
        <w:rPr>
          <w:szCs w:val="22"/>
        </w:rPr>
        <w:t>13. 7. 2023</w:t>
      </w:r>
    </w:p>
    <w:p w14:paraId="36D268D4" w14:textId="77777777" w:rsidR="00D65777" w:rsidRPr="0051422F" w:rsidRDefault="00D6577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0C70AC" w14:textId="77777777" w:rsidR="00DD5FD3" w:rsidRPr="0051422F" w:rsidRDefault="00DD5FD3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EE2D81" w14:textId="240C35D6" w:rsidR="00C114FF" w:rsidRPr="0051422F" w:rsidRDefault="00C53ED7" w:rsidP="0051422F">
      <w:pPr>
        <w:numPr>
          <w:ilvl w:val="0"/>
          <w:numId w:val="41"/>
        </w:numPr>
        <w:spacing w:line="240" w:lineRule="auto"/>
        <w:jc w:val="both"/>
        <w:rPr>
          <w:b/>
          <w:szCs w:val="22"/>
        </w:rPr>
      </w:pPr>
      <w:r w:rsidRPr="0051422F">
        <w:rPr>
          <w:b/>
          <w:szCs w:val="22"/>
        </w:rPr>
        <w:t>DATUM POSLEDNÍ AKTUALIZACE SOUHRNU ÚDAJŮ O PŘÍPRAVKU</w:t>
      </w:r>
    </w:p>
    <w:p w14:paraId="55019609" w14:textId="77777777" w:rsidR="00C53ED7" w:rsidRPr="0051422F" w:rsidRDefault="00C53ED7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61B51C" w14:textId="4AED904C" w:rsidR="00825877" w:rsidRPr="0051422F" w:rsidRDefault="005C7E55" w:rsidP="0051422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8" w:name="_GoBack"/>
      <w:bookmarkEnd w:id="8"/>
      <w:r w:rsidR="004367CA">
        <w:rPr>
          <w:szCs w:val="22"/>
        </w:rPr>
        <w:t>/2024</w:t>
      </w:r>
    </w:p>
    <w:p w14:paraId="69FDB032" w14:textId="77777777" w:rsidR="00825877" w:rsidRPr="0051422F" w:rsidRDefault="00825877" w:rsidP="0051422F">
      <w:pPr>
        <w:tabs>
          <w:tab w:val="clear" w:pos="567"/>
        </w:tabs>
        <w:spacing w:line="240" w:lineRule="auto"/>
        <w:rPr>
          <w:szCs w:val="22"/>
        </w:rPr>
      </w:pPr>
    </w:p>
    <w:p w14:paraId="0C72744E" w14:textId="77777777" w:rsidR="00D8342B" w:rsidRPr="009A5A24" w:rsidRDefault="00D8342B" w:rsidP="0051422F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9A5A24">
        <w:rPr>
          <w:b/>
          <w:szCs w:val="22"/>
        </w:rPr>
        <w:t>10.</w:t>
      </w:r>
      <w:r w:rsidRPr="009A5A24">
        <w:rPr>
          <w:b/>
          <w:szCs w:val="22"/>
        </w:rPr>
        <w:tab/>
        <w:t>KLASIFIKACE VETERINÁRNÍCH LÉČIVÝCH PŘÍPRAVKŮ</w:t>
      </w:r>
    </w:p>
    <w:p w14:paraId="1DE48A49" w14:textId="77777777" w:rsidR="00D8342B" w:rsidRPr="009A5A24" w:rsidRDefault="00D8342B" w:rsidP="0051422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399E3F7" w14:textId="77777777" w:rsidR="00D8342B" w:rsidRPr="009A5A24" w:rsidRDefault="00D8342B" w:rsidP="0051422F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9A5A24">
        <w:t>Veterinární léčivý přípravek je vydáván pouze na předpis.</w:t>
      </w:r>
    </w:p>
    <w:p w14:paraId="04CF61FE" w14:textId="77777777" w:rsidR="0029679D" w:rsidRPr="009A5A24" w:rsidRDefault="0029679D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B36594" w14:textId="77777777" w:rsidR="00825877" w:rsidRPr="009A5A24" w:rsidRDefault="00825877" w:rsidP="0051422F">
      <w:pPr>
        <w:spacing w:line="240" w:lineRule="auto"/>
        <w:jc w:val="both"/>
        <w:rPr>
          <w:szCs w:val="22"/>
        </w:rPr>
      </w:pPr>
      <w:bookmarkStart w:id="9" w:name="_Hlk73467306"/>
      <w:r w:rsidRPr="009A5A24">
        <w:t xml:space="preserve">Podrobné informace o tomto veterinárním léčivém přípravku jsou k dispozici v databázi přípravků Unie </w:t>
      </w:r>
      <w:r w:rsidRPr="009A5A24">
        <w:rPr>
          <w:szCs w:val="22"/>
        </w:rPr>
        <w:t>(</w:t>
      </w:r>
      <w:hyperlink r:id="rId11" w:history="1">
        <w:r w:rsidRPr="009A5A24">
          <w:rPr>
            <w:rStyle w:val="Hypertextovodkaz"/>
            <w:szCs w:val="22"/>
          </w:rPr>
          <w:t>https://medicines.health.europa.eu/veterinary</w:t>
        </w:r>
      </w:hyperlink>
      <w:r w:rsidRPr="009A5A24">
        <w:rPr>
          <w:szCs w:val="22"/>
        </w:rPr>
        <w:t>)</w:t>
      </w:r>
      <w:r w:rsidRPr="009A5A24">
        <w:rPr>
          <w:i/>
          <w:szCs w:val="22"/>
        </w:rPr>
        <w:t>.</w:t>
      </w:r>
    </w:p>
    <w:bookmarkEnd w:id="9"/>
    <w:p w14:paraId="5BAE523E" w14:textId="77777777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07266" w14:textId="6A11B78D" w:rsidR="00070E4E" w:rsidRPr="009A5A24" w:rsidRDefault="00070E4E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33489847"/>
      <w:r w:rsidRPr="009A5A24">
        <w:rPr>
          <w:szCs w:val="22"/>
        </w:rPr>
        <w:t>Podrobné informace o tomto veterinárním léčivém přípravku naleznete také v národní databázi (</w:t>
      </w:r>
      <w:hyperlink r:id="rId12" w:history="1">
        <w:r w:rsidRPr="009A5A24">
          <w:rPr>
            <w:rStyle w:val="Hypertextovodkaz"/>
            <w:szCs w:val="22"/>
          </w:rPr>
          <w:t>https://www.uskvbl.cz</w:t>
        </w:r>
      </w:hyperlink>
      <w:r w:rsidRPr="009A5A24">
        <w:rPr>
          <w:szCs w:val="22"/>
        </w:rPr>
        <w:t>).</w:t>
      </w:r>
    </w:p>
    <w:bookmarkEnd w:id="10"/>
    <w:p w14:paraId="2A645CDD" w14:textId="3F0E6FA2" w:rsidR="00C114FF" w:rsidRPr="009A5A24" w:rsidRDefault="00C114FF" w:rsidP="0051422F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114FF" w:rsidRPr="009A5A24" w:rsidSect="00B05E94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7802" w14:textId="77777777" w:rsidR="00E119EF" w:rsidRDefault="00E119EF">
      <w:r>
        <w:separator/>
      </w:r>
    </w:p>
  </w:endnote>
  <w:endnote w:type="continuationSeparator" w:id="0">
    <w:p w14:paraId="02A50022" w14:textId="77777777" w:rsidR="00E119EF" w:rsidRDefault="00E119EF">
      <w:r>
        <w:continuationSeparator/>
      </w:r>
    </w:p>
  </w:endnote>
  <w:endnote w:type="continuationNotice" w:id="1">
    <w:p w14:paraId="796954A7" w14:textId="77777777" w:rsidR="00E119EF" w:rsidRDefault="00E119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BC06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A666E6">
      <w:rPr>
        <w:rFonts w:ascii="Times New Roman" w:hAnsi="Times New Roman"/>
      </w:rPr>
      <w:t>7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E964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C47D" w14:textId="77777777" w:rsidR="00E119EF" w:rsidRDefault="00E119EF">
      <w:r>
        <w:separator/>
      </w:r>
    </w:p>
  </w:footnote>
  <w:footnote w:type="continuationSeparator" w:id="0">
    <w:p w14:paraId="09EFCD2A" w14:textId="77777777" w:rsidR="00E119EF" w:rsidRDefault="00E119EF">
      <w:r>
        <w:continuationSeparator/>
      </w:r>
    </w:p>
  </w:footnote>
  <w:footnote w:type="continuationNotice" w:id="1">
    <w:p w14:paraId="105DF6B3" w14:textId="77777777" w:rsidR="00E119EF" w:rsidRDefault="00E119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2C48" w14:textId="405EB2CD" w:rsidR="004F6F64" w:rsidRDefault="00B83ABB">
    <w:pPr>
      <w:pStyle w:val="Zhlav"/>
    </w:pPr>
    <w:bookmarkStart w:id="11" w:name="_Hlk150346920"/>
    <w:r>
      <w:t xml:space="preserve">      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46368E3"/>
    <w:multiLevelType w:val="hybridMultilevel"/>
    <w:tmpl w:val="3AFE8FD2"/>
    <w:lvl w:ilvl="0" w:tplc="B56C8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EFC143A"/>
    <w:multiLevelType w:val="hybridMultilevel"/>
    <w:tmpl w:val="B94AE3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27A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15612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FE4281"/>
    <w:multiLevelType w:val="hybridMultilevel"/>
    <w:tmpl w:val="13C6E8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C2523C7"/>
    <w:multiLevelType w:val="hybridMultilevel"/>
    <w:tmpl w:val="2B5CC640"/>
    <w:lvl w:ilvl="0" w:tplc="B56C839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BE0276C"/>
    <w:multiLevelType w:val="hybridMultilevel"/>
    <w:tmpl w:val="1F127F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AC61E85"/>
    <w:multiLevelType w:val="multilevel"/>
    <w:tmpl w:val="D9287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0821AE7"/>
    <w:multiLevelType w:val="hybridMultilevel"/>
    <w:tmpl w:val="9C3C59FA"/>
    <w:lvl w:ilvl="0" w:tplc="90A0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05D47"/>
    <w:multiLevelType w:val="hybridMultilevel"/>
    <w:tmpl w:val="56CEB086"/>
    <w:lvl w:ilvl="0" w:tplc="B56C8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7445DE3"/>
    <w:multiLevelType w:val="hybridMultilevel"/>
    <w:tmpl w:val="2E7A7E60"/>
    <w:lvl w:ilvl="0" w:tplc="3B801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 w15:restartNumberingAfterBreak="0">
    <w:nsid w:val="69E97016"/>
    <w:multiLevelType w:val="hybridMultilevel"/>
    <w:tmpl w:val="882203A8"/>
    <w:lvl w:ilvl="0" w:tplc="B56C8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620BD"/>
    <w:multiLevelType w:val="hybridMultilevel"/>
    <w:tmpl w:val="55261B38"/>
    <w:lvl w:ilvl="0" w:tplc="B56C8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4"/>
  </w:num>
  <w:num w:numId="4">
    <w:abstractNumId w:val="43"/>
  </w:num>
  <w:num w:numId="5">
    <w:abstractNumId w:val="18"/>
  </w:num>
  <w:num w:numId="6">
    <w:abstractNumId w:val="30"/>
  </w:num>
  <w:num w:numId="7">
    <w:abstractNumId w:val="24"/>
  </w:num>
  <w:num w:numId="8">
    <w:abstractNumId w:val="12"/>
  </w:num>
  <w:num w:numId="9">
    <w:abstractNumId w:val="39"/>
  </w:num>
  <w:num w:numId="10">
    <w:abstractNumId w:val="42"/>
  </w:num>
  <w:num w:numId="11">
    <w:abstractNumId w:val="20"/>
  </w:num>
  <w:num w:numId="12">
    <w:abstractNumId w:val="19"/>
  </w:num>
  <w:num w:numId="13">
    <w:abstractNumId w:val="3"/>
  </w:num>
  <w:num w:numId="14">
    <w:abstractNumId w:val="37"/>
  </w:num>
  <w:num w:numId="15">
    <w:abstractNumId w:val="23"/>
  </w:num>
  <w:num w:numId="16">
    <w:abstractNumId w:val="45"/>
  </w:num>
  <w:num w:numId="17">
    <w:abstractNumId w:val="13"/>
  </w:num>
  <w:num w:numId="18">
    <w:abstractNumId w:val="1"/>
  </w:num>
  <w:num w:numId="19">
    <w:abstractNumId w:val="21"/>
  </w:num>
  <w:num w:numId="20">
    <w:abstractNumId w:val="5"/>
  </w:num>
  <w:num w:numId="21">
    <w:abstractNumId w:val="11"/>
  </w:num>
  <w:num w:numId="22">
    <w:abstractNumId w:val="33"/>
  </w:num>
  <w:num w:numId="23">
    <w:abstractNumId w:val="46"/>
  </w:num>
  <w:num w:numId="24">
    <w:abstractNumId w:val="27"/>
  </w:num>
  <w:num w:numId="25">
    <w:abstractNumId w:val="14"/>
  </w:num>
  <w:num w:numId="26">
    <w:abstractNumId w:val="17"/>
  </w:num>
  <w:num w:numId="27">
    <w:abstractNumId w:val="7"/>
  </w:num>
  <w:num w:numId="28">
    <w:abstractNumId w:val="10"/>
  </w:num>
  <w:num w:numId="29">
    <w:abstractNumId w:val="28"/>
  </w:num>
  <w:num w:numId="30">
    <w:abstractNumId w:val="47"/>
  </w:num>
  <w:num w:numId="31">
    <w:abstractNumId w:val="48"/>
  </w:num>
  <w:num w:numId="32">
    <w:abstractNumId w:val="26"/>
  </w:num>
  <w:num w:numId="33">
    <w:abstractNumId w:val="35"/>
  </w:num>
  <w:num w:numId="34">
    <w:abstractNumId w:val="29"/>
  </w:num>
  <w:num w:numId="35">
    <w:abstractNumId w:val="2"/>
  </w:num>
  <w:num w:numId="36">
    <w:abstractNumId w:val="6"/>
  </w:num>
  <w:num w:numId="37">
    <w:abstractNumId w:val="31"/>
  </w:num>
  <w:num w:numId="38">
    <w:abstractNumId w:val="25"/>
  </w:num>
  <w:num w:numId="39">
    <w:abstractNumId w:val="22"/>
  </w:num>
  <w:num w:numId="40">
    <w:abstractNumId w:val="16"/>
  </w:num>
  <w:num w:numId="41">
    <w:abstractNumId w:val="32"/>
  </w:num>
  <w:num w:numId="42">
    <w:abstractNumId w:val="36"/>
  </w:num>
  <w:num w:numId="43">
    <w:abstractNumId w:val="4"/>
  </w:num>
  <w:num w:numId="44">
    <w:abstractNumId w:val="41"/>
  </w:num>
  <w:num w:numId="45">
    <w:abstractNumId w:val="15"/>
  </w:num>
  <w:num w:numId="46">
    <w:abstractNumId w:val="9"/>
  </w:num>
  <w:num w:numId="47">
    <w:abstractNumId w:val="40"/>
  </w:num>
  <w:num w:numId="48">
    <w:abstractNumId w:val="34"/>
  </w:num>
  <w:num w:numId="49">
    <w:abstractNumId w:val="3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687"/>
    <w:rsid w:val="00010CC4"/>
    <w:rsid w:val="0001152A"/>
    <w:rsid w:val="00020D9C"/>
    <w:rsid w:val="00021B82"/>
    <w:rsid w:val="00024777"/>
    <w:rsid w:val="00024E21"/>
    <w:rsid w:val="0002659C"/>
    <w:rsid w:val="000352DE"/>
    <w:rsid w:val="00036C50"/>
    <w:rsid w:val="000379F2"/>
    <w:rsid w:val="00052D2B"/>
    <w:rsid w:val="00054F55"/>
    <w:rsid w:val="00056BBF"/>
    <w:rsid w:val="00062945"/>
    <w:rsid w:val="00070E4E"/>
    <w:rsid w:val="00076B48"/>
    <w:rsid w:val="00080453"/>
    <w:rsid w:val="0008169A"/>
    <w:rsid w:val="000860CE"/>
    <w:rsid w:val="00092A37"/>
    <w:rsid w:val="000934F6"/>
    <w:rsid w:val="000938A6"/>
    <w:rsid w:val="000959A7"/>
    <w:rsid w:val="00097C1E"/>
    <w:rsid w:val="000A16A7"/>
    <w:rsid w:val="000A177F"/>
    <w:rsid w:val="000A1DF5"/>
    <w:rsid w:val="000A4375"/>
    <w:rsid w:val="000B41AD"/>
    <w:rsid w:val="000B62DB"/>
    <w:rsid w:val="000B7873"/>
    <w:rsid w:val="000C02A1"/>
    <w:rsid w:val="000C1D4F"/>
    <w:rsid w:val="000C2FE2"/>
    <w:rsid w:val="000C49BA"/>
    <w:rsid w:val="000C4AB0"/>
    <w:rsid w:val="000C66D3"/>
    <w:rsid w:val="000C687A"/>
    <w:rsid w:val="000D67D0"/>
    <w:rsid w:val="000E195C"/>
    <w:rsid w:val="000E1B87"/>
    <w:rsid w:val="000E237A"/>
    <w:rsid w:val="000E2BF7"/>
    <w:rsid w:val="000E3602"/>
    <w:rsid w:val="000F0303"/>
    <w:rsid w:val="000F38DA"/>
    <w:rsid w:val="000F4664"/>
    <w:rsid w:val="000F5822"/>
    <w:rsid w:val="000F65C4"/>
    <w:rsid w:val="000F796B"/>
    <w:rsid w:val="0010031E"/>
    <w:rsid w:val="001012EB"/>
    <w:rsid w:val="0010464A"/>
    <w:rsid w:val="00106E21"/>
    <w:rsid w:val="001078D1"/>
    <w:rsid w:val="00115470"/>
    <w:rsid w:val="00115782"/>
    <w:rsid w:val="00120928"/>
    <w:rsid w:val="00122209"/>
    <w:rsid w:val="00124F36"/>
    <w:rsid w:val="00125666"/>
    <w:rsid w:val="00125C80"/>
    <w:rsid w:val="00126DCF"/>
    <w:rsid w:val="0013236D"/>
    <w:rsid w:val="0013799F"/>
    <w:rsid w:val="00140DF6"/>
    <w:rsid w:val="001457B9"/>
    <w:rsid w:val="00145C3F"/>
    <w:rsid w:val="00145D34"/>
    <w:rsid w:val="00146284"/>
    <w:rsid w:val="0014690F"/>
    <w:rsid w:val="0015098E"/>
    <w:rsid w:val="00153ED8"/>
    <w:rsid w:val="00155A3E"/>
    <w:rsid w:val="00157735"/>
    <w:rsid w:val="0016700D"/>
    <w:rsid w:val="001674D3"/>
    <w:rsid w:val="001676E4"/>
    <w:rsid w:val="00175264"/>
    <w:rsid w:val="001803D2"/>
    <w:rsid w:val="0018228B"/>
    <w:rsid w:val="00185B50"/>
    <w:rsid w:val="0018625C"/>
    <w:rsid w:val="001877EB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0EED"/>
    <w:rsid w:val="001A19B6"/>
    <w:rsid w:val="001A27EA"/>
    <w:rsid w:val="001A28C9"/>
    <w:rsid w:val="001A34BC"/>
    <w:rsid w:val="001A6BB7"/>
    <w:rsid w:val="001B1C77"/>
    <w:rsid w:val="001B549B"/>
    <w:rsid w:val="001B6F4A"/>
    <w:rsid w:val="001C28B9"/>
    <w:rsid w:val="001C5288"/>
    <w:rsid w:val="001C5B03"/>
    <w:rsid w:val="001D58D3"/>
    <w:rsid w:val="001D6D96"/>
    <w:rsid w:val="001E0366"/>
    <w:rsid w:val="001E5621"/>
    <w:rsid w:val="001E6CA6"/>
    <w:rsid w:val="001F3EF9"/>
    <w:rsid w:val="001F627D"/>
    <w:rsid w:val="001F6622"/>
    <w:rsid w:val="002032C9"/>
    <w:rsid w:val="00204693"/>
    <w:rsid w:val="00205263"/>
    <w:rsid w:val="00206B3C"/>
    <w:rsid w:val="002100FC"/>
    <w:rsid w:val="00213890"/>
    <w:rsid w:val="00214E52"/>
    <w:rsid w:val="002207C0"/>
    <w:rsid w:val="00224B93"/>
    <w:rsid w:val="0023676E"/>
    <w:rsid w:val="00237B30"/>
    <w:rsid w:val="002414B6"/>
    <w:rsid w:val="002422EB"/>
    <w:rsid w:val="00242397"/>
    <w:rsid w:val="002473B8"/>
    <w:rsid w:val="00250DD1"/>
    <w:rsid w:val="00251183"/>
    <w:rsid w:val="00251689"/>
    <w:rsid w:val="0025267C"/>
    <w:rsid w:val="00253B6B"/>
    <w:rsid w:val="00253D3A"/>
    <w:rsid w:val="002633C5"/>
    <w:rsid w:val="00265656"/>
    <w:rsid w:val="00265E77"/>
    <w:rsid w:val="00266155"/>
    <w:rsid w:val="0027270B"/>
    <w:rsid w:val="00277B3C"/>
    <w:rsid w:val="00281D94"/>
    <w:rsid w:val="00282FE9"/>
    <w:rsid w:val="002838C8"/>
    <w:rsid w:val="002849C3"/>
    <w:rsid w:val="00284FE0"/>
    <w:rsid w:val="00290805"/>
    <w:rsid w:val="00290C2A"/>
    <w:rsid w:val="002931DD"/>
    <w:rsid w:val="00293229"/>
    <w:rsid w:val="00295AAC"/>
    <w:rsid w:val="0029679D"/>
    <w:rsid w:val="002A0E7C"/>
    <w:rsid w:val="002A21ED"/>
    <w:rsid w:val="002A3F88"/>
    <w:rsid w:val="002A49A4"/>
    <w:rsid w:val="002A4F46"/>
    <w:rsid w:val="002B0F11"/>
    <w:rsid w:val="002B5DC6"/>
    <w:rsid w:val="002B7360"/>
    <w:rsid w:val="002B7B35"/>
    <w:rsid w:val="002B7BC6"/>
    <w:rsid w:val="002C1131"/>
    <w:rsid w:val="002C1B18"/>
    <w:rsid w:val="002C4FA8"/>
    <w:rsid w:val="002C55FF"/>
    <w:rsid w:val="002C592B"/>
    <w:rsid w:val="002C614C"/>
    <w:rsid w:val="002C65B1"/>
    <w:rsid w:val="002C687D"/>
    <w:rsid w:val="002C6B04"/>
    <w:rsid w:val="002D0113"/>
    <w:rsid w:val="002E1E9A"/>
    <w:rsid w:val="002E3A90"/>
    <w:rsid w:val="002E46CC"/>
    <w:rsid w:val="002E4F48"/>
    <w:rsid w:val="002E62CB"/>
    <w:rsid w:val="002E6BC5"/>
    <w:rsid w:val="002E6DF1"/>
    <w:rsid w:val="002E6ED9"/>
    <w:rsid w:val="002F0957"/>
    <w:rsid w:val="002F41AD"/>
    <w:rsid w:val="002F43F6"/>
    <w:rsid w:val="002F71D5"/>
    <w:rsid w:val="00301490"/>
    <w:rsid w:val="003020BB"/>
    <w:rsid w:val="00304393"/>
    <w:rsid w:val="00304FAA"/>
    <w:rsid w:val="00305AB2"/>
    <w:rsid w:val="00305E65"/>
    <w:rsid w:val="00306A58"/>
    <w:rsid w:val="0031032B"/>
    <w:rsid w:val="00316E87"/>
    <w:rsid w:val="0032453E"/>
    <w:rsid w:val="00325053"/>
    <w:rsid w:val="003256A4"/>
    <w:rsid w:val="003256AC"/>
    <w:rsid w:val="0033129D"/>
    <w:rsid w:val="003320ED"/>
    <w:rsid w:val="003346D5"/>
    <w:rsid w:val="0033480E"/>
    <w:rsid w:val="003359B2"/>
    <w:rsid w:val="003364A7"/>
    <w:rsid w:val="00337123"/>
    <w:rsid w:val="00340C6E"/>
    <w:rsid w:val="00341866"/>
    <w:rsid w:val="003459A6"/>
    <w:rsid w:val="00346BB5"/>
    <w:rsid w:val="003501E6"/>
    <w:rsid w:val="003535E0"/>
    <w:rsid w:val="0036399B"/>
    <w:rsid w:val="00366F56"/>
    <w:rsid w:val="003737C8"/>
    <w:rsid w:val="00373BF7"/>
    <w:rsid w:val="0037589D"/>
    <w:rsid w:val="00376BB1"/>
    <w:rsid w:val="00377AA7"/>
    <w:rsid w:val="00377E23"/>
    <w:rsid w:val="0038277C"/>
    <w:rsid w:val="003909E0"/>
    <w:rsid w:val="00391187"/>
    <w:rsid w:val="00393E09"/>
    <w:rsid w:val="00395B15"/>
    <w:rsid w:val="00396026"/>
    <w:rsid w:val="00396AB6"/>
    <w:rsid w:val="003A1CFF"/>
    <w:rsid w:val="003A3E2F"/>
    <w:rsid w:val="003A57F6"/>
    <w:rsid w:val="003A67AD"/>
    <w:rsid w:val="003A6CCB"/>
    <w:rsid w:val="003B10C4"/>
    <w:rsid w:val="003B1E4C"/>
    <w:rsid w:val="003B48EB"/>
    <w:rsid w:val="003B59EA"/>
    <w:rsid w:val="003B5C3C"/>
    <w:rsid w:val="003B6AD3"/>
    <w:rsid w:val="003C108D"/>
    <w:rsid w:val="003C1956"/>
    <w:rsid w:val="003C1F41"/>
    <w:rsid w:val="003C33FF"/>
    <w:rsid w:val="003C64A5"/>
    <w:rsid w:val="003C7D32"/>
    <w:rsid w:val="003D03CC"/>
    <w:rsid w:val="003D4BB7"/>
    <w:rsid w:val="003E0116"/>
    <w:rsid w:val="003E26C3"/>
    <w:rsid w:val="003E2DF2"/>
    <w:rsid w:val="003E4F5A"/>
    <w:rsid w:val="003E5FB9"/>
    <w:rsid w:val="003E7E1B"/>
    <w:rsid w:val="003F0C23"/>
    <w:rsid w:val="003F0D6C"/>
    <w:rsid w:val="003F0F26"/>
    <w:rsid w:val="003F12D9"/>
    <w:rsid w:val="003F1B4C"/>
    <w:rsid w:val="003F2291"/>
    <w:rsid w:val="003F74E9"/>
    <w:rsid w:val="004008F6"/>
    <w:rsid w:val="00401B66"/>
    <w:rsid w:val="0040525B"/>
    <w:rsid w:val="004053ED"/>
    <w:rsid w:val="004071D2"/>
    <w:rsid w:val="00412BBE"/>
    <w:rsid w:val="00413208"/>
    <w:rsid w:val="00414B20"/>
    <w:rsid w:val="00417DE3"/>
    <w:rsid w:val="00420850"/>
    <w:rsid w:val="00423968"/>
    <w:rsid w:val="00423E84"/>
    <w:rsid w:val="00427054"/>
    <w:rsid w:val="004304B1"/>
    <w:rsid w:val="0043320A"/>
    <w:rsid w:val="004332E3"/>
    <w:rsid w:val="00434C26"/>
    <w:rsid w:val="0043665F"/>
    <w:rsid w:val="004367CA"/>
    <w:rsid w:val="004518A6"/>
    <w:rsid w:val="00453E1D"/>
    <w:rsid w:val="00453EBA"/>
    <w:rsid w:val="00454589"/>
    <w:rsid w:val="00455BFF"/>
    <w:rsid w:val="00456ED0"/>
    <w:rsid w:val="00457550"/>
    <w:rsid w:val="004726FC"/>
    <w:rsid w:val="00474C50"/>
    <w:rsid w:val="004771F9"/>
    <w:rsid w:val="004819E4"/>
    <w:rsid w:val="00486006"/>
    <w:rsid w:val="00486BAD"/>
    <w:rsid w:val="00486BBE"/>
    <w:rsid w:val="00487123"/>
    <w:rsid w:val="00493D6D"/>
    <w:rsid w:val="00493E22"/>
    <w:rsid w:val="00495AE3"/>
    <w:rsid w:val="00495BDE"/>
    <w:rsid w:val="004A0546"/>
    <w:rsid w:val="004A0E4C"/>
    <w:rsid w:val="004A1BD5"/>
    <w:rsid w:val="004A20A7"/>
    <w:rsid w:val="004A61E1"/>
    <w:rsid w:val="004B2344"/>
    <w:rsid w:val="004B4211"/>
    <w:rsid w:val="004B5DDC"/>
    <w:rsid w:val="004B67CA"/>
    <w:rsid w:val="004B798E"/>
    <w:rsid w:val="004C2ABD"/>
    <w:rsid w:val="004C2D90"/>
    <w:rsid w:val="004C3F0A"/>
    <w:rsid w:val="004D3E58"/>
    <w:rsid w:val="004D61D6"/>
    <w:rsid w:val="004D62E4"/>
    <w:rsid w:val="004D6746"/>
    <w:rsid w:val="004D767B"/>
    <w:rsid w:val="004E0F32"/>
    <w:rsid w:val="004E23A1"/>
    <w:rsid w:val="004E6382"/>
    <w:rsid w:val="004E7092"/>
    <w:rsid w:val="004E7ECE"/>
    <w:rsid w:val="004F0034"/>
    <w:rsid w:val="004F6F64"/>
    <w:rsid w:val="005004EC"/>
    <w:rsid w:val="00507A93"/>
    <w:rsid w:val="0051014D"/>
    <w:rsid w:val="005108D6"/>
    <w:rsid w:val="005125B2"/>
    <w:rsid w:val="0051422F"/>
    <w:rsid w:val="005143C0"/>
    <w:rsid w:val="00517756"/>
    <w:rsid w:val="00517800"/>
    <w:rsid w:val="005202C6"/>
    <w:rsid w:val="00523C53"/>
    <w:rsid w:val="00527B8F"/>
    <w:rsid w:val="00534D02"/>
    <w:rsid w:val="0053545C"/>
    <w:rsid w:val="005372A4"/>
    <w:rsid w:val="00542012"/>
    <w:rsid w:val="00543DF5"/>
    <w:rsid w:val="00551FBB"/>
    <w:rsid w:val="0055260D"/>
    <w:rsid w:val="00555422"/>
    <w:rsid w:val="00555810"/>
    <w:rsid w:val="005600F3"/>
    <w:rsid w:val="005605F0"/>
    <w:rsid w:val="00561FA6"/>
    <w:rsid w:val="00562095"/>
    <w:rsid w:val="00562DCA"/>
    <w:rsid w:val="0056568F"/>
    <w:rsid w:val="00571084"/>
    <w:rsid w:val="0057152B"/>
    <w:rsid w:val="00582578"/>
    <w:rsid w:val="0059040F"/>
    <w:rsid w:val="005A49C7"/>
    <w:rsid w:val="005B04A8"/>
    <w:rsid w:val="005B1D19"/>
    <w:rsid w:val="005B28AD"/>
    <w:rsid w:val="005B2A3F"/>
    <w:rsid w:val="005B328D"/>
    <w:rsid w:val="005B3503"/>
    <w:rsid w:val="005B3EE7"/>
    <w:rsid w:val="005B4DCD"/>
    <w:rsid w:val="005B4FAD"/>
    <w:rsid w:val="005C089D"/>
    <w:rsid w:val="005C7E55"/>
    <w:rsid w:val="005D09C0"/>
    <w:rsid w:val="005D1576"/>
    <w:rsid w:val="005D380C"/>
    <w:rsid w:val="005D6E04"/>
    <w:rsid w:val="005D7A12"/>
    <w:rsid w:val="005D7F7C"/>
    <w:rsid w:val="005E53EE"/>
    <w:rsid w:val="005E5620"/>
    <w:rsid w:val="005F0542"/>
    <w:rsid w:val="005F07DD"/>
    <w:rsid w:val="005F0F72"/>
    <w:rsid w:val="005F1C1F"/>
    <w:rsid w:val="005F346D"/>
    <w:rsid w:val="005F38FB"/>
    <w:rsid w:val="005F5F38"/>
    <w:rsid w:val="005F5FEC"/>
    <w:rsid w:val="00602D3B"/>
    <w:rsid w:val="0060650A"/>
    <w:rsid w:val="00606EA1"/>
    <w:rsid w:val="00610451"/>
    <w:rsid w:val="006128F0"/>
    <w:rsid w:val="006139FC"/>
    <w:rsid w:val="0061726B"/>
    <w:rsid w:val="0062387A"/>
    <w:rsid w:val="00626243"/>
    <w:rsid w:val="0062784C"/>
    <w:rsid w:val="006333DB"/>
    <w:rsid w:val="0063377D"/>
    <w:rsid w:val="006344BE"/>
    <w:rsid w:val="006347D0"/>
    <w:rsid w:val="00634A66"/>
    <w:rsid w:val="00640336"/>
    <w:rsid w:val="00640FC9"/>
    <w:rsid w:val="006414D2"/>
    <w:rsid w:val="0064307B"/>
    <w:rsid w:val="006432F2"/>
    <w:rsid w:val="0065320F"/>
    <w:rsid w:val="00653D64"/>
    <w:rsid w:val="00654E13"/>
    <w:rsid w:val="00655CEF"/>
    <w:rsid w:val="00661379"/>
    <w:rsid w:val="00667489"/>
    <w:rsid w:val="00670D44"/>
    <w:rsid w:val="00671047"/>
    <w:rsid w:val="0067221D"/>
    <w:rsid w:val="00676678"/>
    <w:rsid w:val="00676AFC"/>
    <w:rsid w:val="006773C0"/>
    <w:rsid w:val="006807CD"/>
    <w:rsid w:val="00682D43"/>
    <w:rsid w:val="00682DF6"/>
    <w:rsid w:val="00685BAF"/>
    <w:rsid w:val="00686F24"/>
    <w:rsid w:val="0069249C"/>
    <w:rsid w:val="00693629"/>
    <w:rsid w:val="006A0D03"/>
    <w:rsid w:val="006A2DB8"/>
    <w:rsid w:val="006A41E9"/>
    <w:rsid w:val="006B12CB"/>
    <w:rsid w:val="006B15F7"/>
    <w:rsid w:val="006B5916"/>
    <w:rsid w:val="006C3C75"/>
    <w:rsid w:val="006C4775"/>
    <w:rsid w:val="006C4F4A"/>
    <w:rsid w:val="006C5E80"/>
    <w:rsid w:val="006C7CEE"/>
    <w:rsid w:val="006D075E"/>
    <w:rsid w:val="006D574F"/>
    <w:rsid w:val="006D7BBC"/>
    <w:rsid w:val="006D7C6E"/>
    <w:rsid w:val="006E1ABC"/>
    <w:rsid w:val="006E2F95"/>
    <w:rsid w:val="006E4ACA"/>
    <w:rsid w:val="006F0C96"/>
    <w:rsid w:val="00702105"/>
    <w:rsid w:val="00705572"/>
    <w:rsid w:val="00705EAF"/>
    <w:rsid w:val="007101CC"/>
    <w:rsid w:val="00716183"/>
    <w:rsid w:val="00724E3B"/>
    <w:rsid w:val="00725EEA"/>
    <w:rsid w:val="00730CE9"/>
    <w:rsid w:val="0073373D"/>
    <w:rsid w:val="00736C8D"/>
    <w:rsid w:val="0073723F"/>
    <w:rsid w:val="00741D11"/>
    <w:rsid w:val="00741EC0"/>
    <w:rsid w:val="007439DB"/>
    <w:rsid w:val="007458EF"/>
    <w:rsid w:val="007568D8"/>
    <w:rsid w:val="00757CE7"/>
    <w:rsid w:val="0076226E"/>
    <w:rsid w:val="007628E9"/>
    <w:rsid w:val="00765316"/>
    <w:rsid w:val="00766EA0"/>
    <w:rsid w:val="00767096"/>
    <w:rsid w:val="007708C8"/>
    <w:rsid w:val="0077539E"/>
    <w:rsid w:val="0077719D"/>
    <w:rsid w:val="00780DF0"/>
    <w:rsid w:val="00782F0F"/>
    <w:rsid w:val="00787482"/>
    <w:rsid w:val="00790C41"/>
    <w:rsid w:val="007A286D"/>
    <w:rsid w:val="007A38DF"/>
    <w:rsid w:val="007A496B"/>
    <w:rsid w:val="007B0EB9"/>
    <w:rsid w:val="007B20CF"/>
    <w:rsid w:val="007B2499"/>
    <w:rsid w:val="007B4F30"/>
    <w:rsid w:val="007B6C71"/>
    <w:rsid w:val="007B72E1"/>
    <w:rsid w:val="007B783A"/>
    <w:rsid w:val="007C1B95"/>
    <w:rsid w:val="007C4537"/>
    <w:rsid w:val="007D1DC9"/>
    <w:rsid w:val="007D2D2A"/>
    <w:rsid w:val="007D444E"/>
    <w:rsid w:val="007D6B9A"/>
    <w:rsid w:val="007D73FB"/>
    <w:rsid w:val="007E00E0"/>
    <w:rsid w:val="007E245D"/>
    <w:rsid w:val="007E2F2D"/>
    <w:rsid w:val="007E50F4"/>
    <w:rsid w:val="007F1433"/>
    <w:rsid w:val="007F1491"/>
    <w:rsid w:val="007F2F03"/>
    <w:rsid w:val="007F3958"/>
    <w:rsid w:val="00800FE0"/>
    <w:rsid w:val="008066AD"/>
    <w:rsid w:val="008141D1"/>
    <w:rsid w:val="00814AF1"/>
    <w:rsid w:val="0081517F"/>
    <w:rsid w:val="00815370"/>
    <w:rsid w:val="0082153D"/>
    <w:rsid w:val="008255AA"/>
    <w:rsid w:val="00825877"/>
    <w:rsid w:val="008309DE"/>
    <w:rsid w:val="00830FF3"/>
    <w:rsid w:val="008329AB"/>
    <w:rsid w:val="008334BF"/>
    <w:rsid w:val="0083384B"/>
    <w:rsid w:val="0083392D"/>
    <w:rsid w:val="008357AE"/>
    <w:rsid w:val="00836B8C"/>
    <w:rsid w:val="00840062"/>
    <w:rsid w:val="008410C5"/>
    <w:rsid w:val="008434D0"/>
    <w:rsid w:val="008452E9"/>
    <w:rsid w:val="00846C08"/>
    <w:rsid w:val="008474C3"/>
    <w:rsid w:val="00852D39"/>
    <w:rsid w:val="008530E7"/>
    <w:rsid w:val="00856BDB"/>
    <w:rsid w:val="00857675"/>
    <w:rsid w:val="008579E3"/>
    <w:rsid w:val="00860ACF"/>
    <w:rsid w:val="00862074"/>
    <w:rsid w:val="00865EB4"/>
    <w:rsid w:val="00872C7A"/>
    <w:rsid w:val="00875EC3"/>
    <w:rsid w:val="008763E7"/>
    <w:rsid w:val="008808C5"/>
    <w:rsid w:val="00881A7C"/>
    <w:rsid w:val="00883C78"/>
    <w:rsid w:val="00885159"/>
    <w:rsid w:val="00885214"/>
    <w:rsid w:val="0088576F"/>
    <w:rsid w:val="00887615"/>
    <w:rsid w:val="00890052"/>
    <w:rsid w:val="00890223"/>
    <w:rsid w:val="00894E3A"/>
    <w:rsid w:val="00895A2F"/>
    <w:rsid w:val="00896B6A"/>
    <w:rsid w:val="00896EBD"/>
    <w:rsid w:val="008A5665"/>
    <w:rsid w:val="008A7077"/>
    <w:rsid w:val="008B24A8"/>
    <w:rsid w:val="008B25E4"/>
    <w:rsid w:val="008B3D78"/>
    <w:rsid w:val="008B558D"/>
    <w:rsid w:val="008B7326"/>
    <w:rsid w:val="008B7375"/>
    <w:rsid w:val="008C158F"/>
    <w:rsid w:val="008C2574"/>
    <w:rsid w:val="008C261B"/>
    <w:rsid w:val="008C4FCA"/>
    <w:rsid w:val="008C7747"/>
    <w:rsid w:val="008C7882"/>
    <w:rsid w:val="008D2261"/>
    <w:rsid w:val="008D4C28"/>
    <w:rsid w:val="008D577B"/>
    <w:rsid w:val="008D7A98"/>
    <w:rsid w:val="008E17C4"/>
    <w:rsid w:val="008E45C4"/>
    <w:rsid w:val="008E49A8"/>
    <w:rsid w:val="008E64B1"/>
    <w:rsid w:val="008E64FA"/>
    <w:rsid w:val="008E74ED"/>
    <w:rsid w:val="008F4DEF"/>
    <w:rsid w:val="008F5150"/>
    <w:rsid w:val="008F6EED"/>
    <w:rsid w:val="008F722E"/>
    <w:rsid w:val="00901460"/>
    <w:rsid w:val="00903D0D"/>
    <w:rsid w:val="009048E1"/>
    <w:rsid w:val="0090598C"/>
    <w:rsid w:val="00905EFE"/>
    <w:rsid w:val="009071BB"/>
    <w:rsid w:val="0091156C"/>
    <w:rsid w:val="00913885"/>
    <w:rsid w:val="009158F4"/>
    <w:rsid w:val="0091702A"/>
    <w:rsid w:val="009179AB"/>
    <w:rsid w:val="0092204B"/>
    <w:rsid w:val="0092323A"/>
    <w:rsid w:val="0093049B"/>
    <w:rsid w:val="00931D41"/>
    <w:rsid w:val="00932DB3"/>
    <w:rsid w:val="00933D18"/>
    <w:rsid w:val="009401A4"/>
    <w:rsid w:val="00942221"/>
    <w:rsid w:val="00943A7C"/>
    <w:rsid w:val="00944920"/>
    <w:rsid w:val="00950FBB"/>
    <w:rsid w:val="0095122F"/>
    <w:rsid w:val="00952EFC"/>
    <w:rsid w:val="00953349"/>
    <w:rsid w:val="00954E0C"/>
    <w:rsid w:val="00955D3A"/>
    <w:rsid w:val="00956049"/>
    <w:rsid w:val="00957ECA"/>
    <w:rsid w:val="00961156"/>
    <w:rsid w:val="0096242E"/>
    <w:rsid w:val="00964F03"/>
    <w:rsid w:val="00966039"/>
    <w:rsid w:val="00966088"/>
    <w:rsid w:val="00966F1F"/>
    <w:rsid w:val="00974D92"/>
    <w:rsid w:val="00975676"/>
    <w:rsid w:val="00976467"/>
    <w:rsid w:val="00976D32"/>
    <w:rsid w:val="00983B28"/>
    <w:rsid w:val="009844F7"/>
    <w:rsid w:val="00985EB2"/>
    <w:rsid w:val="009869E1"/>
    <w:rsid w:val="009938F7"/>
    <w:rsid w:val="009A05AA"/>
    <w:rsid w:val="009A2D5A"/>
    <w:rsid w:val="009A39E5"/>
    <w:rsid w:val="009A5A24"/>
    <w:rsid w:val="009B20F8"/>
    <w:rsid w:val="009B2C7E"/>
    <w:rsid w:val="009B6DBD"/>
    <w:rsid w:val="009B707B"/>
    <w:rsid w:val="009C044B"/>
    <w:rsid w:val="009C05CE"/>
    <w:rsid w:val="009C108A"/>
    <w:rsid w:val="009C2E47"/>
    <w:rsid w:val="009C4611"/>
    <w:rsid w:val="009C52C9"/>
    <w:rsid w:val="009C6BFB"/>
    <w:rsid w:val="009D0C05"/>
    <w:rsid w:val="009D2F36"/>
    <w:rsid w:val="009E2C00"/>
    <w:rsid w:val="009E49AD"/>
    <w:rsid w:val="009E70F4"/>
    <w:rsid w:val="009F1413"/>
    <w:rsid w:val="009F1AD2"/>
    <w:rsid w:val="009F5FEC"/>
    <w:rsid w:val="00A0479E"/>
    <w:rsid w:val="00A064AB"/>
    <w:rsid w:val="00A07979"/>
    <w:rsid w:val="00A11755"/>
    <w:rsid w:val="00A20571"/>
    <w:rsid w:val="00A207FB"/>
    <w:rsid w:val="00A24016"/>
    <w:rsid w:val="00A24381"/>
    <w:rsid w:val="00A261FB"/>
    <w:rsid w:val="00A265BF"/>
    <w:rsid w:val="00A26F44"/>
    <w:rsid w:val="00A337FB"/>
    <w:rsid w:val="00A34FAB"/>
    <w:rsid w:val="00A365F3"/>
    <w:rsid w:val="00A378E9"/>
    <w:rsid w:val="00A41A0B"/>
    <w:rsid w:val="00A42553"/>
    <w:rsid w:val="00A42DC6"/>
    <w:rsid w:val="00A4313D"/>
    <w:rsid w:val="00A50120"/>
    <w:rsid w:val="00A60351"/>
    <w:rsid w:val="00A61C6D"/>
    <w:rsid w:val="00A63015"/>
    <w:rsid w:val="00A63627"/>
    <w:rsid w:val="00A66254"/>
    <w:rsid w:val="00A666E6"/>
    <w:rsid w:val="00A669B0"/>
    <w:rsid w:val="00A678B4"/>
    <w:rsid w:val="00A704A3"/>
    <w:rsid w:val="00A72EB9"/>
    <w:rsid w:val="00A75E23"/>
    <w:rsid w:val="00A7727C"/>
    <w:rsid w:val="00A82AA0"/>
    <w:rsid w:val="00A82F8A"/>
    <w:rsid w:val="00A84BF0"/>
    <w:rsid w:val="00A852F0"/>
    <w:rsid w:val="00A85F8B"/>
    <w:rsid w:val="00A9226B"/>
    <w:rsid w:val="00A94BF6"/>
    <w:rsid w:val="00A9575C"/>
    <w:rsid w:val="00A95B56"/>
    <w:rsid w:val="00A96856"/>
    <w:rsid w:val="00A969AF"/>
    <w:rsid w:val="00A972F8"/>
    <w:rsid w:val="00AA2AAC"/>
    <w:rsid w:val="00AA7057"/>
    <w:rsid w:val="00AB0844"/>
    <w:rsid w:val="00AB0F36"/>
    <w:rsid w:val="00AB1A2E"/>
    <w:rsid w:val="00AB2866"/>
    <w:rsid w:val="00AB328A"/>
    <w:rsid w:val="00AB4918"/>
    <w:rsid w:val="00AB4BC8"/>
    <w:rsid w:val="00AB61FC"/>
    <w:rsid w:val="00AB6BA7"/>
    <w:rsid w:val="00AB7BE8"/>
    <w:rsid w:val="00AC229A"/>
    <w:rsid w:val="00AC6E20"/>
    <w:rsid w:val="00AD0710"/>
    <w:rsid w:val="00AD4DB9"/>
    <w:rsid w:val="00AD5A9C"/>
    <w:rsid w:val="00AD63C0"/>
    <w:rsid w:val="00AD6EC7"/>
    <w:rsid w:val="00AE2CF7"/>
    <w:rsid w:val="00AE35B2"/>
    <w:rsid w:val="00AE6AA0"/>
    <w:rsid w:val="00B013D9"/>
    <w:rsid w:val="00B0163F"/>
    <w:rsid w:val="00B02FEA"/>
    <w:rsid w:val="00B032FC"/>
    <w:rsid w:val="00B05E94"/>
    <w:rsid w:val="00B06C90"/>
    <w:rsid w:val="00B119A2"/>
    <w:rsid w:val="00B177F2"/>
    <w:rsid w:val="00B201F1"/>
    <w:rsid w:val="00B22A1C"/>
    <w:rsid w:val="00B22F49"/>
    <w:rsid w:val="00B237C6"/>
    <w:rsid w:val="00B24CE1"/>
    <w:rsid w:val="00B304E7"/>
    <w:rsid w:val="00B31334"/>
    <w:rsid w:val="00B318B6"/>
    <w:rsid w:val="00B41F47"/>
    <w:rsid w:val="00B5330B"/>
    <w:rsid w:val="00B57DE2"/>
    <w:rsid w:val="00B60AC9"/>
    <w:rsid w:val="00B62680"/>
    <w:rsid w:val="00B67323"/>
    <w:rsid w:val="00B70E37"/>
    <w:rsid w:val="00B715F2"/>
    <w:rsid w:val="00B74071"/>
    <w:rsid w:val="00B7428E"/>
    <w:rsid w:val="00B74B67"/>
    <w:rsid w:val="00B779AA"/>
    <w:rsid w:val="00B81C95"/>
    <w:rsid w:val="00B82330"/>
    <w:rsid w:val="00B82533"/>
    <w:rsid w:val="00B82ED4"/>
    <w:rsid w:val="00B83ABB"/>
    <w:rsid w:val="00B8424F"/>
    <w:rsid w:val="00B86896"/>
    <w:rsid w:val="00B875A6"/>
    <w:rsid w:val="00B906C9"/>
    <w:rsid w:val="00B9119B"/>
    <w:rsid w:val="00B93E4C"/>
    <w:rsid w:val="00B94A1B"/>
    <w:rsid w:val="00BA2037"/>
    <w:rsid w:val="00BA59F1"/>
    <w:rsid w:val="00BA5C89"/>
    <w:rsid w:val="00BB4CE2"/>
    <w:rsid w:val="00BB56F6"/>
    <w:rsid w:val="00BB5EF0"/>
    <w:rsid w:val="00BB6724"/>
    <w:rsid w:val="00BB69FC"/>
    <w:rsid w:val="00BB6ECA"/>
    <w:rsid w:val="00BB7A8B"/>
    <w:rsid w:val="00BC0EFB"/>
    <w:rsid w:val="00BC2E39"/>
    <w:rsid w:val="00BC61E4"/>
    <w:rsid w:val="00BC63B7"/>
    <w:rsid w:val="00BD2364"/>
    <w:rsid w:val="00BD28E3"/>
    <w:rsid w:val="00BD783B"/>
    <w:rsid w:val="00BE3261"/>
    <w:rsid w:val="00BE5C93"/>
    <w:rsid w:val="00BF58FC"/>
    <w:rsid w:val="00C01F77"/>
    <w:rsid w:val="00C01FDD"/>
    <w:rsid w:val="00C01FFC"/>
    <w:rsid w:val="00C0305F"/>
    <w:rsid w:val="00C04D25"/>
    <w:rsid w:val="00C0568B"/>
    <w:rsid w:val="00C06AE4"/>
    <w:rsid w:val="00C11139"/>
    <w:rsid w:val="00C114FF"/>
    <w:rsid w:val="00C14517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F01"/>
    <w:rsid w:val="00C47133"/>
    <w:rsid w:val="00C47552"/>
    <w:rsid w:val="00C53ED7"/>
    <w:rsid w:val="00C56589"/>
    <w:rsid w:val="00C57A81"/>
    <w:rsid w:val="00C60193"/>
    <w:rsid w:val="00C634D4"/>
    <w:rsid w:val="00C637D5"/>
    <w:rsid w:val="00C63AA5"/>
    <w:rsid w:val="00C63CF7"/>
    <w:rsid w:val="00C65071"/>
    <w:rsid w:val="00C65D2D"/>
    <w:rsid w:val="00C6727C"/>
    <w:rsid w:val="00C6744C"/>
    <w:rsid w:val="00C73134"/>
    <w:rsid w:val="00C73F6D"/>
    <w:rsid w:val="00C74644"/>
    <w:rsid w:val="00C74F6E"/>
    <w:rsid w:val="00C77FA4"/>
    <w:rsid w:val="00C77FFA"/>
    <w:rsid w:val="00C80401"/>
    <w:rsid w:val="00C81B02"/>
    <w:rsid w:val="00C81C97"/>
    <w:rsid w:val="00C83EDB"/>
    <w:rsid w:val="00C840C2"/>
    <w:rsid w:val="00C84101"/>
    <w:rsid w:val="00C8535F"/>
    <w:rsid w:val="00C90EDA"/>
    <w:rsid w:val="00C959E7"/>
    <w:rsid w:val="00C96C56"/>
    <w:rsid w:val="00CA4021"/>
    <w:rsid w:val="00CA6CBD"/>
    <w:rsid w:val="00CB6DE4"/>
    <w:rsid w:val="00CC159C"/>
    <w:rsid w:val="00CC1E65"/>
    <w:rsid w:val="00CC3D1E"/>
    <w:rsid w:val="00CC567A"/>
    <w:rsid w:val="00CD2D11"/>
    <w:rsid w:val="00CD32A9"/>
    <w:rsid w:val="00CD4059"/>
    <w:rsid w:val="00CD4E5A"/>
    <w:rsid w:val="00CE03CE"/>
    <w:rsid w:val="00CE1568"/>
    <w:rsid w:val="00CE200F"/>
    <w:rsid w:val="00CE3516"/>
    <w:rsid w:val="00CF0DFF"/>
    <w:rsid w:val="00D012B8"/>
    <w:rsid w:val="00D020B1"/>
    <w:rsid w:val="00D028A9"/>
    <w:rsid w:val="00D0359D"/>
    <w:rsid w:val="00D04DED"/>
    <w:rsid w:val="00D05BBE"/>
    <w:rsid w:val="00D1089A"/>
    <w:rsid w:val="00D1123C"/>
    <w:rsid w:val="00D116BD"/>
    <w:rsid w:val="00D127CF"/>
    <w:rsid w:val="00D159FD"/>
    <w:rsid w:val="00D16577"/>
    <w:rsid w:val="00D16827"/>
    <w:rsid w:val="00D2001A"/>
    <w:rsid w:val="00D20684"/>
    <w:rsid w:val="00D20AC9"/>
    <w:rsid w:val="00D20C81"/>
    <w:rsid w:val="00D26B62"/>
    <w:rsid w:val="00D30784"/>
    <w:rsid w:val="00D34394"/>
    <w:rsid w:val="00D3691A"/>
    <w:rsid w:val="00D377E2"/>
    <w:rsid w:val="00D400CC"/>
    <w:rsid w:val="00D42DCB"/>
    <w:rsid w:val="00D42F39"/>
    <w:rsid w:val="00D43847"/>
    <w:rsid w:val="00D45482"/>
    <w:rsid w:val="00D46DF2"/>
    <w:rsid w:val="00D46EB9"/>
    <w:rsid w:val="00D47046"/>
    <w:rsid w:val="00D47674"/>
    <w:rsid w:val="00D5338C"/>
    <w:rsid w:val="00D539F4"/>
    <w:rsid w:val="00D53D6B"/>
    <w:rsid w:val="00D603C3"/>
    <w:rsid w:val="00D606B2"/>
    <w:rsid w:val="00D625A7"/>
    <w:rsid w:val="00D63260"/>
    <w:rsid w:val="00D64074"/>
    <w:rsid w:val="00D65777"/>
    <w:rsid w:val="00D65BAB"/>
    <w:rsid w:val="00D71EA5"/>
    <w:rsid w:val="00D728A0"/>
    <w:rsid w:val="00D74581"/>
    <w:rsid w:val="00D754C6"/>
    <w:rsid w:val="00D778A6"/>
    <w:rsid w:val="00D8342B"/>
    <w:rsid w:val="00D83661"/>
    <w:rsid w:val="00D84DC1"/>
    <w:rsid w:val="00D97E7D"/>
    <w:rsid w:val="00DA5601"/>
    <w:rsid w:val="00DA5FD5"/>
    <w:rsid w:val="00DB0DF8"/>
    <w:rsid w:val="00DB3439"/>
    <w:rsid w:val="00DB3618"/>
    <w:rsid w:val="00DB6C18"/>
    <w:rsid w:val="00DB7C50"/>
    <w:rsid w:val="00DC2946"/>
    <w:rsid w:val="00DC550F"/>
    <w:rsid w:val="00DC64FD"/>
    <w:rsid w:val="00DC6659"/>
    <w:rsid w:val="00DD087C"/>
    <w:rsid w:val="00DD0AA2"/>
    <w:rsid w:val="00DD5FD3"/>
    <w:rsid w:val="00DE0114"/>
    <w:rsid w:val="00DE0218"/>
    <w:rsid w:val="00DE127F"/>
    <w:rsid w:val="00DE3C65"/>
    <w:rsid w:val="00DE424A"/>
    <w:rsid w:val="00DE4419"/>
    <w:rsid w:val="00DE52F6"/>
    <w:rsid w:val="00DE6EDB"/>
    <w:rsid w:val="00DF0ACA"/>
    <w:rsid w:val="00DF2245"/>
    <w:rsid w:val="00DF3614"/>
    <w:rsid w:val="00DF77CF"/>
    <w:rsid w:val="00DF7A33"/>
    <w:rsid w:val="00DF7EED"/>
    <w:rsid w:val="00E0250C"/>
    <w:rsid w:val="00E026E8"/>
    <w:rsid w:val="00E03C8C"/>
    <w:rsid w:val="00E0635F"/>
    <w:rsid w:val="00E06925"/>
    <w:rsid w:val="00E119EF"/>
    <w:rsid w:val="00E13394"/>
    <w:rsid w:val="00E14C47"/>
    <w:rsid w:val="00E22698"/>
    <w:rsid w:val="00E22FE9"/>
    <w:rsid w:val="00E25B7C"/>
    <w:rsid w:val="00E3076B"/>
    <w:rsid w:val="00E36028"/>
    <w:rsid w:val="00E3725B"/>
    <w:rsid w:val="00E434D1"/>
    <w:rsid w:val="00E52C7E"/>
    <w:rsid w:val="00E53E1E"/>
    <w:rsid w:val="00E542EC"/>
    <w:rsid w:val="00E5625C"/>
    <w:rsid w:val="00E56AD2"/>
    <w:rsid w:val="00E56CBB"/>
    <w:rsid w:val="00E61950"/>
    <w:rsid w:val="00E61E51"/>
    <w:rsid w:val="00E6552A"/>
    <w:rsid w:val="00E6707D"/>
    <w:rsid w:val="00E7088D"/>
    <w:rsid w:val="00E70E7C"/>
    <w:rsid w:val="00E71313"/>
    <w:rsid w:val="00E72015"/>
    <w:rsid w:val="00E72059"/>
    <w:rsid w:val="00E72606"/>
    <w:rsid w:val="00E73C3E"/>
    <w:rsid w:val="00E73DB6"/>
    <w:rsid w:val="00E81E0C"/>
    <w:rsid w:val="00E82496"/>
    <w:rsid w:val="00E834CD"/>
    <w:rsid w:val="00E84A20"/>
    <w:rsid w:val="00E84E9D"/>
    <w:rsid w:val="00E86CEE"/>
    <w:rsid w:val="00E935AF"/>
    <w:rsid w:val="00EA4130"/>
    <w:rsid w:val="00EA6121"/>
    <w:rsid w:val="00EB0E20"/>
    <w:rsid w:val="00EB1A80"/>
    <w:rsid w:val="00EB3C28"/>
    <w:rsid w:val="00EB457B"/>
    <w:rsid w:val="00EB7FA8"/>
    <w:rsid w:val="00EC2C3F"/>
    <w:rsid w:val="00EC4F3A"/>
    <w:rsid w:val="00EC5E74"/>
    <w:rsid w:val="00EC63F4"/>
    <w:rsid w:val="00ED205D"/>
    <w:rsid w:val="00ED594D"/>
    <w:rsid w:val="00EE0118"/>
    <w:rsid w:val="00EE2876"/>
    <w:rsid w:val="00EE36E1"/>
    <w:rsid w:val="00EE7B3F"/>
    <w:rsid w:val="00F0054D"/>
    <w:rsid w:val="00F02467"/>
    <w:rsid w:val="00F04D0E"/>
    <w:rsid w:val="00F12214"/>
    <w:rsid w:val="00F12565"/>
    <w:rsid w:val="00F14ACA"/>
    <w:rsid w:val="00F14DF4"/>
    <w:rsid w:val="00F15BE9"/>
    <w:rsid w:val="00F17FD8"/>
    <w:rsid w:val="00F2356B"/>
    <w:rsid w:val="00F23927"/>
    <w:rsid w:val="00F26A05"/>
    <w:rsid w:val="00F27792"/>
    <w:rsid w:val="00F307CE"/>
    <w:rsid w:val="00F37108"/>
    <w:rsid w:val="00F40416"/>
    <w:rsid w:val="00F4203B"/>
    <w:rsid w:val="00F426B4"/>
    <w:rsid w:val="00F43AF2"/>
    <w:rsid w:val="00F47BAA"/>
    <w:rsid w:val="00F50FA5"/>
    <w:rsid w:val="00F52EAB"/>
    <w:rsid w:val="00F61A31"/>
    <w:rsid w:val="00F66E23"/>
    <w:rsid w:val="00F66EA9"/>
    <w:rsid w:val="00F67A2D"/>
    <w:rsid w:val="00F70A1B"/>
    <w:rsid w:val="00F720DF"/>
    <w:rsid w:val="00F72FDF"/>
    <w:rsid w:val="00F75960"/>
    <w:rsid w:val="00F82526"/>
    <w:rsid w:val="00F84672"/>
    <w:rsid w:val="00F84802"/>
    <w:rsid w:val="00F94C71"/>
    <w:rsid w:val="00F95A8C"/>
    <w:rsid w:val="00FA06FD"/>
    <w:rsid w:val="00FA1267"/>
    <w:rsid w:val="00FA29FC"/>
    <w:rsid w:val="00FA515B"/>
    <w:rsid w:val="00FA6B90"/>
    <w:rsid w:val="00FA74CB"/>
    <w:rsid w:val="00FB207A"/>
    <w:rsid w:val="00FB2886"/>
    <w:rsid w:val="00FB466E"/>
    <w:rsid w:val="00FC0B51"/>
    <w:rsid w:val="00FC752C"/>
    <w:rsid w:val="00FD0492"/>
    <w:rsid w:val="00FD081E"/>
    <w:rsid w:val="00FD13EC"/>
    <w:rsid w:val="00FD2FA9"/>
    <w:rsid w:val="00FD4DA8"/>
    <w:rsid w:val="00FD4EEF"/>
    <w:rsid w:val="00FD5461"/>
    <w:rsid w:val="00FD6BDB"/>
    <w:rsid w:val="00FD6F00"/>
    <w:rsid w:val="00FD7B98"/>
    <w:rsid w:val="00FE1AC5"/>
    <w:rsid w:val="00FE6FF3"/>
    <w:rsid w:val="00FF18D2"/>
    <w:rsid w:val="00FF22F5"/>
    <w:rsid w:val="00FF298C"/>
    <w:rsid w:val="00FF37CA"/>
    <w:rsid w:val="00FF4664"/>
    <w:rsid w:val="00FF757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AD12A"/>
  <w15:chartTrackingRefBased/>
  <w15:docId w15:val="{C3912D70-4658-42DA-B57D-DA2FF3C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707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B05E94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B05E9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B05E94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B05E9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B05E9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B05E9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05E9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B05E9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B05E9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B05E9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B05E9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B05E9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05E9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B05E9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05E9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customStyle="1" w:styleId="a">
    <w:rsid w:val="00B05E94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styleId="Sledovanodkaz">
    <w:name w:val="FollowedHyperlink"/>
    <w:rsid w:val="000F65C4"/>
    <w:rPr>
      <w:color w:val="800080"/>
      <w:u w:val="single"/>
    </w:rPr>
  </w:style>
  <w:style w:type="character" w:customStyle="1" w:styleId="BesuchterHyperlink">
    <w:name w:val="BesuchterHyperlink"/>
    <w:rsid w:val="00B05E94"/>
    <w:rPr>
      <w:color w:val="800080"/>
      <w:u w:val="single"/>
    </w:rPr>
  </w:style>
  <w:style w:type="table" w:customStyle="1" w:styleId="Tabellenraster1">
    <w:name w:val="Tabellenraster1"/>
    <w:basedOn w:val="Normlntabulka"/>
    <w:next w:val="Mkatabulky"/>
    <w:uiPriority w:val="39"/>
    <w:rsid w:val="00AE2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587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25877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1A27E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MP_InheritedTags"><![CDATA[((lw133684)(lw133678)(lw133639))((lw137175)(lw133677)(lw133639))((lw133768)(lw133697)(lw133641))((lw134065)(lw133695)(lw133641))((lw134102)(lw134068)(lw133696)(lw133641))((lw134149)(lw133701)(lw133641))((lw134156)(lw133700)(lw133641))((lw134161)(lw133702)(lw133641))((lw142130)(lw133707)(lw133641))((lw142162)(lw133712)(lw133641))((lw142163)(lw133712)(lw133641))((lw142164)(lw133712)(lw133641))((lw55140240)(lw133705)(lw133641))((lw2380769)(lw133708)(lw133641))((lw142486)(lw133710)(lw133641))((lw13657890)(lw133703)(lw133641))((lw2755674)(lw133706)(lw133641))((lw144438)(lw133711)(lw133641))((lw144213)(lw133711)(lw133641))((lw142837)(lw133711)(lw133641))((lw143535)(lw133711)(lw133641))((lw189010)(lw138177)(lw133699)(lw133641))((lw180951)(lw138179)(lw133699)(lw133641))((lw184311)(lw138179)(lw133699)(lw133641))((lw181574)(lw138179)(lw133699)(lw133641))((lw2393446)(lw138179)(lw133699)(lw133641))((lw181795)(lw138179)(lw133699)(lw133641))((lw181023)(lw138179)(lw133699)(lw133641))((lw55114782)(lw137168)(lw133679)(lw133639))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85E93574CC459C18D60734A6CAFF" ma:contentTypeVersion="23" ma:contentTypeDescription="Create a new document." ma:contentTypeScope="" ma:versionID="dc0ff66350ab4ed7be2e90b1d28ef6d4">
  <xsd:schema xmlns:xsd="http://www.w3.org/2001/XMLSchema" xmlns:xs="http://www.w3.org/2001/XMLSchema" xmlns:p="http://schemas.microsoft.com/office/2006/metadata/properties" xmlns:ns1="http://schemas.microsoft.com/sharepoint/v3" xmlns:ns2="8d1f1b81-7007-4c7c-a833-ecde5f9c8d4d" xmlns:ns3="b4a46d46-85d1-4cf4-8f0d-4fade0a13e8a" xmlns:ns4="http://schemas.microsoft.com/sharepoint/v4" targetNamespace="http://schemas.microsoft.com/office/2006/metadata/properties" ma:root="true" ma:fieldsID="b0d08ff3084b9591e873388b35370a4e" ns1:_="" ns2:_="" ns3:_="" ns4:_="">
    <xsd:import namespace="http://schemas.microsoft.com/sharepoint/v3"/>
    <xsd:import namespace="8d1f1b81-7007-4c7c-a833-ecde5f9c8d4d"/>
    <xsd:import namespace="b4a46d46-85d1-4cf4-8f0d-4fade0a13e8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Licence_x0020_Number" minOccurs="0"/>
                <xsd:element ref="ns3:Comments" minOccurs="0"/>
                <xsd:element ref="ns3:From" minOccurs="0"/>
                <xsd:element ref="ns3:To" minOccurs="0"/>
                <xsd:element ref="ns3:Cc" minOccurs="0"/>
                <xsd:element ref="ns3:Bcc" minOccurs="0"/>
                <xsd:element ref="ns3:Date_x0020_Sent_x002f_Received" minOccurs="0"/>
                <xsd:element ref="ns3:Body" minOccurs="0"/>
                <xsd:element ref="ns3:Original_x0020_Nam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ailSender" ma:index="2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8" nillable="true" ma:displayName="E-Mail From" ma:hidden="true" ma:internalName="EmailFrom">
      <xsd:simpleType>
        <xsd:restriction base="dms:Text"/>
      </xsd:simpleType>
    </xsd:element>
    <xsd:element name="EmailSubject" ma:index="2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1b81-7007-4c7c-a833-ecde5f9c8d4d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6d46-85d1-4cf4-8f0d-4fade0a13e8a" elementFormDefault="qualified">
    <xsd:import namespace="http://schemas.microsoft.com/office/2006/documentManagement/types"/>
    <xsd:import namespace="http://schemas.microsoft.com/office/infopath/2007/PartnerControls"/>
    <xsd:element name="Licence_x0020_Number" ma:index="16" nillable="true" ma:displayName="Licence Number" ma:internalName="Licence_x0020_Number">
      <xsd:simpleType>
        <xsd:restriction base="dms:Text"/>
      </xsd:simpleType>
    </xsd:element>
    <xsd:element name="Comments" ma:index="17" nillable="true" ma:displayName="Comments" ma:internalName="Comments">
      <xsd:simpleType>
        <xsd:restriction base="dms:Note"/>
      </xsd:simpleType>
    </xsd:element>
    <xsd:element name="From" ma:index="18" nillable="true" ma:displayName="From" ma:internalName="From">
      <xsd:simpleType>
        <xsd:restriction base="dms:Text"/>
      </xsd:simpleType>
    </xsd:element>
    <xsd:element name="To" ma:index="19" nillable="true" ma:displayName="To" ma:internalName="To">
      <xsd:simpleType>
        <xsd:restriction base="dms:Text"/>
      </xsd:simpleType>
    </xsd:element>
    <xsd:element name="Cc" ma:index="20" nillable="true" ma:displayName="Cc" ma:internalName="Cc">
      <xsd:simpleType>
        <xsd:restriction base="dms:Text"/>
      </xsd:simpleType>
    </xsd:element>
    <xsd:element name="Bcc" ma:index="21" nillable="true" ma:displayName="Bcc" ma:internalName="Bcc">
      <xsd:simpleType>
        <xsd:restriction base="dms:Text"/>
      </xsd:simpleType>
    </xsd:element>
    <xsd:element name="Date_x0020_Sent_x002f_Received" ma:index="22" nillable="true" ma:displayName="Date Sent/Received" ma:internalName="Date_x0020_Sent_x002f_Received">
      <xsd:simpleType>
        <xsd:restriction base="dms:DateTime"/>
      </xsd:simpleType>
    </xsd:element>
    <xsd:element name="Body" ma:index="23" nillable="true" ma:displayName="Body" ma:internalName="Body">
      <xsd:simpleType>
        <xsd:restriction base="dms:Note"/>
      </xsd:simpleType>
    </xsd:element>
    <xsd:element name="Original_x0020_Name" ma:index="24" nillable="true" ma:displayName="Original Name" ma:internalName="Original_x0020_Nam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30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CE40-E124-42D9-A354-BFE6A6B9382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B777F9C-8B57-4072-91F7-E8A360820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4502C-5CA3-4E34-9A73-5E015D631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f1b81-7007-4c7c-a833-ecde5f9c8d4d"/>
    <ds:schemaRef ds:uri="b4a46d46-85d1-4cf4-8f0d-4fade0a13e8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56C2D-AACB-47E3-8C82-D7A395AA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1961</Words>
  <Characters>11575</Characters>
  <Application>Microsoft Office Word</Application>
  <DocSecurity>0</DocSecurity>
  <Lines>96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Neugebauerová Kateřina</cp:lastModifiedBy>
  <cp:revision>79</cp:revision>
  <cp:lastPrinted>2024-10-02T07:24:00Z</cp:lastPrinted>
  <dcterms:created xsi:type="dcterms:W3CDTF">2023-04-18T11:34:00Z</dcterms:created>
  <dcterms:modified xsi:type="dcterms:W3CDTF">2024-10-02T07:25:00Z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MP_InheritedTags">
    <vt:lpwstr>((lw133684)(lw133678)(lw133639))((lw137175)(lw133677)(lw133639))((lw133768)(lw133697)(lw133641))((lw134065)(lw133695)(lw133641))((lw134102)(lw134068)(lw133696)(lw133641))((lw134149)(lw133701)(lw133641))((lw134156)(lw133700)(lw133641))((lw134161)(lw133702)</vt:lpwstr>
  </property>
  <property fmtid="{D5CDD505-2E9C-101B-9397-08002B2CF9AE}" pid="66" name="Licence Number">
    <vt:lpwstr/>
  </property>
  <property fmtid="{D5CDD505-2E9C-101B-9397-08002B2CF9AE}" pid="67" name="From">
    <vt:lpwstr/>
  </property>
  <property fmtid="{D5CDD505-2E9C-101B-9397-08002B2CF9AE}" pid="68" name="Bcc">
    <vt:lpwstr/>
  </property>
  <property fmtid="{D5CDD505-2E9C-101B-9397-08002B2CF9AE}" pid="69" name="Body">
    <vt:lpwstr/>
  </property>
  <property fmtid="{D5CDD505-2E9C-101B-9397-08002B2CF9AE}" pid="70" name="Original Name">
    <vt:lpwstr/>
  </property>
  <property fmtid="{D5CDD505-2E9C-101B-9397-08002B2CF9AE}" pid="71" name="MP_UserTags">
    <vt:lpwstr>((lw133859)(lw133806)(lw133689)(lw133641))</vt:lpwstr>
  </property>
  <property fmtid="{D5CDD505-2E9C-101B-9397-08002B2CF9AE}" pid="72" name="Comments">
    <vt:lpwstr/>
  </property>
  <property fmtid="{D5CDD505-2E9C-101B-9397-08002B2CF9AE}" pid="73" name="To">
    <vt:lpwstr/>
  </property>
  <property fmtid="{D5CDD505-2E9C-101B-9397-08002B2CF9AE}" pid="74" name="Cc">
    <vt:lpwstr/>
  </property>
  <property fmtid="{D5CDD505-2E9C-101B-9397-08002B2CF9AE}" pid="75" name="LikesCount">
    <vt:lpwstr/>
  </property>
  <property fmtid="{D5CDD505-2E9C-101B-9397-08002B2CF9AE}" pid="76" name="Date Sent/Received">
    <vt:lpwstr/>
  </property>
  <property fmtid="{D5CDD505-2E9C-101B-9397-08002B2CF9AE}" pid="77" name="EmailTo">
    <vt:lpwstr/>
  </property>
  <property fmtid="{D5CDD505-2E9C-101B-9397-08002B2CF9AE}" pid="78" name="EmailHeaders">
    <vt:lpwstr/>
  </property>
  <property fmtid="{D5CDD505-2E9C-101B-9397-08002B2CF9AE}" pid="79" name="Ratings">
    <vt:lpwstr/>
  </property>
  <property fmtid="{D5CDD505-2E9C-101B-9397-08002B2CF9AE}" pid="80" name="EmailSender">
    <vt:lpwstr/>
  </property>
  <property fmtid="{D5CDD505-2E9C-101B-9397-08002B2CF9AE}" pid="81" name="EmailFrom">
    <vt:lpwstr/>
  </property>
  <property fmtid="{D5CDD505-2E9C-101B-9397-08002B2CF9AE}" pid="82" name="LikedBy">
    <vt:lpwstr/>
  </property>
  <property fmtid="{D5CDD505-2E9C-101B-9397-08002B2CF9AE}" pid="83" name="EmailSubject">
    <vt:lpwstr/>
  </property>
  <property fmtid="{D5CDD505-2E9C-101B-9397-08002B2CF9AE}" pid="84" name="RatedBy">
    <vt:lpwstr/>
  </property>
  <property fmtid="{D5CDD505-2E9C-101B-9397-08002B2CF9AE}" pid="85" name="EmailCc">
    <vt:lpwstr/>
  </property>
</Properties>
</file>