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C8B49" w14:textId="71601210" w:rsidR="00C114FF" w:rsidRPr="00B41D57" w:rsidRDefault="00D90D40" w:rsidP="00A9226B">
      <w:pPr>
        <w:tabs>
          <w:tab w:val="clear" w:pos="567"/>
        </w:tabs>
        <w:spacing w:line="240" w:lineRule="auto"/>
        <w:jc w:val="center"/>
        <w:rPr>
          <w:szCs w:val="22"/>
        </w:rPr>
      </w:pPr>
      <w:r w:rsidRPr="00B41D57">
        <w:rPr>
          <w:b/>
          <w:szCs w:val="22"/>
        </w:rPr>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D90D40" w:rsidP="00B13B6D">
      <w:pPr>
        <w:pStyle w:val="Style1"/>
      </w:pPr>
      <w:r w:rsidRPr="00B41D57">
        <w:rPr>
          <w:highlight w:val="lightGray"/>
        </w:rPr>
        <w:t>1.</w:t>
      </w:r>
      <w:r w:rsidRPr="00B41D57">
        <w:tab/>
        <w:t>Název veterinárního léčivého přípravku</w:t>
      </w:r>
    </w:p>
    <w:p w14:paraId="15739A9F" w14:textId="77777777" w:rsidR="00C114FF" w:rsidRPr="00B41D57" w:rsidRDefault="00C114FF" w:rsidP="00A9226B">
      <w:pPr>
        <w:tabs>
          <w:tab w:val="clear" w:pos="567"/>
        </w:tabs>
        <w:spacing w:line="240" w:lineRule="auto"/>
        <w:rPr>
          <w:szCs w:val="22"/>
        </w:rPr>
      </w:pPr>
    </w:p>
    <w:p w14:paraId="479B126B" w14:textId="77777777" w:rsidR="005F1178" w:rsidRPr="005F1178" w:rsidRDefault="005F1178" w:rsidP="005F1178">
      <w:pPr>
        <w:tabs>
          <w:tab w:val="left" w:pos="720"/>
        </w:tabs>
        <w:rPr>
          <w:szCs w:val="22"/>
        </w:rPr>
      </w:pPr>
      <w:proofErr w:type="spellStart"/>
      <w:r w:rsidRPr="005F1178">
        <w:rPr>
          <w:szCs w:val="22"/>
        </w:rPr>
        <w:t>Epityl</w:t>
      </w:r>
      <w:proofErr w:type="spellEnd"/>
      <w:r w:rsidRPr="005F1178">
        <w:rPr>
          <w:szCs w:val="22"/>
        </w:rPr>
        <w:t xml:space="preserve"> 60 mg ochucené tablety pro psy</w:t>
      </w:r>
    </w:p>
    <w:p w14:paraId="7B8457B0" w14:textId="77777777" w:rsidR="00C114FF" w:rsidRPr="00B41D57" w:rsidRDefault="00C114FF" w:rsidP="00A9226B">
      <w:pPr>
        <w:tabs>
          <w:tab w:val="clear" w:pos="567"/>
        </w:tabs>
        <w:spacing w:line="240" w:lineRule="auto"/>
        <w:rPr>
          <w:szCs w:val="22"/>
        </w:rPr>
      </w:pPr>
    </w:p>
    <w:p w14:paraId="1F24FE97" w14:textId="77777777" w:rsidR="00C114FF" w:rsidRPr="00B41D57" w:rsidRDefault="00C114FF" w:rsidP="00A9226B">
      <w:pPr>
        <w:tabs>
          <w:tab w:val="clear" w:pos="567"/>
        </w:tabs>
        <w:spacing w:line="240" w:lineRule="auto"/>
        <w:rPr>
          <w:szCs w:val="22"/>
        </w:rPr>
      </w:pPr>
    </w:p>
    <w:p w14:paraId="69479FE0" w14:textId="21DAFB87" w:rsidR="00C114FF" w:rsidRDefault="00D90D40" w:rsidP="00B13B6D">
      <w:pPr>
        <w:pStyle w:val="Style1"/>
      </w:pPr>
      <w:r w:rsidRPr="00B41D57">
        <w:rPr>
          <w:highlight w:val="lightGray"/>
        </w:rPr>
        <w:t>2.</w:t>
      </w:r>
      <w:r w:rsidRPr="00B41D57">
        <w:tab/>
        <w:t>Složení</w:t>
      </w:r>
    </w:p>
    <w:p w14:paraId="68F01C9E" w14:textId="1BE2A978" w:rsidR="005F1178" w:rsidRDefault="005F1178" w:rsidP="00B13B6D">
      <w:pPr>
        <w:pStyle w:val="Style1"/>
      </w:pPr>
    </w:p>
    <w:p w14:paraId="04D0506D" w14:textId="77777777" w:rsidR="005F1178" w:rsidRPr="00F1382B" w:rsidRDefault="005F1178" w:rsidP="005F1178">
      <w:pPr>
        <w:pStyle w:val="Style1"/>
        <w:rPr>
          <w:b w:val="0"/>
          <w:bCs/>
        </w:rPr>
      </w:pPr>
      <w:r w:rsidRPr="00F1382B">
        <w:rPr>
          <w:b w:val="0"/>
          <w:bCs/>
        </w:rPr>
        <w:t>Jedna tableta obsahuje:</w:t>
      </w:r>
    </w:p>
    <w:p w14:paraId="43CA699B" w14:textId="77777777" w:rsidR="005F1178" w:rsidRDefault="005F1178" w:rsidP="005F1178">
      <w:pPr>
        <w:pStyle w:val="Style1"/>
        <w:rPr>
          <w:b w:val="0"/>
          <w:bCs/>
        </w:rPr>
      </w:pPr>
    </w:p>
    <w:p w14:paraId="46AA07B1" w14:textId="206452D5" w:rsidR="005F1178" w:rsidRPr="005F1178" w:rsidRDefault="005F1178" w:rsidP="005F1178">
      <w:pPr>
        <w:pStyle w:val="Style1"/>
      </w:pPr>
      <w:r w:rsidRPr="005F1178">
        <w:t>Léčivá látka:</w:t>
      </w:r>
    </w:p>
    <w:p w14:paraId="03F5DD95" w14:textId="77777777" w:rsidR="005F1178" w:rsidRPr="00F1382B" w:rsidRDefault="005F1178" w:rsidP="005F1178">
      <w:pPr>
        <w:pStyle w:val="Style1"/>
        <w:rPr>
          <w:b w:val="0"/>
          <w:bCs/>
        </w:rPr>
      </w:pPr>
      <w:proofErr w:type="spellStart"/>
      <w:r w:rsidRPr="00F1382B">
        <w:rPr>
          <w:b w:val="0"/>
          <w:bCs/>
        </w:rPr>
        <w:t>Phenobarbitalum</w:t>
      </w:r>
      <w:proofErr w:type="spellEnd"/>
      <w:r w:rsidRPr="00F1382B">
        <w:rPr>
          <w:b w:val="0"/>
          <w:bCs/>
        </w:rPr>
        <w:t xml:space="preserve"> 60 mg </w:t>
      </w:r>
    </w:p>
    <w:p w14:paraId="0A424D29" w14:textId="77777777" w:rsidR="005F1178" w:rsidRPr="00F1382B" w:rsidRDefault="005F1178" w:rsidP="005F1178">
      <w:pPr>
        <w:pStyle w:val="Style1"/>
        <w:rPr>
          <w:b w:val="0"/>
          <w:bCs/>
        </w:rPr>
      </w:pPr>
    </w:p>
    <w:p w14:paraId="2C96E1EE" w14:textId="77777777" w:rsidR="005F1178" w:rsidRPr="00F1382B" w:rsidRDefault="005F1178" w:rsidP="005F1178">
      <w:pPr>
        <w:pStyle w:val="Style1"/>
        <w:rPr>
          <w:b w:val="0"/>
          <w:bCs/>
        </w:rPr>
      </w:pPr>
      <w:r w:rsidRPr="00F1382B">
        <w:rPr>
          <w:b w:val="0"/>
          <w:bCs/>
        </w:rPr>
        <w:t>Bílá okrouhlá tableta s křížovou dělicí rýhou na jedné straně.</w:t>
      </w:r>
    </w:p>
    <w:p w14:paraId="618C1F28" w14:textId="33663E9B" w:rsidR="005F1178" w:rsidRPr="00F1382B" w:rsidRDefault="005F1178" w:rsidP="005F1178">
      <w:pPr>
        <w:pStyle w:val="Style1"/>
        <w:rPr>
          <w:b w:val="0"/>
          <w:bCs/>
        </w:rPr>
      </w:pPr>
      <w:r w:rsidRPr="00F1382B">
        <w:rPr>
          <w:b w:val="0"/>
          <w:bCs/>
        </w:rPr>
        <w:t>Tablety lze dělit na dvě nebo čtyři stejné části.</w:t>
      </w:r>
    </w:p>
    <w:p w14:paraId="7BCD36FA" w14:textId="77777777" w:rsidR="00C114FF" w:rsidRPr="00B41D57" w:rsidRDefault="00C114FF" w:rsidP="00A9226B">
      <w:pPr>
        <w:tabs>
          <w:tab w:val="clear" w:pos="567"/>
        </w:tabs>
        <w:spacing w:line="240" w:lineRule="auto"/>
        <w:rPr>
          <w:iCs/>
          <w:szCs w:val="22"/>
        </w:rPr>
      </w:pPr>
    </w:p>
    <w:p w14:paraId="0AC31686" w14:textId="77777777" w:rsidR="00C114FF" w:rsidRPr="00B41D57" w:rsidRDefault="00C114FF" w:rsidP="00A9226B">
      <w:pPr>
        <w:tabs>
          <w:tab w:val="clear" w:pos="567"/>
        </w:tabs>
        <w:spacing w:line="240" w:lineRule="auto"/>
        <w:rPr>
          <w:szCs w:val="22"/>
        </w:rPr>
      </w:pPr>
    </w:p>
    <w:p w14:paraId="7943D656" w14:textId="7AE90609" w:rsidR="00C114FF" w:rsidRDefault="00D90D40" w:rsidP="00B13B6D">
      <w:pPr>
        <w:pStyle w:val="Style1"/>
      </w:pPr>
      <w:r w:rsidRPr="00B41D57">
        <w:rPr>
          <w:highlight w:val="lightGray"/>
        </w:rPr>
        <w:t>3.</w:t>
      </w:r>
      <w:r w:rsidRPr="00B41D57">
        <w:tab/>
        <w:t>Cílové druhy zvířat</w:t>
      </w:r>
    </w:p>
    <w:p w14:paraId="58997F87" w14:textId="15548B01" w:rsidR="005F1178" w:rsidRDefault="005F1178" w:rsidP="00B13B6D">
      <w:pPr>
        <w:pStyle w:val="Style1"/>
      </w:pPr>
    </w:p>
    <w:p w14:paraId="67655EAE" w14:textId="690DB80B" w:rsidR="005F1178" w:rsidRPr="00F1382B" w:rsidRDefault="005F1178" w:rsidP="00B13B6D">
      <w:pPr>
        <w:pStyle w:val="Style1"/>
        <w:rPr>
          <w:b w:val="0"/>
          <w:bCs/>
        </w:rPr>
      </w:pPr>
      <w:r w:rsidRPr="00F1382B">
        <w:rPr>
          <w:b w:val="0"/>
          <w:bCs/>
        </w:rPr>
        <w:t>Psi</w:t>
      </w:r>
    </w:p>
    <w:p w14:paraId="3A82A245" w14:textId="77777777" w:rsidR="00C114FF" w:rsidRPr="00B41D57" w:rsidRDefault="00C114FF" w:rsidP="00A9226B">
      <w:pPr>
        <w:tabs>
          <w:tab w:val="clear" w:pos="567"/>
        </w:tabs>
        <w:spacing w:line="240" w:lineRule="auto"/>
        <w:rPr>
          <w:szCs w:val="22"/>
        </w:rPr>
      </w:pPr>
    </w:p>
    <w:p w14:paraId="409802D0" w14:textId="77777777" w:rsidR="00C114FF" w:rsidRPr="00B41D57" w:rsidRDefault="00C114FF" w:rsidP="00A9226B">
      <w:pPr>
        <w:tabs>
          <w:tab w:val="clear" w:pos="567"/>
        </w:tabs>
        <w:spacing w:line="240" w:lineRule="auto"/>
        <w:rPr>
          <w:szCs w:val="22"/>
        </w:rPr>
      </w:pPr>
    </w:p>
    <w:p w14:paraId="22B0C5EC" w14:textId="3654687D" w:rsidR="00C114FF" w:rsidRDefault="00D90D40" w:rsidP="00B13B6D">
      <w:pPr>
        <w:pStyle w:val="Style1"/>
      </w:pPr>
      <w:r w:rsidRPr="00B41D57">
        <w:rPr>
          <w:highlight w:val="lightGray"/>
        </w:rPr>
        <w:t>4.</w:t>
      </w:r>
      <w:r w:rsidRPr="00B41D57">
        <w:tab/>
        <w:t>Indikace pro použití</w:t>
      </w:r>
    </w:p>
    <w:p w14:paraId="5F394D96" w14:textId="6266F79A" w:rsidR="005F1178" w:rsidRDefault="005F1178" w:rsidP="00B13B6D">
      <w:pPr>
        <w:pStyle w:val="Style1"/>
      </w:pPr>
    </w:p>
    <w:p w14:paraId="684AD123" w14:textId="77777777" w:rsidR="005F1178" w:rsidRPr="005F1178" w:rsidRDefault="005F1178" w:rsidP="005F1178">
      <w:pPr>
        <w:tabs>
          <w:tab w:val="clear" w:pos="567"/>
        </w:tabs>
        <w:spacing w:line="240" w:lineRule="auto"/>
        <w:rPr>
          <w:szCs w:val="22"/>
        </w:rPr>
      </w:pPr>
      <w:r w:rsidRPr="005F1178">
        <w:rPr>
          <w:snapToGrid w:val="0"/>
          <w:szCs w:val="22"/>
        </w:rPr>
        <w:t>Prevence záchvat</w:t>
      </w:r>
      <w:r w:rsidRPr="005F1178">
        <w:rPr>
          <w:rFonts w:hint="eastAsia"/>
          <w:snapToGrid w:val="0"/>
          <w:szCs w:val="22"/>
        </w:rPr>
        <w:t>ů</w:t>
      </w:r>
      <w:r w:rsidRPr="005F1178">
        <w:rPr>
          <w:snapToGrid w:val="0"/>
          <w:szCs w:val="22"/>
        </w:rPr>
        <w:t xml:space="preserve"> v d</w:t>
      </w:r>
      <w:r w:rsidRPr="005F1178">
        <w:rPr>
          <w:rFonts w:hint="eastAsia"/>
          <w:snapToGrid w:val="0"/>
          <w:szCs w:val="22"/>
        </w:rPr>
        <w:t>ů</w:t>
      </w:r>
      <w:r w:rsidRPr="005F1178">
        <w:rPr>
          <w:snapToGrid w:val="0"/>
          <w:szCs w:val="22"/>
        </w:rPr>
        <w:t>sledku generalizované epilepsie u ps</w:t>
      </w:r>
      <w:r w:rsidRPr="005F1178">
        <w:rPr>
          <w:rFonts w:hint="eastAsia"/>
          <w:snapToGrid w:val="0"/>
          <w:szCs w:val="22"/>
        </w:rPr>
        <w:t>ů</w:t>
      </w:r>
      <w:r w:rsidRPr="005F1178">
        <w:rPr>
          <w:snapToGrid w:val="0"/>
          <w:szCs w:val="22"/>
        </w:rPr>
        <w:t>.</w:t>
      </w:r>
    </w:p>
    <w:p w14:paraId="03123C00" w14:textId="77777777" w:rsidR="00D21E83" w:rsidRPr="00B41D57" w:rsidRDefault="00D21E83" w:rsidP="00B13B6D">
      <w:pPr>
        <w:pStyle w:val="Style1"/>
      </w:pPr>
    </w:p>
    <w:p w14:paraId="5AB0DC3B" w14:textId="77777777" w:rsidR="00C114FF" w:rsidRPr="00B41D57" w:rsidRDefault="00C114FF" w:rsidP="00A9226B">
      <w:pPr>
        <w:tabs>
          <w:tab w:val="clear" w:pos="567"/>
        </w:tabs>
        <w:spacing w:line="240" w:lineRule="auto"/>
        <w:rPr>
          <w:szCs w:val="22"/>
        </w:rPr>
      </w:pPr>
    </w:p>
    <w:p w14:paraId="4DFDB241" w14:textId="72531824" w:rsidR="00C114FF" w:rsidRDefault="00D90D40" w:rsidP="00F1382B">
      <w:pPr>
        <w:pStyle w:val="Style1"/>
        <w:jc w:val="both"/>
      </w:pPr>
      <w:r w:rsidRPr="00B41D57">
        <w:rPr>
          <w:highlight w:val="lightGray"/>
        </w:rPr>
        <w:t>5.</w:t>
      </w:r>
      <w:r w:rsidRPr="00B41D57">
        <w:tab/>
        <w:t>Kontraindikace</w:t>
      </w:r>
    </w:p>
    <w:p w14:paraId="78D222F9" w14:textId="27956165" w:rsidR="005F1178" w:rsidRDefault="005F1178" w:rsidP="00F1382B">
      <w:pPr>
        <w:pStyle w:val="Style1"/>
        <w:jc w:val="both"/>
      </w:pPr>
    </w:p>
    <w:p w14:paraId="1BFA5E2F" w14:textId="77777777" w:rsidR="005F1178" w:rsidRPr="005F1178" w:rsidRDefault="005F1178" w:rsidP="00F1382B">
      <w:pPr>
        <w:jc w:val="both"/>
        <w:rPr>
          <w:szCs w:val="22"/>
        </w:rPr>
      </w:pPr>
      <w:r w:rsidRPr="005F1178">
        <w:rPr>
          <w:szCs w:val="22"/>
        </w:rPr>
        <w:t>Nepoužívat u zvířat s těžkou poruchou funkce jater.</w:t>
      </w:r>
    </w:p>
    <w:p w14:paraId="6EFBFABA" w14:textId="77777777" w:rsidR="005F1178" w:rsidRPr="005F1178" w:rsidRDefault="005F1178" w:rsidP="00F1382B">
      <w:pPr>
        <w:jc w:val="both"/>
        <w:rPr>
          <w:szCs w:val="22"/>
        </w:rPr>
      </w:pPr>
      <w:r w:rsidRPr="005F1178">
        <w:rPr>
          <w:szCs w:val="22"/>
        </w:rPr>
        <w:t>Nepoužívat u zvířat s těžkými poruchami funkce ledvin nebo kardiovaskulárním onemocněním.</w:t>
      </w:r>
    </w:p>
    <w:p w14:paraId="53CEA09D" w14:textId="77777777" w:rsidR="005F1178" w:rsidRPr="005F1178" w:rsidRDefault="005F1178" w:rsidP="00F1382B">
      <w:pPr>
        <w:jc w:val="both"/>
        <w:rPr>
          <w:szCs w:val="22"/>
        </w:rPr>
      </w:pPr>
      <w:r w:rsidRPr="005F1178">
        <w:rPr>
          <w:szCs w:val="22"/>
        </w:rPr>
        <w:t>Nepoužívat u psů s živou hmotností nižší než 6 kg.</w:t>
      </w:r>
    </w:p>
    <w:p w14:paraId="38F4885E" w14:textId="77777777" w:rsidR="005F1178" w:rsidRPr="005F1178" w:rsidRDefault="005F1178" w:rsidP="00F1382B">
      <w:pPr>
        <w:widowControl w:val="0"/>
        <w:tabs>
          <w:tab w:val="clear" w:pos="567"/>
        </w:tabs>
        <w:spacing w:line="240" w:lineRule="auto"/>
        <w:jc w:val="both"/>
        <w:rPr>
          <w:snapToGrid w:val="0"/>
          <w:szCs w:val="22"/>
        </w:rPr>
      </w:pPr>
      <w:r w:rsidRPr="005F1178">
        <w:rPr>
          <w:snapToGrid w:val="0"/>
          <w:szCs w:val="22"/>
        </w:rPr>
        <w:t>Nepoužívat v p</w:t>
      </w:r>
      <w:r w:rsidRPr="005F1178">
        <w:rPr>
          <w:rFonts w:hint="eastAsia"/>
          <w:snapToGrid w:val="0"/>
          <w:szCs w:val="22"/>
        </w:rPr>
        <w:t>ří</w:t>
      </w:r>
      <w:r w:rsidRPr="005F1178">
        <w:rPr>
          <w:snapToGrid w:val="0"/>
          <w:szCs w:val="22"/>
        </w:rPr>
        <w:t>padech p</w:t>
      </w:r>
      <w:r w:rsidRPr="005F1178">
        <w:rPr>
          <w:rFonts w:hint="eastAsia"/>
          <w:snapToGrid w:val="0"/>
          <w:szCs w:val="22"/>
        </w:rPr>
        <w:t>ř</w:t>
      </w:r>
      <w:r w:rsidRPr="005F1178">
        <w:rPr>
          <w:snapToGrid w:val="0"/>
          <w:szCs w:val="22"/>
        </w:rPr>
        <w:t>ecitliv</w:t>
      </w:r>
      <w:r w:rsidRPr="005F1178">
        <w:rPr>
          <w:rFonts w:hint="eastAsia"/>
          <w:snapToGrid w:val="0"/>
          <w:szCs w:val="22"/>
        </w:rPr>
        <w:t>ě</w:t>
      </w:r>
      <w:r w:rsidRPr="005F1178">
        <w:rPr>
          <w:snapToGrid w:val="0"/>
          <w:szCs w:val="22"/>
        </w:rPr>
        <w:t>losti na lé</w:t>
      </w:r>
      <w:r w:rsidRPr="005F1178">
        <w:rPr>
          <w:rFonts w:hint="eastAsia"/>
          <w:snapToGrid w:val="0"/>
          <w:szCs w:val="22"/>
        </w:rPr>
        <w:t>č</w:t>
      </w:r>
      <w:r w:rsidRPr="005F1178">
        <w:rPr>
          <w:snapToGrid w:val="0"/>
          <w:szCs w:val="22"/>
        </w:rPr>
        <w:t>ivou látku,</w:t>
      </w:r>
      <w:r w:rsidRPr="005F1178">
        <w:rPr>
          <w:rFonts w:ascii="Courier" w:hAnsi="Courier"/>
          <w:snapToGrid w:val="0"/>
          <w:sz w:val="24"/>
        </w:rPr>
        <w:t xml:space="preserve"> </w:t>
      </w:r>
      <w:r w:rsidRPr="005F1178">
        <w:rPr>
          <w:snapToGrid w:val="0"/>
          <w:szCs w:val="22"/>
        </w:rPr>
        <w:t>jiné barbituráty, nebo na n</w:t>
      </w:r>
      <w:r w:rsidRPr="005F1178">
        <w:rPr>
          <w:rFonts w:hint="eastAsia"/>
          <w:snapToGrid w:val="0"/>
          <w:szCs w:val="22"/>
        </w:rPr>
        <w:t>ě</w:t>
      </w:r>
      <w:r w:rsidRPr="005F1178">
        <w:rPr>
          <w:snapToGrid w:val="0"/>
          <w:szCs w:val="22"/>
        </w:rPr>
        <w:t>kterou z pomocných látek.</w:t>
      </w:r>
    </w:p>
    <w:p w14:paraId="28C61677" w14:textId="77777777" w:rsidR="005F1178" w:rsidRPr="00B41D57" w:rsidRDefault="005F1178" w:rsidP="00F1382B">
      <w:pPr>
        <w:pStyle w:val="Style1"/>
        <w:jc w:val="both"/>
      </w:pPr>
    </w:p>
    <w:p w14:paraId="214F8839" w14:textId="77777777" w:rsidR="00EB457B" w:rsidRPr="00B41D57" w:rsidRDefault="00EB457B" w:rsidP="00F1382B">
      <w:pPr>
        <w:tabs>
          <w:tab w:val="clear" w:pos="567"/>
        </w:tabs>
        <w:spacing w:line="240" w:lineRule="auto"/>
        <w:jc w:val="both"/>
        <w:rPr>
          <w:szCs w:val="22"/>
        </w:rPr>
      </w:pPr>
    </w:p>
    <w:p w14:paraId="0329B6BF" w14:textId="77777777" w:rsidR="00C114FF" w:rsidRPr="00B41D57" w:rsidRDefault="00D90D40" w:rsidP="00F1382B">
      <w:pPr>
        <w:pStyle w:val="Style1"/>
        <w:jc w:val="both"/>
      </w:pPr>
      <w:r w:rsidRPr="00B41D57">
        <w:rPr>
          <w:highlight w:val="lightGray"/>
        </w:rPr>
        <w:t>6.</w:t>
      </w:r>
      <w:r w:rsidRPr="00B41D57">
        <w:tab/>
        <w:t>Zvláštní upozornění</w:t>
      </w:r>
    </w:p>
    <w:p w14:paraId="72546E2A" w14:textId="77777777" w:rsidR="00C114FF" w:rsidRPr="00B41D57" w:rsidRDefault="00C114FF" w:rsidP="00F1382B">
      <w:pPr>
        <w:tabs>
          <w:tab w:val="clear" w:pos="567"/>
        </w:tabs>
        <w:spacing w:line="240" w:lineRule="auto"/>
        <w:jc w:val="both"/>
        <w:rPr>
          <w:szCs w:val="22"/>
        </w:rPr>
      </w:pPr>
    </w:p>
    <w:p w14:paraId="38B6DC06" w14:textId="77777777" w:rsidR="008E6E9C" w:rsidRPr="008E6E9C" w:rsidRDefault="008E6E9C" w:rsidP="00F1382B">
      <w:pPr>
        <w:keepNext/>
        <w:tabs>
          <w:tab w:val="clear" w:pos="567"/>
        </w:tabs>
        <w:spacing w:line="240" w:lineRule="auto"/>
        <w:jc w:val="both"/>
        <w:rPr>
          <w:szCs w:val="22"/>
          <w:u w:val="single"/>
        </w:rPr>
      </w:pPr>
      <w:r w:rsidRPr="008E6E9C">
        <w:rPr>
          <w:szCs w:val="22"/>
          <w:u w:val="single"/>
        </w:rPr>
        <w:t>Zvláštní upozornění:</w:t>
      </w:r>
    </w:p>
    <w:p w14:paraId="69ED0D19" w14:textId="5A23ABDF" w:rsidR="008E6E9C" w:rsidRPr="00F1382B" w:rsidRDefault="008E6E9C" w:rsidP="00F1382B">
      <w:pPr>
        <w:keepNext/>
        <w:tabs>
          <w:tab w:val="clear" w:pos="567"/>
        </w:tabs>
        <w:spacing w:line="240" w:lineRule="auto"/>
        <w:jc w:val="both"/>
        <w:rPr>
          <w:szCs w:val="22"/>
        </w:rPr>
      </w:pPr>
      <w:r w:rsidRPr="00F1382B">
        <w:rPr>
          <w:szCs w:val="22"/>
        </w:rPr>
        <w:t xml:space="preserve">Rozhodnutí o zahájení </w:t>
      </w:r>
      <w:proofErr w:type="spellStart"/>
      <w:r w:rsidRPr="00F1382B">
        <w:rPr>
          <w:szCs w:val="22"/>
        </w:rPr>
        <w:t>antiepileptické</w:t>
      </w:r>
      <w:proofErr w:type="spellEnd"/>
      <w:r w:rsidRPr="00F1382B">
        <w:rPr>
          <w:szCs w:val="22"/>
        </w:rPr>
        <w:t xml:space="preserve"> farmakoterapie fenobarbitalem by mělo být zhodnoceno pro každý jednotlivý případ a závisí na počtu, frekvenci, trvání a závažnosti záchvatů u psů. Někteří psi jsou bez epileptických záchvatů během léčby, ale někteří psi vykazují pouze snížení záchvatů a někteří psi jsou považováni za nereagující.</w:t>
      </w:r>
    </w:p>
    <w:p w14:paraId="68CCB1AF" w14:textId="77777777" w:rsidR="008E6E9C" w:rsidRDefault="008E6E9C" w:rsidP="00F1382B">
      <w:pPr>
        <w:keepNext/>
        <w:tabs>
          <w:tab w:val="clear" w:pos="567"/>
        </w:tabs>
        <w:spacing w:line="240" w:lineRule="auto"/>
        <w:jc w:val="both"/>
        <w:rPr>
          <w:szCs w:val="22"/>
          <w:u w:val="single"/>
        </w:rPr>
      </w:pPr>
    </w:p>
    <w:p w14:paraId="6F5B7416" w14:textId="5D142498" w:rsidR="005F1178" w:rsidRPr="005F1178" w:rsidRDefault="005F1178" w:rsidP="00F1382B">
      <w:pPr>
        <w:keepNext/>
        <w:tabs>
          <w:tab w:val="clear" w:pos="567"/>
        </w:tabs>
        <w:spacing w:line="240" w:lineRule="auto"/>
        <w:jc w:val="both"/>
        <w:rPr>
          <w:szCs w:val="22"/>
          <w:u w:val="single"/>
        </w:rPr>
      </w:pPr>
      <w:r w:rsidRPr="005F1178">
        <w:rPr>
          <w:szCs w:val="22"/>
          <w:u w:val="single"/>
        </w:rPr>
        <w:t>Zvláštní opatření pro použití u zvířat:</w:t>
      </w:r>
    </w:p>
    <w:p w14:paraId="22816615" w14:textId="77777777" w:rsidR="005F1178" w:rsidRPr="005F1178" w:rsidRDefault="005F1178" w:rsidP="00F1382B">
      <w:pPr>
        <w:jc w:val="both"/>
        <w:rPr>
          <w:szCs w:val="22"/>
        </w:rPr>
      </w:pPr>
      <w:r w:rsidRPr="005F1178">
        <w:rPr>
          <w:szCs w:val="22"/>
        </w:rPr>
        <w:t xml:space="preserve">Opatrnost se doporučuje u zvířat s poškozenou funkcí jater a ledvin, hypovolémií, anémií a srdeční nebo respirační dysfunkcí. Možnost </w:t>
      </w:r>
      <w:proofErr w:type="spellStart"/>
      <w:r w:rsidRPr="005F1178">
        <w:rPr>
          <w:szCs w:val="22"/>
        </w:rPr>
        <w:t>hepatotoxických</w:t>
      </w:r>
      <w:proofErr w:type="spellEnd"/>
      <w:r w:rsidRPr="005F1178">
        <w:rPr>
          <w:szCs w:val="22"/>
        </w:rPr>
        <w:t xml:space="preserve"> nežádoucích účinků může být snížena nebo oddálena podáním co nejnižší možné účinné dávky. V případě dlouhodobé léčby se doporučuje monitorování jaterních parametrů.</w:t>
      </w:r>
    </w:p>
    <w:p w14:paraId="5935F14B" w14:textId="77777777" w:rsidR="005F1178" w:rsidRPr="005F1178" w:rsidRDefault="005F1178" w:rsidP="00F1382B">
      <w:pPr>
        <w:jc w:val="both"/>
        <w:rPr>
          <w:szCs w:val="22"/>
        </w:rPr>
      </w:pPr>
    </w:p>
    <w:p w14:paraId="0576B6E5" w14:textId="35474500" w:rsidR="005F1178" w:rsidRPr="005F1178" w:rsidRDefault="005F1178" w:rsidP="00F1382B">
      <w:pPr>
        <w:jc w:val="both"/>
        <w:rPr>
          <w:szCs w:val="22"/>
        </w:rPr>
      </w:pPr>
      <w:r w:rsidRPr="005F1178">
        <w:rPr>
          <w:szCs w:val="22"/>
        </w:rPr>
        <w:t>Doporučuje se provést klinicko-patologické hodnocení léčeného zvířete 2-3 týdny po zahájení léčby a</w:t>
      </w:r>
      <w:r w:rsidR="00D21E83">
        <w:rPr>
          <w:szCs w:val="22"/>
        </w:rPr>
        <w:t> </w:t>
      </w:r>
      <w:r w:rsidRPr="005F1178">
        <w:rPr>
          <w:szCs w:val="22"/>
        </w:rPr>
        <w:t>poté jednou za 4-6 měsíců, např. měřením hladiny jaterních enzymů a sérových hladin žlučových kyselin. Je důležité vědět, že účinky hypoxie a další účinky spojené s epileptickými záchvaty způsobují zvýšené hladiny jaterních enzymů po záchvatu. Fenobarbital může zvýšit aktivitu alkalické fosfatázy a</w:t>
      </w:r>
      <w:r w:rsidR="00D21E83">
        <w:rPr>
          <w:szCs w:val="22"/>
        </w:rPr>
        <w:t> </w:t>
      </w:r>
      <w:r w:rsidRPr="005F1178">
        <w:rPr>
          <w:szCs w:val="22"/>
        </w:rPr>
        <w:t xml:space="preserve">transamináz v séru. Tyto změny mohou naznačovat nepatologické změny, ale také </w:t>
      </w:r>
      <w:proofErr w:type="spellStart"/>
      <w:proofErr w:type="gramStart"/>
      <w:r w:rsidRPr="005F1178">
        <w:rPr>
          <w:szCs w:val="22"/>
        </w:rPr>
        <w:t>hepatotoxicitu</w:t>
      </w:r>
      <w:proofErr w:type="spellEnd"/>
      <w:r w:rsidRPr="005F1178">
        <w:rPr>
          <w:szCs w:val="22"/>
        </w:rPr>
        <w:t xml:space="preserve"> - </w:t>
      </w:r>
      <w:r w:rsidRPr="005F1178">
        <w:rPr>
          <w:szCs w:val="22"/>
        </w:rPr>
        <w:lastRenderedPageBreak/>
        <w:t>doporučují</w:t>
      </w:r>
      <w:proofErr w:type="gramEnd"/>
      <w:r w:rsidRPr="005F1178">
        <w:rPr>
          <w:szCs w:val="22"/>
        </w:rPr>
        <w:t xml:space="preserve"> se jaterní testy. Zvýšení hodnot jaterních enzymů nemusí vždy vyžadovat snížení dávky fenobarbitalu, pokud jsou sérové hodnoty žlučových kyselin v normálním rozmezí.</w:t>
      </w:r>
    </w:p>
    <w:p w14:paraId="36533134" w14:textId="77777777" w:rsidR="005F1178" w:rsidRPr="005F1178" w:rsidRDefault="005F1178" w:rsidP="00F1382B">
      <w:pPr>
        <w:jc w:val="both"/>
        <w:rPr>
          <w:szCs w:val="22"/>
        </w:rPr>
      </w:pPr>
    </w:p>
    <w:p w14:paraId="309372B4" w14:textId="0A2EDFFA" w:rsidR="005F1178" w:rsidRPr="005F1178" w:rsidRDefault="005F1178" w:rsidP="00F1382B">
      <w:pPr>
        <w:widowControl w:val="0"/>
        <w:tabs>
          <w:tab w:val="clear" w:pos="567"/>
        </w:tabs>
        <w:spacing w:line="240" w:lineRule="auto"/>
        <w:jc w:val="both"/>
        <w:rPr>
          <w:snapToGrid w:val="0"/>
          <w:szCs w:val="22"/>
        </w:rPr>
      </w:pPr>
      <w:r w:rsidRPr="005F1178">
        <w:rPr>
          <w:snapToGrid w:val="0"/>
          <w:szCs w:val="22"/>
        </w:rPr>
        <w:t>U stabilizovaných pacientů s epilepsií se nedoporučuje přejít z jiného léčivého přípravku s</w:t>
      </w:r>
      <w:r w:rsidR="00D21E83">
        <w:rPr>
          <w:snapToGrid w:val="0"/>
          <w:szCs w:val="22"/>
        </w:rPr>
        <w:t> </w:t>
      </w:r>
      <w:r w:rsidRPr="005F1178">
        <w:rPr>
          <w:snapToGrid w:val="0"/>
          <w:szCs w:val="22"/>
        </w:rPr>
        <w:t xml:space="preserve">fenobarbitalem na </w:t>
      </w:r>
      <w:proofErr w:type="spellStart"/>
      <w:r w:rsidRPr="005F1178">
        <w:rPr>
          <w:snapToGrid w:val="0"/>
          <w:szCs w:val="22"/>
        </w:rPr>
        <w:t>Epityl</w:t>
      </w:r>
      <w:proofErr w:type="spellEnd"/>
      <w:r w:rsidRPr="005F1178">
        <w:rPr>
          <w:snapToGrid w:val="0"/>
          <w:szCs w:val="22"/>
        </w:rPr>
        <w:t xml:space="preserve"> 60 mg tablety. Nicméně pokud se tomu nelze vyhnout, pak je nutná zvýšená opatrnost. To zahrnuje častější odběr vzorků plazmy pro zjištění koncentrace léčivé látky, aby se zajistilo udržování terapeutických hladin. Monitorování pro zvýšený výskyt nežádoucích účinků a jaterní dysfunkce by mělo být prováděno pravidelně až do potvrzení stabilizace. </w:t>
      </w:r>
    </w:p>
    <w:p w14:paraId="23A442ED" w14:textId="77777777" w:rsidR="005F1178" w:rsidRPr="005F1178" w:rsidRDefault="005F1178" w:rsidP="00F1382B">
      <w:pPr>
        <w:widowControl w:val="0"/>
        <w:tabs>
          <w:tab w:val="clear" w:pos="567"/>
        </w:tabs>
        <w:spacing w:line="240" w:lineRule="auto"/>
        <w:jc w:val="both"/>
        <w:rPr>
          <w:snapToGrid w:val="0"/>
          <w:szCs w:val="22"/>
        </w:rPr>
      </w:pPr>
      <w:r w:rsidRPr="005F1178">
        <w:rPr>
          <w:snapToGrid w:val="0"/>
          <w:szCs w:val="22"/>
        </w:rPr>
        <w:t>Odstoupení nebo p</w:t>
      </w:r>
      <w:r w:rsidRPr="005F1178">
        <w:rPr>
          <w:rFonts w:hint="eastAsia"/>
          <w:snapToGrid w:val="0"/>
          <w:szCs w:val="22"/>
        </w:rPr>
        <w:t>ř</w:t>
      </w:r>
      <w:r w:rsidRPr="005F1178">
        <w:rPr>
          <w:snapToGrid w:val="0"/>
          <w:szCs w:val="22"/>
        </w:rPr>
        <w:t>echod od jiných typ</w:t>
      </w:r>
      <w:r w:rsidRPr="005F1178">
        <w:rPr>
          <w:rFonts w:hint="eastAsia"/>
          <w:snapToGrid w:val="0"/>
          <w:szCs w:val="22"/>
        </w:rPr>
        <w:t>ů</w:t>
      </w:r>
      <w:r w:rsidRPr="005F1178">
        <w:rPr>
          <w:snapToGrid w:val="0"/>
          <w:szCs w:val="22"/>
        </w:rPr>
        <w:t xml:space="preserve"> </w:t>
      </w:r>
      <w:proofErr w:type="spellStart"/>
      <w:r w:rsidRPr="005F1178">
        <w:rPr>
          <w:snapToGrid w:val="0"/>
          <w:szCs w:val="22"/>
        </w:rPr>
        <w:t>antiepileptické</w:t>
      </w:r>
      <w:proofErr w:type="spellEnd"/>
      <w:r w:rsidRPr="005F1178">
        <w:rPr>
          <w:snapToGrid w:val="0"/>
          <w:szCs w:val="22"/>
        </w:rPr>
        <w:t xml:space="preserve"> lé</w:t>
      </w:r>
      <w:r w:rsidRPr="005F1178">
        <w:rPr>
          <w:rFonts w:hint="eastAsia"/>
          <w:snapToGrid w:val="0"/>
          <w:szCs w:val="22"/>
        </w:rPr>
        <w:t>č</w:t>
      </w:r>
      <w:r w:rsidRPr="005F1178">
        <w:rPr>
          <w:snapToGrid w:val="0"/>
          <w:szCs w:val="22"/>
        </w:rPr>
        <w:t>by by se m</w:t>
      </w:r>
      <w:r w:rsidRPr="005F1178">
        <w:rPr>
          <w:rFonts w:hint="eastAsia"/>
          <w:snapToGrid w:val="0"/>
          <w:szCs w:val="22"/>
        </w:rPr>
        <w:t>ě</w:t>
      </w:r>
      <w:r w:rsidRPr="005F1178">
        <w:rPr>
          <w:snapToGrid w:val="0"/>
          <w:szCs w:val="22"/>
        </w:rPr>
        <w:t>ly provád</w:t>
      </w:r>
      <w:r w:rsidRPr="005F1178">
        <w:rPr>
          <w:rFonts w:hint="eastAsia"/>
          <w:snapToGrid w:val="0"/>
          <w:szCs w:val="22"/>
        </w:rPr>
        <w:t>ě</w:t>
      </w:r>
      <w:r w:rsidRPr="005F1178">
        <w:rPr>
          <w:snapToGrid w:val="0"/>
          <w:szCs w:val="22"/>
        </w:rPr>
        <w:t>t postupn</w:t>
      </w:r>
      <w:r w:rsidRPr="005F1178">
        <w:rPr>
          <w:rFonts w:hint="eastAsia"/>
          <w:snapToGrid w:val="0"/>
          <w:szCs w:val="22"/>
        </w:rPr>
        <w:t>ě</w:t>
      </w:r>
      <w:r w:rsidRPr="005F1178">
        <w:rPr>
          <w:snapToGrid w:val="0"/>
          <w:szCs w:val="22"/>
        </w:rPr>
        <w:t>, aby se vylou</w:t>
      </w:r>
      <w:r w:rsidRPr="005F1178">
        <w:rPr>
          <w:rFonts w:hint="eastAsia"/>
          <w:snapToGrid w:val="0"/>
          <w:szCs w:val="22"/>
        </w:rPr>
        <w:t>č</w:t>
      </w:r>
      <w:r w:rsidRPr="005F1178">
        <w:rPr>
          <w:snapToGrid w:val="0"/>
          <w:szCs w:val="22"/>
        </w:rPr>
        <w:t>ilo zvýšení frekvence záchvat</w:t>
      </w:r>
      <w:r w:rsidRPr="005F1178">
        <w:rPr>
          <w:rFonts w:hint="eastAsia"/>
          <w:snapToGrid w:val="0"/>
          <w:szCs w:val="22"/>
        </w:rPr>
        <w:t>ů</w:t>
      </w:r>
      <w:r w:rsidRPr="005F1178">
        <w:rPr>
          <w:snapToGrid w:val="0"/>
          <w:szCs w:val="22"/>
        </w:rPr>
        <w:t>.</w:t>
      </w:r>
    </w:p>
    <w:p w14:paraId="6FA84846" w14:textId="77777777" w:rsidR="005F1178" w:rsidRPr="005F1178" w:rsidRDefault="005F1178" w:rsidP="00F1382B">
      <w:pPr>
        <w:widowControl w:val="0"/>
        <w:tabs>
          <w:tab w:val="clear" w:pos="567"/>
        </w:tabs>
        <w:spacing w:line="240" w:lineRule="auto"/>
        <w:jc w:val="both"/>
        <w:rPr>
          <w:snapToGrid w:val="0"/>
          <w:szCs w:val="22"/>
        </w:rPr>
      </w:pPr>
    </w:p>
    <w:p w14:paraId="25E99EE4" w14:textId="77777777" w:rsidR="005F1178" w:rsidRPr="005F1178" w:rsidRDefault="005F1178" w:rsidP="00F1382B">
      <w:pPr>
        <w:widowControl w:val="0"/>
        <w:tabs>
          <w:tab w:val="clear" w:pos="567"/>
          <w:tab w:val="left" w:pos="720"/>
          <w:tab w:val="left" w:pos="1134"/>
        </w:tabs>
        <w:spacing w:line="240" w:lineRule="auto"/>
        <w:jc w:val="both"/>
        <w:rPr>
          <w:snapToGrid w:val="0"/>
          <w:szCs w:val="22"/>
        </w:rPr>
      </w:pPr>
      <w:r w:rsidRPr="005F1178">
        <w:rPr>
          <w:snapToGrid w:val="0"/>
          <w:szCs w:val="22"/>
        </w:rPr>
        <w:t>Tablety jsou ochuceny. Aby nedošlo k náhodnému požití, tablety uchovávejte mimo dosah zví</w:t>
      </w:r>
      <w:r w:rsidRPr="005F1178">
        <w:rPr>
          <w:rFonts w:hint="eastAsia"/>
          <w:snapToGrid w:val="0"/>
          <w:szCs w:val="22"/>
        </w:rPr>
        <w:t>ř</w:t>
      </w:r>
      <w:r w:rsidRPr="005F1178">
        <w:rPr>
          <w:snapToGrid w:val="0"/>
          <w:szCs w:val="22"/>
        </w:rPr>
        <w:t>at.</w:t>
      </w:r>
    </w:p>
    <w:p w14:paraId="0E81553E" w14:textId="77777777" w:rsidR="005F1178" w:rsidRPr="005F1178" w:rsidRDefault="005F1178" w:rsidP="00F1382B">
      <w:pPr>
        <w:jc w:val="both"/>
        <w:rPr>
          <w:b/>
          <w:szCs w:val="22"/>
        </w:rPr>
      </w:pPr>
    </w:p>
    <w:p w14:paraId="12AFD8C9" w14:textId="77777777" w:rsidR="005F1178" w:rsidRPr="005F1178" w:rsidRDefault="005F1178" w:rsidP="00430228">
      <w:pPr>
        <w:keepNext/>
        <w:tabs>
          <w:tab w:val="clear" w:pos="567"/>
        </w:tabs>
        <w:spacing w:line="260" w:lineRule="atLeast"/>
        <w:jc w:val="both"/>
        <w:rPr>
          <w:szCs w:val="22"/>
          <w:u w:val="single"/>
        </w:rPr>
      </w:pPr>
      <w:r w:rsidRPr="005F1178">
        <w:rPr>
          <w:szCs w:val="22"/>
          <w:u w:val="single"/>
        </w:rPr>
        <w:t>Zvláštní opatření určené osobám, které podávají veterinární léčivý přípravek zvířatům:</w:t>
      </w:r>
    </w:p>
    <w:p w14:paraId="7F1C3F67" w14:textId="77777777" w:rsidR="005F1178" w:rsidRPr="005F1178" w:rsidRDefault="005F1178" w:rsidP="00F1382B">
      <w:pPr>
        <w:widowControl w:val="0"/>
        <w:tabs>
          <w:tab w:val="clear" w:pos="567"/>
          <w:tab w:val="left" w:pos="284"/>
        </w:tabs>
        <w:spacing w:line="240" w:lineRule="auto"/>
        <w:ind w:left="284" w:hanging="284"/>
        <w:jc w:val="both"/>
        <w:rPr>
          <w:snapToGrid w:val="0"/>
          <w:szCs w:val="22"/>
        </w:rPr>
      </w:pPr>
      <w:r w:rsidRPr="005F1178">
        <w:rPr>
          <w:rFonts w:hint="eastAsia"/>
          <w:snapToGrid w:val="0"/>
          <w:szCs w:val="22"/>
        </w:rPr>
        <w:t>•</w:t>
      </w:r>
      <w:r w:rsidRPr="005F1178">
        <w:rPr>
          <w:snapToGrid w:val="0"/>
          <w:szCs w:val="22"/>
        </w:rPr>
        <w:tab/>
        <w:t>Barbituráty mohou zp</w:t>
      </w:r>
      <w:r w:rsidRPr="005F1178">
        <w:rPr>
          <w:rFonts w:hint="eastAsia"/>
          <w:snapToGrid w:val="0"/>
          <w:szCs w:val="22"/>
        </w:rPr>
        <w:t>ů</w:t>
      </w:r>
      <w:r w:rsidRPr="005F1178">
        <w:rPr>
          <w:snapToGrid w:val="0"/>
          <w:szCs w:val="22"/>
        </w:rPr>
        <w:t>sobit p</w:t>
      </w:r>
      <w:r w:rsidRPr="005F1178">
        <w:rPr>
          <w:rFonts w:hint="eastAsia"/>
          <w:snapToGrid w:val="0"/>
          <w:szCs w:val="22"/>
        </w:rPr>
        <w:t>ř</w:t>
      </w:r>
      <w:r w:rsidRPr="005F1178">
        <w:rPr>
          <w:snapToGrid w:val="0"/>
          <w:szCs w:val="22"/>
        </w:rPr>
        <w:t>ecitliv</w:t>
      </w:r>
      <w:r w:rsidRPr="005F1178">
        <w:rPr>
          <w:rFonts w:hint="eastAsia"/>
          <w:snapToGrid w:val="0"/>
          <w:szCs w:val="22"/>
        </w:rPr>
        <w:t>ě</w:t>
      </w:r>
      <w:r w:rsidRPr="005F1178">
        <w:rPr>
          <w:snapToGrid w:val="0"/>
          <w:szCs w:val="22"/>
        </w:rPr>
        <w:t>lost. Lidé se známou p</w:t>
      </w:r>
      <w:r w:rsidRPr="005F1178">
        <w:rPr>
          <w:rFonts w:hint="eastAsia"/>
          <w:snapToGrid w:val="0"/>
          <w:szCs w:val="22"/>
        </w:rPr>
        <w:t>ř</w:t>
      </w:r>
      <w:r w:rsidRPr="005F1178">
        <w:rPr>
          <w:snapToGrid w:val="0"/>
          <w:szCs w:val="22"/>
        </w:rPr>
        <w:t>ecitliv</w:t>
      </w:r>
      <w:r w:rsidRPr="005F1178">
        <w:rPr>
          <w:rFonts w:hint="eastAsia"/>
          <w:snapToGrid w:val="0"/>
          <w:szCs w:val="22"/>
        </w:rPr>
        <w:t>ě</w:t>
      </w:r>
      <w:r w:rsidRPr="005F1178">
        <w:rPr>
          <w:snapToGrid w:val="0"/>
          <w:szCs w:val="22"/>
        </w:rPr>
        <w:t>lostí na barbituráty by se m</w:t>
      </w:r>
      <w:r w:rsidRPr="005F1178">
        <w:rPr>
          <w:rFonts w:hint="eastAsia"/>
          <w:snapToGrid w:val="0"/>
          <w:szCs w:val="22"/>
        </w:rPr>
        <w:t>ě</w:t>
      </w:r>
      <w:r w:rsidRPr="005F1178">
        <w:rPr>
          <w:snapToGrid w:val="0"/>
          <w:szCs w:val="22"/>
        </w:rPr>
        <w:t>li vyhnout kontaktu s veterinárním léčivým p</w:t>
      </w:r>
      <w:r w:rsidRPr="005F1178">
        <w:rPr>
          <w:rFonts w:hint="eastAsia"/>
          <w:snapToGrid w:val="0"/>
          <w:szCs w:val="22"/>
        </w:rPr>
        <w:t>ří</w:t>
      </w:r>
      <w:r w:rsidRPr="005F1178">
        <w:rPr>
          <w:snapToGrid w:val="0"/>
          <w:szCs w:val="22"/>
        </w:rPr>
        <w:t>pravkem.</w:t>
      </w:r>
    </w:p>
    <w:p w14:paraId="79B94EF2" w14:textId="43533E88" w:rsidR="005F1178" w:rsidRPr="005F1178" w:rsidRDefault="005F1178" w:rsidP="00F1382B">
      <w:pPr>
        <w:widowControl w:val="0"/>
        <w:tabs>
          <w:tab w:val="clear" w:pos="567"/>
          <w:tab w:val="left" w:pos="284"/>
        </w:tabs>
        <w:spacing w:line="240" w:lineRule="auto"/>
        <w:ind w:left="284" w:hanging="284"/>
        <w:jc w:val="both"/>
        <w:rPr>
          <w:snapToGrid w:val="0"/>
          <w:szCs w:val="22"/>
        </w:rPr>
      </w:pPr>
      <w:r w:rsidRPr="005F1178">
        <w:rPr>
          <w:rFonts w:hint="eastAsia"/>
          <w:snapToGrid w:val="0"/>
          <w:szCs w:val="22"/>
        </w:rPr>
        <w:t>•</w:t>
      </w:r>
      <w:r w:rsidRPr="005F1178">
        <w:rPr>
          <w:snapToGrid w:val="0"/>
          <w:szCs w:val="22"/>
        </w:rPr>
        <w:tab/>
        <w:t>Náhodné po</w:t>
      </w:r>
      <w:r w:rsidR="00C5559E">
        <w:rPr>
          <w:snapToGrid w:val="0"/>
          <w:szCs w:val="22"/>
        </w:rPr>
        <w:t>žití</w:t>
      </w:r>
      <w:r w:rsidRPr="005F1178">
        <w:rPr>
          <w:snapToGrid w:val="0"/>
          <w:szCs w:val="22"/>
        </w:rPr>
        <w:t xml:space="preserve"> m</w:t>
      </w:r>
      <w:r w:rsidRPr="005F1178">
        <w:rPr>
          <w:rFonts w:hint="eastAsia"/>
          <w:snapToGrid w:val="0"/>
          <w:szCs w:val="22"/>
        </w:rPr>
        <w:t>ůž</w:t>
      </w:r>
      <w:r w:rsidRPr="005F1178">
        <w:rPr>
          <w:snapToGrid w:val="0"/>
          <w:szCs w:val="22"/>
        </w:rPr>
        <w:t>e zp</w:t>
      </w:r>
      <w:r w:rsidRPr="005F1178">
        <w:rPr>
          <w:rFonts w:hint="eastAsia"/>
          <w:snapToGrid w:val="0"/>
          <w:szCs w:val="22"/>
        </w:rPr>
        <w:t>ů</w:t>
      </w:r>
      <w:r w:rsidRPr="005F1178">
        <w:rPr>
          <w:snapToGrid w:val="0"/>
          <w:szCs w:val="22"/>
        </w:rPr>
        <w:t>sobit intoxikaci a m</w:t>
      </w:r>
      <w:r w:rsidRPr="005F1178">
        <w:rPr>
          <w:rFonts w:hint="eastAsia"/>
          <w:snapToGrid w:val="0"/>
          <w:szCs w:val="22"/>
        </w:rPr>
        <w:t>ůž</w:t>
      </w:r>
      <w:r w:rsidRPr="005F1178">
        <w:rPr>
          <w:snapToGrid w:val="0"/>
          <w:szCs w:val="22"/>
        </w:rPr>
        <w:t>e být smrtelné, zejména u d</w:t>
      </w:r>
      <w:r w:rsidRPr="005F1178">
        <w:rPr>
          <w:rFonts w:hint="eastAsia"/>
          <w:snapToGrid w:val="0"/>
          <w:szCs w:val="22"/>
        </w:rPr>
        <w:t>ě</w:t>
      </w:r>
      <w:r w:rsidRPr="005F1178">
        <w:rPr>
          <w:snapToGrid w:val="0"/>
          <w:szCs w:val="22"/>
        </w:rPr>
        <w:t>tí. V</w:t>
      </w:r>
      <w:r w:rsidRPr="005F1178">
        <w:rPr>
          <w:rFonts w:hint="eastAsia"/>
          <w:snapToGrid w:val="0"/>
          <w:szCs w:val="22"/>
        </w:rPr>
        <w:t>ě</w:t>
      </w:r>
      <w:r w:rsidRPr="005F1178">
        <w:rPr>
          <w:snapToGrid w:val="0"/>
          <w:szCs w:val="22"/>
        </w:rPr>
        <w:t>nujte maximální pozornost tomu, aby se d</w:t>
      </w:r>
      <w:r w:rsidRPr="005F1178">
        <w:rPr>
          <w:rFonts w:hint="eastAsia"/>
          <w:snapToGrid w:val="0"/>
          <w:szCs w:val="22"/>
        </w:rPr>
        <w:t>ě</w:t>
      </w:r>
      <w:r w:rsidRPr="005F1178">
        <w:rPr>
          <w:snapToGrid w:val="0"/>
          <w:szCs w:val="22"/>
        </w:rPr>
        <w:t>ti nedostaly do kontaktu s přípravkem.</w:t>
      </w:r>
    </w:p>
    <w:p w14:paraId="551695EB" w14:textId="6B92B089" w:rsidR="005F1178" w:rsidRPr="005F1178" w:rsidRDefault="005F1178" w:rsidP="00F1382B">
      <w:pPr>
        <w:widowControl w:val="0"/>
        <w:tabs>
          <w:tab w:val="clear" w:pos="567"/>
          <w:tab w:val="left" w:pos="284"/>
        </w:tabs>
        <w:spacing w:line="240" w:lineRule="auto"/>
        <w:ind w:left="284" w:hanging="284"/>
        <w:jc w:val="both"/>
        <w:rPr>
          <w:snapToGrid w:val="0"/>
          <w:szCs w:val="22"/>
        </w:rPr>
      </w:pPr>
      <w:r w:rsidRPr="005F1178">
        <w:rPr>
          <w:rFonts w:hint="eastAsia"/>
          <w:snapToGrid w:val="0"/>
          <w:szCs w:val="22"/>
        </w:rPr>
        <w:t>•</w:t>
      </w:r>
      <w:r w:rsidRPr="005F1178">
        <w:rPr>
          <w:snapToGrid w:val="0"/>
          <w:szCs w:val="22"/>
        </w:rPr>
        <w:tab/>
        <w:t>Fenobarbital je teratogenní a m</w:t>
      </w:r>
      <w:r w:rsidRPr="005F1178">
        <w:rPr>
          <w:rFonts w:hint="eastAsia"/>
          <w:snapToGrid w:val="0"/>
          <w:szCs w:val="22"/>
        </w:rPr>
        <w:t>ůž</w:t>
      </w:r>
      <w:r w:rsidRPr="005F1178">
        <w:rPr>
          <w:snapToGrid w:val="0"/>
          <w:szCs w:val="22"/>
        </w:rPr>
        <w:t>e být toxický pro nenarozené a kojené d</w:t>
      </w:r>
      <w:r w:rsidRPr="005F1178">
        <w:rPr>
          <w:rFonts w:hint="eastAsia"/>
          <w:snapToGrid w:val="0"/>
          <w:szCs w:val="22"/>
        </w:rPr>
        <w:t>ě</w:t>
      </w:r>
      <w:r w:rsidRPr="005F1178">
        <w:rPr>
          <w:snapToGrid w:val="0"/>
          <w:szCs w:val="22"/>
        </w:rPr>
        <w:t>ti; m</w:t>
      </w:r>
      <w:r w:rsidRPr="005F1178">
        <w:rPr>
          <w:rFonts w:hint="eastAsia"/>
          <w:snapToGrid w:val="0"/>
          <w:szCs w:val="22"/>
        </w:rPr>
        <w:t>ůž</w:t>
      </w:r>
      <w:r w:rsidRPr="005F1178">
        <w:rPr>
          <w:snapToGrid w:val="0"/>
          <w:szCs w:val="22"/>
        </w:rPr>
        <w:t>e ovlivnit vývoj mozku a vést ke kognitivním poruchám. Fenobarbital se vylu</w:t>
      </w:r>
      <w:r w:rsidRPr="005F1178">
        <w:rPr>
          <w:rFonts w:hint="eastAsia"/>
          <w:snapToGrid w:val="0"/>
          <w:szCs w:val="22"/>
        </w:rPr>
        <w:t>č</w:t>
      </w:r>
      <w:r w:rsidRPr="005F1178">
        <w:rPr>
          <w:snapToGrid w:val="0"/>
          <w:szCs w:val="22"/>
        </w:rPr>
        <w:t>uje do mate</w:t>
      </w:r>
      <w:r w:rsidRPr="005F1178">
        <w:rPr>
          <w:rFonts w:hint="eastAsia"/>
          <w:snapToGrid w:val="0"/>
          <w:szCs w:val="22"/>
        </w:rPr>
        <w:t>ř</w:t>
      </w:r>
      <w:r w:rsidRPr="005F1178">
        <w:rPr>
          <w:snapToGrid w:val="0"/>
          <w:szCs w:val="22"/>
        </w:rPr>
        <w:t>ského mléka. T</w:t>
      </w:r>
      <w:r w:rsidRPr="005F1178">
        <w:rPr>
          <w:rFonts w:hint="eastAsia"/>
          <w:snapToGrid w:val="0"/>
          <w:szCs w:val="22"/>
        </w:rPr>
        <w:t>ě</w:t>
      </w:r>
      <w:r w:rsidRPr="005F1178">
        <w:rPr>
          <w:snapToGrid w:val="0"/>
          <w:szCs w:val="22"/>
        </w:rPr>
        <w:t>hotné ženy, ženy v plodném v</w:t>
      </w:r>
      <w:r w:rsidRPr="005F1178">
        <w:rPr>
          <w:rFonts w:hint="eastAsia"/>
          <w:snapToGrid w:val="0"/>
          <w:szCs w:val="22"/>
        </w:rPr>
        <w:t>ě</w:t>
      </w:r>
      <w:r w:rsidRPr="005F1178">
        <w:rPr>
          <w:snapToGrid w:val="0"/>
          <w:szCs w:val="22"/>
        </w:rPr>
        <w:t>ku a kojící ženy, by se m</w:t>
      </w:r>
      <w:r w:rsidRPr="005F1178">
        <w:rPr>
          <w:rFonts w:hint="eastAsia"/>
          <w:snapToGrid w:val="0"/>
          <w:szCs w:val="22"/>
        </w:rPr>
        <w:t>ě</w:t>
      </w:r>
      <w:r w:rsidRPr="005F1178">
        <w:rPr>
          <w:snapToGrid w:val="0"/>
          <w:szCs w:val="22"/>
        </w:rPr>
        <w:t>ly vyhnout náhodnému po</w:t>
      </w:r>
      <w:r w:rsidR="00C5559E">
        <w:rPr>
          <w:snapToGrid w:val="0"/>
          <w:szCs w:val="22"/>
        </w:rPr>
        <w:t>žití</w:t>
      </w:r>
      <w:r w:rsidRPr="005F1178">
        <w:rPr>
          <w:snapToGrid w:val="0"/>
          <w:szCs w:val="22"/>
        </w:rPr>
        <w:t xml:space="preserve"> a prodlouženému kontaktu přípravku s pokožkou.</w:t>
      </w:r>
    </w:p>
    <w:p w14:paraId="5E8249E3" w14:textId="758B5C65" w:rsidR="005F1178" w:rsidRPr="005F1178" w:rsidRDefault="005F1178" w:rsidP="00F1382B">
      <w:pPr>
        <w:widowControl w:val="0"/>
        <w:tabs>
          <w:tab w:val="clear" w:pos="567"/>
          <w:tab w:val="left" w:pos="284"/>
        </w:tabs>
        <w:spacing w:line="240" w:lineRule="auto"/>
        <w:ind w:left="568" w:hanging="568"/>
        <w:jc w:val="both"/>
        <w:rPr>
          <w:snapToGrid w:val="0"/>
          <w:szCs w:val="22"/>
        </w:rPr>
      </w:pPr>
      <w:r w:rsidRPr="005F1178">
        <w:rPr>
          <w:rFonts w:hint="eastAsia"/>
          <w:snapToGrid w:val="0"/>
          <w:szCs w:val="22"/>
        </w:rPr>
        <w:t>•</w:t>
      </w:r>
      <w:r w:rsidRPr="005F1178">
        <w:rPr>
          <w:snapToGrid w:val="0"/>
          <w:szCs w:val="22"/>
        </w:rPr>
        <w:tab/>
        <w:t>Uchovávejte tento přípravek v p</w:t>
      </w:r>
      <w:r w:rsidRPr="005F1178">
        <w:rPr>
          <w:rFonts w:hint="eastAsia"/>
          <w:snapToGrid w:val="0"/>
          <w:szCs w:val="22"/>
        </w:rPr>
        <w:t>ů</w:t>
      </w:r>
      <w:r w:rsidRPr="005F1178">
        <w:rPr>
          <w:snapToGrid w:val="0"/>
          <w:szCs w:val="22"/>
        </w:rPr>
        <w:t>vodním obalu, abyste zabránili náhodnému po</w:t>
      </w:r>
      <w:r w:rsidR="00C5559E">
        <w:rPr>
          <w:snapToGrid w:val="0"/>
          <w:szCs w:val="22"/>
        </w:rPr>
        <w:t>žití</w:t>
      </w:r>
      <w:r w:rsidRPr="005F1178">
        <w:rPr>
          <w:snapToGrid w:val="0"/>
          <w:szCs w:val="22"/>
        </w:rPr>
        <w:t>.</w:t>
      </w:r>
    </w:p>
    <w:p w14:paraId="47596A6C" w14:textId="77777777" w:rsidR="005F1178" w:rsidRPr="005F1178" w:rsidRDefault="005F1178" w:rsidP="00F1382B">
      <w:pPr>
        <w:widowControl w:val="0"/>
        <w:tabs>
          <w:tab w:val="clear" w:pos="567"/>
          <w:tab w:val="left" w:pos="284"/>
        </w:tabs>
        <w:spacing w:line="240" w:lineRule="auto"/>
        <w:ind w:left="284" w:hanging="284"/>
        <w:jc w:val="both"/>
        <w:rPr>
          <w:snapToGrid w:val="0"/>
          <w:szCs w:val="22"/>
        </w:rPr>
      </w:pPr>
      <w:r w:rsidRPr="005F1178">
        <w:rPr>
          <w:rFonts w:hint="eastAsia"/>
          <w:snapToGrid w:val="0"/>
          <w:szCs w:val="22"/>
        </w:rPr>
        <w:t>•</w:t>
      </w:r>
      <w:r w:rsidRPr="005F1178">
        <w:rPr>
          <w:snapToGrid w:val="0"/>
          <w:szCs w:val="22"/>
        </w:rPr>
        <w:tab/>
        <w:t>P</w:t>
      </w:r>
      <w:r w:rsidRPr="005F1178">
        <w:rPr>
          <w:rFonts w:hint="eastAsia"/>
          <w:snapToGrid w:val="0"/>
          <w:szCs w:val="22"/>
        </w:rPr>
        <w:t>ř</w:t>
      </w:r>
      <w:r w:rsidRPr="005F1178">
        <w:rPr>
          <w:snapToGrid w:val="0"/>
          <w:szCs w:val="22"/>
        </w:rPr>
        <w:t>i podávání p</w:t>
      </w:r>
      <w:r w:rsidRPr="005F1178">
        <w:rPr>
          <w:rFonts w:hint="eastAsia"/>
          <w:snapToGrid w:val="0"/>
          <w:szCs w:val="22"/>
        </w:rPr>
        <w:t>ří</w:t>
      </w:r>
      <w:r w:rsidRPr="005F1178">
        <w:rPr>
          <w:snapToGrid w:val="0"/>
          <w:szCs w:val="22"/>
        </w:rPr>
        <w:t>pravku se doporučuje používat jednorázové rukavice, aby se omezil kontakt s pokožkou.</w:t>
      </w:r>
    </w:p>
    <w:p w14:paraId="4C548CB9" w14:textId="7E648CCB" w:rsidR="005F1178" w:rsidRPr="005F1178" w:rsidRDefault="005F1178" w:rsidP="00F1382B">
      <w:pPr>
        <w:widowControl w:val="0"/>
        <w:tabs>
          <w:tab w:val="clear" w:pos="567"/>
          <w:tab w:val="left" w:pos="284"/>
        </w:tabs>
        <w:spacing w:line="240" w:lineRule="auto"/>
        <w:ind w:left="284" w:hanging="284"/>
        <w:jc w:val="both"/>
        <w:rPr>
          <w:snapToGrid w:val="0"/>
          <w:szCs w:val="22"/>
        </w:rPr>
      </w:pPr>
      <w:r w:rsidRPr="005F1178">
        <w:rPr>
          <w:rFonts w:hint="eastAsia"/>
          <w:snapToGrid w:val="0"/>
          <w:szCs w:val="22"/>
        </w:rPr>
        <w:t>•</w:t>
      </w:r>
      <w:r w:rsidRPr="005F1178">
        <w:rPr>
          <w:snapToGrid w:val="0"/>
          <w:szCs w:val="22"/>
        </w:rPr>
        <w:tab/>
        <w:t>V p</w:t>
      </w:r>
      <w:r w:rsidRPr="005F1178">
        <w:rPr>
          <w:rFonts w:hint="eastAsia"/>
          <w:snapToGrid w:val="0"/>
          <w:szCs w:val="22"/>
        </w:rPr>
        <w:t>ří</w:t>
      </w:r>
      <w:r w:rsidRPr="005F1178">
        <w:rPr>
          <w:snapToGrid w:val="0"/>
          <w:szCs w:val="22"/>
        </w:rPr>
        <w:t>pad</w:t>
      </w:r>
      <w:r w:rsidRPr="005F1178">
        <w:rPr>
          <w:rFonts w:hint="eastAsia"/>
          <w:snapToGrid w:val="0"/>
          <w:szCs w:val="22"/>
        </w:rPr>
        <w:t>ě</w:t>
      </w:r>
      <w:r w:rsidRPr="005F1178">
        <w:rPr>
          <w:snapToGrid w:val="0"/>
          <w:szCs w:val="22"/>
        </w:rPr>
        <w:t xml:space="preserve"> náhodného po</w:t>
      </w:r>
      <w:r w:rsidR="00C5559E">
        <w:rPr>
          <w:snapToGrid w:val="0"/>
          <w:szCs w:val="22"/>
        </w:rPr>
        <w:t>žití</w:t>
      </w:r>
      <w:r w:rsidRPr="005F1178">
        <w:rPr>
          <w:snapToGrid w:val="0"/>
          <w:szCs w:val="22"/>
        </w:rPr>
        <w:t xml:space="preserve"> vyhledejte ihned léka</w:t>
      </w:r>
      <w:r w:rsidRPr="005F1178">
        <w:rPr>
          <w:rFonts w:hint="eastAsia"/>
          <w:snapToGrid w:val="0"/>
          <w:szCs w:val="22"/>
        </w:rPr>
        <w:t>ř</w:t>
      </w:r>
      <w:r w:rsidRPr="005F1178">
        <w:rPr>
          <w:snapToGrid w:val="0"/>
          <w:szCs w:val="22"/>
        </w:rPr>
        <w:t>skou pomoc a uvědomte zdravotní službu o otrav</w:t>
      </w:r>
      <w:r w:rsidRPr="005F1178">
        <w:rPr>
          <w:rFonts w:hint="eastAsia"/>
          <w:snapToGrid w:val="0"/>
          <w:szCs w:val="22"/>
        </w:rPr>
        <w:t>ě</w:t>
      </w:r>
      <w:r w:rsidRPr="005F1178">
        <w:rPr>
          <w:snapToGrid w:val="0"/>
          <w:szCs w:val="22"/>
        </w:rPr>
        <w:t xml:space="preserve"> barbiturátem; ukažte p</w:t>
      </w:r>
      <w:r w:rsidRPr="005F1178">
        <w:rPr>
          <w:rFonts w:hint="eastAsia"/>
          <w:snapToGrid w:val="0"/>
          <w:szCs w:val="22"/>
        </w:rPr>
        <w:t>ří</w:t>
      </w:r>
      <w:r w:rsidRPr="005F1178">
        <w:rPr>
          <w:snapToGrid w:val="0"/>
          <w:szCs w:val="22"/>
        </w:rPr>
        <w:t>balovou informaci nebo etiketu praktickému léka</w:t>
      </w:r>
      <w:r w:rsidRPr="005F1178">
        <w:rPr>
          <w:rFonts w:hint="eastAsia"/>
          <w:snapToGrid w:val="0"/>
          <w:szCs w:val="22"/>
        </w:rPr>
        <w:t>ř</w:t>
      </w:r>
      <w:r w:rsidRPr="005F1178">
        <w:rPr>
          <w:snapToGrid w:val="0"/>
          <w:szCs w:val="22"/>
        </w:rPr>
        <w:t>i. Pokud je to možné, léka</w:t>
      </w:r>
      <w:r w:rsidRPr="005F1178">
        <w:rPr>
          <w:rFonts w:hint="eastAsia"/>
          <w:snapToGrid w:val="0"/>
          <w:szCs w:val="22"/>
        </w:rPr>
        <w:t>ř</w:t>
      </w:r>
      <w:r w:rsidRPr="005F1178">
        <w:rPr>
          <w:snapToGrid w:val="0"/>
          <w:szCs w:val="22"/>
        </w:rPr>
        <w:t xml:space="preserve"> by m</w:t>
      </w:r>
      <w:r w:rsidRPr="005F1178">
        <w:rPr>
          <w:rFonts w:hint="eastAsia"/>
          <w:snapToGrid w:val="0"/>
          <w:szCs w:val="22"/>
        </w:rPr>
        <w:t>ě</w:t>
      </w:r>
      <w:r w:rsidRPr="005F1178">
        <w:rPr>
          <w:snapToGrid w:val="0"/>
          <w:szCs w:val="22"/>
        </w:rPr>
        <w:t xml:space="preserve">l být informován o </w:t>
      </w:r>
      <w:r w:rsidRPr="005F1178">
        <w:rPr>
          <w:rFonts w:hint="eastAsia"/>
          <w:snapToGrid w:val="0"/>
          <w:szCs w:val="22"/>
        </w:rPr>
        <w:t>č</w:t>
      </w:r>
      <w:r w:rsidRPr="005F1178">
        <w:rPr>
          <w:snapToGrid w:val="0"/>
          <w:szCs w:val="22"/>
        </w:rPr>
        <w:t>ase a množství pozřeného přípravku, protože tyto informace mohou pomoci zajistit, aby byla poskytnuta odpovídající lé</w:t>
      </w:r>
      <w:r w:rsidRPr="005F1178">
        <w:rPr>
          <w:rFonts w:hint="eastAsia"/>
          <w:snapToGrid w:val="0"/>
          <w:szCs w:val="22"/>
        </w:rPr>
        <w:t>č</w:t>
      </w:r>
      <w:r w:rsidRPr="005F1178">
        <w:rPr>
          <w:snapToGrid w:val="0"/>
          <w:szCs w:val="22"/>
        </w:rPr>
        <w:t>ba.</w:t>
      </w:r>
    </w:p>
    <w:p w14:paraId="62A766BA" w14:textId="50BA558E" w:rsidR="005F1178" w:rsidRPr="005F1178" w:rsidRDefault="005F1178" w:rsidP="00F1382B">
      <w:pPr>
        <w:widowControl w:val="0"/>
        <w:tabs>
          <w:tab w:val="clear" w:pos="567"/>
          <w:tab w:val="left" w:pos="284"/>
        </w:tabs>
        <w:spacing w:line="240" w:lineRule="auto"/>
        <w:ind w:left="284" w:hanging="284"/>
        <w:jc w:val="both"/>
        <w:rPr>
          <w:snapToGrid w:val="0"/>
          <w:szCs w:val="22"/>
        </w:rPr>
      </w:pPr>
      <w:r w:rsidRPr="005F1178">
        <w:rPr>
          <w:rFonts w:hint="eastAsia"/>
          <w:snapToGrid w:val="0"/>
          <w:szCs w:val="22"/>
        </w:rPr>
        <w:t>•</w:t>
      </w:r>
      <w:r w:rsidRPr="005F1178">
        <w:rPr>
          <w:snapToGrid w:val="0"/>
          <w:szCs w:val="22"/>
        </w:rPr>
        <w:tab/>
        <w:t>Kdykoliv skladujete nepoužitou část tablety do dalšího použití, vr</w:t>
      </w:r>
      <w:r w:rsidR="00C5559E">
        <w:rPr>
          <w:snapToGrid w:val="0"/>
          <w:szCs w:val="22"/>
        </w:rPr>
        <w:t xml:space="preserve">aťte ji </w:t>
      </w:r>
      <w:r w:rsidRPr="005F1178">
        <w:rPr>
          <w:snapToGrid w:val="0"/>
          <w:szCs w:val="22"/>
        </w:rPr>
        <w:t>do otev</w:t>
      </w:r>
      <w:r w:rsidRPr="005F1178">
        <w:rPr>
          <w:rFonts w:hint="eastAsia"/>
          <w:snapToGrid w:val="0"/>
          <w:szCs w:val="22"/>
        </w:rPr>
        <w:t>ř</w:t>
      </w:r>
      <w:r w:rsidRPr="005F1178">
        <w:rPr>
          <w:snapToGrid w:val="0"/>
          <w:szCs w:val="22"/>
        </w:rPr>
        <w:t>eného blistru a blistr vložt</w:t>
      </w:r>
      <w:r w:rsidR="00C5559E">
        <w:rPr>
          <w:snapToGrid w:val="0"/>
          <w:szCs w:val="22"/>
        </w:rPr>
        <w:t>e</w:t>
      </w:r>
      <w:r w:rsidRPr="005F1178">
        <w:rPr>
          <w:snapToGrid w:val="0"/>
          <w:szCs w:val="22"/>
        </w:rPr>
        <w:t xml:space="preserve"> zp</w:t>
      </w:r>
      <w:r w:rsidRPr="005F1178">
        <w:rPr>
          <w:rFonts w:hint="eastAsia"/>
          <w:snapToGrid w:val="0"/>
          <w:szCs w:val="22"/>
        </w:rPr>
        <w:t>ě</w:t>
      </w:r>
      <w:r w:rsidRPr="005F1178">
        <w:rPr>
          <w:snapToGrid w:val="0"/>
          <w:szCs w:val="22"/>
        </w:rPr>
        <w:t>t do krabičky.</w:t>
      </w:r>
    </w:p>
    <w:p w14:paraId="4B1CDF63" w14:textId="77777777" w:rsidR="005F1178" w:rsidRPr="005F1178" w:rsidRDefault="005F1178" w:rsidP="00430228">
      <w:pPr>
        <w:widowControl w:val="0"/>
        <w:tabs>
          <w:tab w:val="clear" w:pos="567"/>
          <w:tab w:val="left" w:pos="284"/>
        </w:tabs>
        <w:spacing w:line="240" w:lineRule="auto"/>
        <w:ind w:left="568" w:hanging="568"/>
        <w:jc w:val="both"/>
        <w:rPr>
          <w:snapToGrid w:val="0"/>
          <w:szCs w:val="22"/>
        </w:rPr>
      </w:pPr>
      <w:r w:rsidRPr="005F1178">
        <w:rPr>
          <w:rFonts w:hint="eastAsia"/>
          <w:snapToGrid w:val="0"/>
          <w:szCs w:val="22"/>
        </w:rPr>
        <w:t>•</w:t>
      </w:r>
      <w:r w:rsidRPr="005F1178">
        <w:rPr>
          <w:snapToGrid w:val="0"/>
          <w:szCs w:val="22"/>
        </w:rPr>
        <w:tab/>
        <w:t>Po použití si d</w:t>
      </w:r>
      <w:r w:rsidRPr="005F1178">
        <w:rPr>
          <w:rFonts w:hint="eastAsia"/>
          <w:snapToGrid w:val="0"/>
          <w:szCs w:val="22"/>
        </w:rPr>
        <w:t>ů</w:t>
      </w:r>
      <w:r w:rsidRPr="005F1178">
        <w:rPr>
          <w:snapToGrid w:val="0"/>
          <w:szCs w:val="22"/>
        </w:rPr>
        <w:t>kladn</w:t>
      </w:r>
      <w:r w:rsidRPr="005F1178">
        <w:rPr>
          <w:rFonts w:hint="eastAsia"/>
          <w:snapToGrid w:val="0"/>
          <w:szCs w:val="22"/>
        </w:rPr>
        <w:t>ě</w:t>
      </w:r>
      <w:r w:rsidRPr="005F1178">
        <w:rPr>
          <w:snapToGrid w:val="0"/>
          <w:szCs w:val="22"/>
        </w:rPr>
        <w:t xml:space="preserve"> umyjte ruce.</w:t>
      </w:r>
    </w:p>
    <w:p w14:paraId="2DB2AF6F" w14:textId="77777777" w:rsidR="005F1178" w:rsidRPr="005F1178" w:rsidRDefault="005F1178">
      <w:pPr>
        <w:spacing w:line="240" w:lineRule="auto"/>
        <w:jc w:val="both"/>
        <w:rPr>
          <w:szCs w:val="22"/>
        </w:rPr>
      </w:pPr>
    </w:p>
    <w:p w14:paraId="3B92A305" w14:textId="1771087F" w:rsidR="00EF429A" w:rsidRPr="00EF429A" w:rsidRDefault="00C43387">
      <w:pPr>
        <w:keepNext/>
        <w:tabs>
          <w:tab w:val="clear" w:pos="567"/>
        </w:tabs>
        <w:spacing w:line="240" w:lineRule="auto"/>
        <w:jc w:val="both"/>
        <w:rPr>
          <w:szCs w:val="22"/>
          <w:u w:val="single"/>
        </w:rPr>
      </w:pPr>
      <w:r>
        <w:rPr>
          <w:szCs w:val="22"/>
          <w:u w:val="single"/>
        </w:rPr>
        <w:t>Březost a laktace</w:t>
      </w:r>
      <w:r w:rsidR="00EF429A" w:rsidRPr="00EF429A">
        <w:rPr>
          <w:szCs w:val="22"/>
          <w:u w:val="single"/>
        </w:rPr>
        <w:t>:</w:t>
      </w:r>
    </w:p>
    <w:p w14:paraId="0384CF76" w14:textId="77777777" w:rsidR="00EF429A" w:rsidRPr="00F1382B" w:rsidRDefault="00EF429A">
      <w:pPr>
        <w:keepNext/>
        <w:tabs>
          <w:tab w:val="clear" w:pos="567"/>
        </w:tabs>
        <w:spacing w:line="240" w:lineRule="auto"/>
        <w:jc w:val="both"/>
        <w:rPr>
          <w:szCs w:val="22"/>
        </w:rPr>
      </w:pPr>
      <w:r w:rsidRPr="00F1382B">
        <w:rPr>
          <w:szCs w:val="22"/>
        </w:rPr>
        <w:t>Fenobarbital prochází placentární bariérou a při vyšších dávkách (reverzibilní) nelze vyloučit abstinenční příznaky u novorozenců. Studie na laboratorních zvířatech prokázaly účinek fenobarbitalu na prenatální růst, zejména pokud jde o sexuální vývoj. S léčbou fenobarbitalem během těhotenství byly spojeny sklony ke krvácení u novorozenců. Podávání vitaminu K matce po dobu 10 dnů před porodem může pomoci minimalizovat tyto účinky na plod.</w:t>
      </w:r>
    </w:p>
    <w:p w14:paraId="191790C6" w14:textId="77777777" w:rsidR="00EF429A" w:rsidRPr="00F1382B" w:rsidRDefault="00EF429A">
      <w:pPr>
        <w:keepNext/>
        <w:tabs>
          <w:tab w:val="clear" w:pos="567"/>
        </w:tabs>
        <w:spacing w:line="240" w:lineRule="auto"/>
        <w:jc w:val="both"/>
        <w:rPr>
          <w:szCs w:val="22"/>
        </w:rPr>
      </w:pPr>
      <w:r w:rsidRPr="00F1382B">
        <w:rPr>
          <w:szCs w:val="22"/>
        </w:rPr>
        <w:t xml:space="preserve">Bezpečnost přípravku nebyla stanovena během březosti psů. Přínos léčby může být větší než potenciální rizika spojená s epileptickými záchvaty na plod (hypoxie a acidóza). V případě těhotenství se proto ukončení </w:t>
      </w:r>
      <w:proofErr w:type="spellStart"/>
      <w:r w:rsidRPr="00F1382B">
        <w:rPr>
          <w:szCs w:val="22"/>
        </w:rPr>
        <w:t>antiepileptické</w:t>
      </w:r>
      <w:proofErr w:type="spellEnd"/>
      <w:r w:rsidRPr="00F1382B">
        <w:rPr>
          <w:szCs w:val="22"/>
        </w:rPr>
        <w:t xml:space="preserve"> léčby nedoporučuje; dávka by však měla být co nejnižší.</w:t>
      </w:r>
    </w:p>
    <w:p w14:paraId="3819CA88" w14:textId="77777777" w:rsidR="00EF429A" w:rsidRPr="00F1382B" w:rsidRDefault="00EF429A">
      <w:pPr>
        <w:keepNext/>
        <w:tabs>
          <w:tab w:val="clear" w:pos="567"/>
        </w:tabs>
        <w:spacing w:line="240" w:lineRule="auto"/>
        <w:jc w:val="both"/>
        <w:rPr>
          <w:szCs w:val="22"/>
        </w:rPr>
      </w:pPr>
      <w:r w:rsidRPr="00F1382B">
        <w:rPr>
          <w:szCs w:val="22"/>
        </w:rPr>
        <w:t>Fenobarbital se v malých množstvích vylučuje do mateřského mléka a během kojení by měla být mláďata pečlivě sledována kvůli nežádoucím sedativním účinkům. Možností může být předčasné odstavení. Pokud se u kojených novorozenců objeví somnolence/sedativní účinky (které by mohly narušit sání), měla by být zvolena metoda umělého sání.</w:t>
      </w:r>
    </w:p>
    <w:p w14:paraId="4487435C" w14:textId="507B8BA3" w:rsidR="00EF429A" w:rsidRPr="00F1382B" w:rsidRDefault="00EF429A">
      <w:pPr>
        <w:keepNext/>
        <w:tabs>
          <w:tab w:val="clear" w:pos="567"/>
        </w:tabs>
        <w:spacing w:line="240" w:lineRule="auto"/>
        <w:jc w:val="both"/>
        <w:rPr>
          <w:szCs w:val="22"/>
        </w:rPr>
      </w:pPr>
      <w:r w:rsidRPr="00F1382B">
        <w:rPr>
          <w:szCs w:val="22"/>
        </w:rPr>
        <w:t>Používejte během březosti a laktace pouze na základě posouzení přínosu/rizika odpovědným veterinárním lékařem.</w:t>
      </w:r>
    </w:p>
    <w:p w14:paraId="4CAF2FF1" w14:textId="77777777" w:rsidR="00EF429A" w:rsidRDefault="00EF429A">
      <w:pPr>
        <w:keepNext/>
        <w:tabs>
          <w:tab w:val="clear" w:pos="567"/>
        </w:tabs>
        <w:spacing w:line="240" w:lineRule="auto"/>
        <w:jc w:val="both"/>
        <w:rPr>
          <w:szCs w:val="22"/>
          <w:u w:val="single"/>
        </w:rPr>
      </w:pPr>
    </w:p>
    <w:p w14:paraId="3B010054" w14:textId="28D9F595" w:rsidR="005F1178" w:rsidRPr="005F1178" w:rsidRDefault="005F1178">
      <w:pPr>
        <w:keepNext/>
        <w:tabs>
          <w:tab w:val="clear" w:pos="567"/>
        </w:tabs>
        <w:spacing w:line="240" w:lineRule="auto"/>
        <w:jc w:val="both"/>
        <w:rPr>
          <w:szCs w:val="22"/>
          <w:u w:val="single"/>
        </w:rPr>
      </w:pPr>
      <w:r w:rsidRPr="005F1178">
        <w:rPr>
          <w:szCs w:val="22"/>
          <w:u w:val="single"/>
        </w:rPr>
        <w:t>Interakce s dalšími léčivými přípravky a další formy interakce:</w:t>
      </w:r>
    </w:p>
    <w:p w14:paraId="3076698A" w14:textId="77777777" w:rsidR="005F1178" w:rsidRPr="005F1178" w:rsidRDefault="005F1178">
      <w:pPr>
        <w:tabs>
          <w:tab w:val="clear" w:pos="567"/>
        </w:tabs>
        <w:spacing w:line="240" w:lineRule="auto"/>
        <w:jc w:val="both"/>
        <w:rPr>
          <w:szCs w:val="22"/>
        </w:rPr>
      </w:pPr>
      <w:r w:rsidRPr="005F1178">
        <w:rPr>
          <w:szCs w:val="22"/>
        </w:rPr>
        <w:t>Fenobarbital může snížit terapeutické hladiny široké škály léčivých přípravků v důsledku jeho indukčního účinku na jaterní enzymy.</w:t>
      </w:r>
    </w:p>
    <w:p w14:paraId="49BB9080" w14:textId="77777777" w:rsidR="005F1178" w:rsidRPr="005F1178" w:rsidRDefault="005F1178">
      <w:pPr>
        <w:tabs>
          <w:tab w:val="clear" w:pos="567"/>
        </w:tabs>
        <w:spacing w:line="240" w:lineRule="auto"/>
        <w:jc w:val="both"/>
        <w:rPr>
          <w:szCs w:val="22"/>
          <w:u w:val="single"/>
        </w:rPr>
      </w:pPr>
    </w:p>
    <w:p w14:paraId="3BA34F46" w14:textId="77777777" w:rsidR="005F1178" w:rsidRPr="005F1178" w:rsidRDefault="005F1178" w:rsidP="00F1382B">
      <w:pPr>
        <w:autoSpaceDE w:val="0"/>
        <w:autoSpaceDN w:val="0"/>
        <w:adjustRightInd w:val="0"/>
        <w:spacing w:line="240" w:lineRule="auto"/>
        <w:jc w:val="both"/>
        <w:rPr>
          <w:szCs w:val="22"/>
        </w:rPr>
      </w:pPr>
      <w:r w:rsidRPr="005F1178">
        <w:rPr>
          <w:szCs w:val="22"/>
        </w:rPr>
        <w:t xml:space="preserve">Terapeutická dávka fenobarbitalu při </w:t>
      </w:r>
      <w:proofErr w:type="spellStart"/>
      <w:r w:rsidRPr="005F1178">
        <w:rPr>
          <w:szCs w:val="22"/>
        </w:rPr>
        <w:t>antiepileptické</w:t>
      </w:r>
      <w:proofErr w:type="spellEnd"/>
      <w:r w:rsidRPr="005F1178">
        <w:rPr>
          <w:szCs w:val="22"/>
        </w:rPr>
        <w:t xml:space="preserve"> léčbě může být výrazně ovlivněna plazmatickými proteiny (např. α1-kyselý glykoprotein, AGP), a jejich vazbou na léčivou látku. Fenobarbital může snižovat aktivitu některých léčivých přípravků tím, že zvyšuje rychlost metabolismu prostřednictvím indukce enzymů metabolizujících léčivou látku v jaterních </w:t>
      </w:r>
      <w:proofErr w:type="spellStart"/>
      <w:r w:rsidRPr="005F1178">
        <w:rPr>
          <w:szCs w:val="22"/>
        </w:rPr>
        <w:t>mikrosomech</w:t>
      </w:r>
      <w:proofErr w:type="spellEnd"/>
      <w:r w:rsidRPr="005F1178">
        <w:rPr>
          <w:szCs w:val="22"/>
        </w:rPr>
        <w:t xml:space="preserve">. Proto zvláštní pozornost musí </w:t>
      </w:r>
      <w:r w:rsidRPr="005F1178">
        <w:rPr>
          <w:szCs w:val="22"/>
        </w:rPr>
        <w:lastRenderedPageBreak/>
        <w:t>být věnována farmakokinetice a dávkám současně podávaných léčivých přípravků. Při souběžném podání fenobarbitalu se snižují plazmatické koncentrace řady lé</w:t>
      </w:r>
      <w:r w:rsidRPr="005F1178">
        <w:rPr>
          <w:rFonts w:hint="eastAsia"/>
          <w:szCs w:val="22"/>
        </w:rPr>
        <w:t>č</w:t>
      </w:r>
      <w:r w:rsidRPr="005F1178">
        <w:rPr>
          <w:szCs w:val="22"/>
        </w:rPr>
        <w:t>ivých látek.</w:t>
      </w:r>
    </w:p>
    <w:p w14:paraId="032502EE" w14:textId="77777777" w:rsidR="005F1178" w:rsidRPr="005F1178" w:rsidRDefault="005F1178" w:rsidP="00F1382B">
      <w:pPr>
        <w:autoSpaceDE w:val="0"/>
        <w:autoSpaceDN w:val="0"/>
        <w:adjustRightInd w:val="0"/>
        <w:spacing w:line="240" w:lineRule="auto"/>
        <w:jc w:val="both"/>
        <w:rPr>
          <w:szCs w:val="22"/>
        </w:rPr>
      </w:pPr>
      <w:proofErr w:type="spellStart"/>
      <w:r w:rsidRPr="005F1178">
        <w:rPr>
          <w:szCs w:val="22"/>
        </w:rPr>
        <w:t>Cimetidin</w:t>
      </w:r>
      <w:proofErr w:type="spellEnd"/>
      <w:r w:rsidRPr="005F1178">
        <w:rPr>
          <w:szCs w:val="22"/>
        </w:rPr>
        <w:t xml:space="preserve"> a </w:t>
      </w:r>
      <w:proofErr w:type="spellStart"/>
      <w:r w:rsidRPr="005F1178">
        <w:rPr>
          <w:szCs w:val="22"/>
        </w:rPr>
        <w:t>ketokonazol</w:t>
      </w:r>
      <w:proofErr w:type="spellEnd"/>
      <w:r w:rsidRPr="005F1178">
        <w:rPr>
          <w:szCs w:val="22"/>
        </w:rPr>
        <w:t xml:space="preserve"> jsou inhibitory jaterních enzymů: souběžné užívání s fenobarbitalem může vyvolat zvýšení sérové koncentrace fenobarbitalu. </w:t>
      </w:r>
    </w:p>
    <w:p w14:paraId="3DEE176A" w14:textId="77777777" w:rsidR="005F1178" w:rsidRPr="005F1178" w:rsidRDefault="005F1178" w:rsidP="00F1382B">
      <w:pPr>
        <w:autoSpaceDE w:val="0"/>
        <w:autoSpaceDN w:val="0"/>
        <w:adjustRightInd w:val="0"/>
        <w:spacing w:line="240" w:lineRule="auto"/>
        <w:jc w:val="both"/>
        <w:rPr>
          <w:szCs w:val="22"/>
        </w:rPr>
      </w:pPr>
      <w:r w:rsidRPr="005F1178">
        <w:rPr>
          <w:szCs w:val="22"/>
        </w:rPr>
        <w:t xml:space="preserve">Fenobarbital může snižovat absorpci griseofulvinu. </w:t>
      </w:r>
    </w:p>
    <w:p w14:paraId="720504C4" w14:textId="77777777" w:rsidR="005F1178" w:rsidRPr="005F1178" w:rsidRDefault="005F1178" w:rsidP="00F1382B">
      <w:pPr>
        <w:autoSpaceDE w:val="0"/>
        <w:autoSpaceDN w:val="0"/>
        <w:adjustRightInd w:val="0"/>
        <w:spacing w:line="240" w:lineRule="auto"/>
        <w:jc w:val="both"/>
        <w:rPr>
          <w:szCs w:val="22"/>
        </w:rPr>
      </w:pPr>
      <w:r w:rsidRPr="005F1178">
        <w:rPr>
          <w:szCs w:val="22"/>
        </w:rPr>
        <w:t>Souběžné použití s bromidem draselným zvyšuje riziko pankreatitidy.</w:t>
      </w:r>
    </w:p>
    <w:p w14:paraId="4594BA14" w14:textId="77777777" w:rsidR="005F1178" w:rsidRPr="005F1178" w:rsidRDefault="005F1178" w:rsidP="00F1382B">
      <w:pPr>
        <w:autoSpaceDE w:val="0"/>
        <w:autoSpaceDN w:val="0"/>
        <w:adjustRightInd w:val="0"/>
        <w:spacing w:line="240" w:lineRule="auto"/>
        <w:jc w:val="both"/>
        <w:rPr>
          <w:szCs w:val="22"/>
        </w:rPr>
      </w:pPr>
      <w:r w:rsidRPr="005F1178">
        <w:rPr>
          <w:szCs w:val="22"/>
        </w:rPr>
        <w:t>Souběžné užívání s jinými léčivými přípravky s tlumivým účinkem na centrální nervový systém může zvýšit účinek fenobarbitalu.</w:t>
      </w:r>
    </w:p>
    <w:p w14:paraId="75B37A3D" w14:textId="77777777" w:rsidR="005F1178" w:rsidRPr="005F1178" w:rsidRDefault="005F1178" w:rsidP="00F1382B">
      <w:pPr>
        <w:spacing w:line="240" w:lineRule="auto"/>
        <w:jc w:val="both"/>
        <w:rPr>
          <w:szCs w:val="22"/>
        </w:rPr>
      </w:pPr>
      <w:r w:rsidRPr="005F1178">
        <w:rPr>
          <w:szCs w:val="22"/>
        </w:rPr>
        <w:t xml:space="preserve">Nedoporučuje se používat fenobarbital tablety spolu s </w:t>
      </w:r>
      <w:proofErr w:type="spellStart"/>
      <w:r w:rsidRPr="005F1178">
        <w:rPr>
          <w:szCs w:val="22"/>
        </w:rPr>
        <w:t>primidonem</w:t>
      </w:r>
      <w:proofErr w:type="spellEnd"/>
      <w:r w:rsidRPr="005F1178">
        <w:rPr>
          <w:szCs w:val="22"/>
        </w:rPr>
        <w:t xml:space="preserve">, protože </w:t>
      </w:r>
      <w:proofErr w:type="spellStart"/>
      <w:r w:rsidRPr="005F1178">
        <w:rPr>
          <w:szCs w:val="22"/>
        </w:rPr>
        <w:t>primidon</w:t>
      </w:r>
      <w:proofErr w:type="spellEnd"/>
      <w:r w:rsidRPr="005F1178">
        <w:rPr>
          <w:szCs w:val="22"/>
        </w:rPr>
        <w:t xml:space="preserve"> je převážně metabolizován na fenobarbital.</w:t>
      </w:r>
    </w:p>
    <w:p w14:paraId="0165625C" w14:textId="77777777" w:rsidR="005F1178" w:rsidRPr="005F1178" w:rsidRDefault="005F1178" w:rsidP="00F1382B">
      <w:pPr>
        <w:jc w:val="both"/>
        <w:rPr>
          <w:szCs w:val="22"/>
        </w:rPr>
      </w:pPr>
    </w:p>
    <w:p w14:paraId="297B21FD" w14:textId="77777777" w:rsidR="005F1178" w:rsidRPr="005F1178" w:rsidRDefault="005F1178" w:rsidP="00F1382B">
      <w:pPr>
        <w:keepNext/>
        <w:tabs>
          <w:tab w:val="clear" w:pos="567"/>
        </w:tabs>
        <w:spacing w:line="240" w:lineRule="auto"/>
        <w:jc w:val="both"/>
        <w:rPr>
          <w:szCs w:val="22"/>
          <w:u w:val="single"/>
        </w:rPr>
      </w:pPr>
      <w:r w:rsidRPr="005F1178">
        <w:rPr>
          <w:szCs w:val="22"/>
          <w:u w:val="single"/>
        </w:rPr>
        <w:t xml:space="preserve">Předávkování (symptomy, první pomoc, </w:t>
      </w:r>
      <w:proofErr w:type="spellStart"/>
      <w:r w:rsidRPr="005F1178">
        <w:rPr>
          <w:szCs w:val="22"/>
          <w:u w:val="single"/>
        </w:rPr>
        <w:t>antidota</w:t>
      </w:r>
      <w:proofErr w:type="spellEnd"/>
      <w:r w:rsidRPr="005F1178">
        <w:rPr>
          <w:szCs w:val="22"/>
          <w:u w:val="single"/>
        </w:rPr>
        <w:t>):</w:t>
      </w:r>
    </w:p>
    <w:p w14:paraId="73D3B416" w14:textId="77777777" w:rsidR="005F1178" w:rsidRPr="005F1178" w:rsidRDefault="005F1178" w:rsidP="00F1382B">
      <w:pPr>
        <w:tabs>
          <w:tab w:val="clear" w:pos="567"/>
        </w:tabs>
        <w:spacing w:line="240" w:lineRule="auto"/>
        <w:jc w:val="both"/>
        <w:rPr>
          <w:szCs w:val="22"/>
        </w:rPr>
      </w:pPr>
      <w:r w:rsidRPr="005F1178">
        <w:rPr>
          <w:szCs w:val="22"/>
        </w:rPr>
        <w:t>Toxicita se m</w:t>
      </w:r>
      <w:r w:rsidRPr="005F1178">
        <w:rPr>
          <w:rFonts w:hint="eastAsia"/>
          <w:szCs w:val="22"/>
        </w:rPr>
        <w:t>ůž</w:t>
      </w:r>
      <w:r w:rsidRPr="005F1178">
        <w:rPr>
          <w:szCs w:val="22"/>
        </w:rPr>
        <w:t>e vyvinout p</w:t>
      </w:r>
      <w:r w:rsidRPr="005F1178">
        <w:rPr>
          <w:rFonts w:hint="eastAsia"/>
          <w:szCs w:val="22"/>
        </w:rPr>
        <w:t>ř</w:t>
      </w:r>
      <w:r w:rsidRPr="005F1178">
        <w:rPr>
          <w:szCs w:val="22"/>
        </w:rPr>
        <w:t>i dávkách 20 mg/kg/den nebo když sérové hladiny fenobarbitalu p</w:t>
      </w:r>
      <w:r w:rsidRPr="005F1178">
        <w:rPr>
          <w:rFonts w:hint="eastAsia"/>
          <w:szCs w:val="22"/>
        </w:rPr>
        <w:t>ř</w:t>
      </w:r>
      <w:r w:rsidRPr="005F1178">
        <w:rPr>
          <w:szCs w:val="22"/>
        </w:rPr>
        <w:t>ekro</w:t>
      </w:r>
      <w:r w:rsidRPr="005F1178">
        <w:rPr>
          <w:rFonts w:hint="eastAsia"/>
          <w:szCs w:val="22"/>
        </w:rPr>
        <w:t>čí</w:t>
      </w:r>
      <w:r w:rsidRPr="005F1178">
        <w:rPr>
          <w:szCs w:val="22"/>
        </w:rPr>
        <w:t xml:space="preserve"> 45 mikrogram</w:t>
      </w:r>
      <w:r w:rsidRPr="005F1178">
        <w:rPr>
          <w:rFonts w:hint="eastAsia"/>
          <w:szCs w:val="22"/>
        </w:rPr>
        <w:t>ů</w:t>
      </w:r>
      <w:r w:rsidRPr="005F1178">
        <w:rPr>
          <w:szCs w:val="22"/>
        </w:rPr>
        <w:t>/ml.</w:t>
      </w:r>
    </w:p>
    <w:p w14:paraId="1BB098C8" w14:textId="77777777" w:rsidR="005F1178" w:rsidRPr="005F1178" w:rsidRDefault="005F1178" w:rsidP="00F1382B">
      <w:pPr>
        <w:widowControl w:val="0"/>
        <w:tabs>
          <w:tab w:val="clear" w:pos="567"/>
        </w:tabs>
        <w:autoSpaceDE w:val="0"/>
        <w:autoSpaceDN w:val="0"/>
        <w:adjustRightInd w:val="0"/>
        <w:spacing w:line="240" w:lineRule="auto"/>
        <w:jc w:val="both"/>
        <w:rPr>
          <w:snapToGrid w:val="0"/>
          <w:color w:val="000000"/>
          <w:szCs w:val="22"/>
        </w:rPr>
      </w:pPr>
      <w:r w:rsidRPr="005F1178">
        <w:rPr>
          <w:snapToGrid w:val="0"/>
          <w:color w:val="000000"/>
          <w:szCs w:val="22"/>
        </w:rPr>
        <w:t>Příznaky předávkování jsou:</w:t>
      </w:r>
    </w:p>
    <w:p w14:paraId="60E1F85C" w14:textId="77777777" w:rsidR="005F1178" w:rsidRPr="005F1178" w:rsidRDefault="005F1178" w:rsidP="00F1382B">
      <w:pPr>
        <w:widowControl w:val="0"/>
        <w:tabs>
          <w:tab w:val="clear" w:pos="567"/>
        </w:tabs>
        <w:autoSpaceDE w:val="0"/>
        <w:autoSpaceDN w:val="0"/>
        <w:adjustRightInd w:val="0"/>
        <w:spacing w:line="240" w:lineRule="auto"/>
        <w:jc w:val="both"/>
        <w:rPr>
          <w:snapToGrid w:val="0"/>
          <w:color w:val="000000"/>
          <w:szCs w:val="22"/>
        </w:rPr>
      </w:pPr>
      <w:r w:rsidRPr="005F1178">
        <w:rPr>
          <w:snapToGrid w:val="0"/>
          <w:color w:val="000000"/>
          <w:szCs w:val="22"/>
        </w:rPr>
        <w:t>- útlum centrální nervové soustavy projevující se spánkem až kómatem,</w:t>
      </w:r>
    </w:p>
    <w:p w14:paraId="5801DB1B" w14:textId="77777777" w:rsidR="005F1178" w:rsidRPr="005F1178" w:rsidRDefault="005F1178" w:rsidP="00F1382B">
      <w:pPr>
        <w:widowControl w:val="0"/>
        <w:tabs>
          <w:tab w:val="clear" w:pos="567"/>
        </w:tabs>
        <w:autoSpaceDE w:val="0"/>
        <w:autoSpaceDN w:val="0"/>
        <w:adjustRightInd w:val="0"/>
        <w:spacing w:line="240" w:lineRule="auto"/>
        <w:jc w:val="both"/>
        <w:rPr>
          <w:snapToGrid w:val="0"/>
          <w:color w:val="000000"/>
          <w:szCs w:val="22"/>
        </w:rPr>
      </w:pPr>
      <w:r w:rsidRPr="005F1178">
        <w:rPr>
          <w:bCs/>
          <w:snapToGrid w:val="0"/>
          <w:color w:val="000000"/>
          <w:szCs w:val="22"/>
          <w:lang w:eastAsia="en-GB"/>
        </w:rPr>
        <w:t>- dýchací potíže</w:t>
      </w:r>
      <w:r w:rsidRPr="005F1178">
        <w:rPr>
          <w:snapToGrid w:val="0"/>
          <w:color w:val="000000"/>
          <w:szCs w:val="22"/>
        </w:rPr>
        <w:t xml:space="preserve"> </w:t>
      </w:r>
    </w:p>
    <w:p w14:paraId="5A3F740C" w14:textId="77777777" w:rsidR="005F1178" w:rsidRPr="005F1178" w:rsidRDefault="005F1178" w:rsidP="00F1382B">
      <w:pPr>
        <w:widowControl w:val="0"/>
        <w:tabs>
          <w:tab w:val="clear" w:pos="567"/>
        </w:tabs>
        <w:autoSpaceDE w:val="0"/>
        <w:autoSpaceDN w:val="0"/>
        <w:adjustRightInd w:val="0"/>
        <w:spacing w:line="240" w:lineRule="auto"/>
        <w:jc w:val="both"/>
        <w:rPr>
          <w:snapToGrid w:val="0"/>
          <w:color w:val="000000"/>
          <w:szCs w:val="22"/>
        </w:rPr>
      </w:pPr>
      <w:r w:rsidRPr="005F1178">
        <w:rPr>
          <w:snapToGrid w:val="0"/>
          <w:color w:val="000000"/>
          <w:szCs w:val="22"/>
        </w:rPr>
        <w:t>- kardiovaskulární problémy, hypotenze a šok vedoucí k selhání ledvin a smrti.</w:t>
      </w:r>
    </w:p>
    <w:p w14:paraId="4F53D703" w14:textId="77777777" w:rsidR="005F1178" w:rsidRPr="005F1178" w:rsidRDefault="005F1178" w:rsidP="00F1382B">
      <w:pPr>
        <w:widowControl w:val="0"/>
        <w:tabs>
          <w:tab w:val="clear" w:pos="567"/>
        </w:tabs>
        <w:autoSpaceDE w:val="0"/>
        <w:autoSpaceDN w:val="0"/>
        <w:adjustRightInd w:val="0"/>
        <w:spacing w:line="240" w:lineRule="auto"/>
        <w:jc w:val="both"/>
        <w:rPr>
          <w:snapToGrid w:val="0"/>
          <w:color w:val="000000"/>
          <w:szCs w:val="22"/>
        </w:rPr>
      </w:pPr>
    </w:p>
    <w:p w14:paraId="5E6C6215" w14:textId="77777777" w:rsidR="005F1178" w:rsidRPr="005F1178" w:rsidRDefault="005F1178" w:rsidP="00F1382B">
      <w:pPr>
        <w:widowControl w:val="0"/>
        <w:tabs>
          <w:tab w:val="clear" w:pos="567"/>
        </w:tabs>
        <w:autoSpaceDE w:val="0"/>
        <w:autoSpaceDN w:val="0"/>
        <w:adjustRightInd w:val="0"/>
        <w:spacing w:line="240" w:lineRule="auto"/>
        <w:jc w:val="both"/>
        <w:rPr>
          <w:snapToGrid w:val="0"/>
          <w:color w:val="000000"/>
          <w:szCs w:val="22"/>
        </w:rPr>
      </w:pPr>
      <w:r w:rsidRPr="005F1178">
        <w:rPr>
          <w:snapToGrid w:val="0"/>
          <w:color w:val="000000"/>
          <w:szCs w:val="22"/>
        </w:rPr>
        <w:t xml:space="preserve">V případě předávkování odstraňte požitý přípravek ze žaludku, například </w:t>
      </w:r>
      <w:proofErr w:type="spellStart"/>
      <w:r w:rsidRPr="005F1178">
        <w:rPr>
          <w:snapToGrid w:val="0"/>
          <w:color w:val="000000"/>
          <w:szCs w:val="22"/>
        </w:rPr>
        <w:t>laváží</w:t>
      </w:r>
      <w:proofErr w:type="spellEnd"/>
      <w:r w:rsidRPr="005F1178">
        <w:rPr>
          <w:snapToGrid w:val="0"/>
          <w:color w:val="000000"/>
          <w:szCs w:val="22"/>
        </w:rPr>
        <w:t xml:space="preserve">. Je možné podat aktivní uhlí. Poskytněte podporu dýchání. </w:t>
      </w:r>
    </w:p>
    <w:p w14:paraId="7EFBB137" w14:textId="77777777" w:rsidR="005F1178" w:rsidRPr="005F1178" w:rsidRDefault="005F1178" w:rsidP="00F1382B">
      <w:pPr>
        <w:widowControl w:val="0"/>
        <w:tabs>
          <w:tab w:val="clear" w:pos="567"/>
        </w:tabs>
        <w:spacing w:line="240" w:lineRule="auto"/>
        <w:jc w:val="both"/>
        <w:rPr>
          <w:snapToGrid w:val="0"/>
          <w:szCs w:val="22"/>
        </w:rPr>
      </w:pPr>
    </w:p>
    <w:p w14:paraId="18CA9946" w14:textId="77777777" w:rsidR="005F1178" w:rsidRPr="005F1178" w:rsidRDefault="005F1178" w:rsidP="00F1382B">
      <w:pPr>
        <w:jc w:val="both"/>
        <w:rPr>
          <w:szCs w:val="22"/>
        </w:rPr>
      </w:pPr>
      <w:r w:rsidRPr="005F1178">
        <w:rPr>
          <w:snapToGrid w:val="0"/>
          <w:szCs w:val="22"/>
        </w:rPr>
        <w:t xml:space="preserve">Neexistuje žádné specifické </w:t>
      </w:r>
      <w:proofErr w:type="spellStart"/>
      <w:r w:rsidRPr="005F1178">
        <w:rPr>
          <w:snapToGrid w:val="0"/>
          <w:szCs w:val="22"/>
        </w:rPr>
        <w:t>antidotum</w:t>
      </w:r>
      <w:proofErr w:type="spellEnd"/>
      <w:r w:rsidRPr="005F1178">
        <w:rPr>
          <w:snapToGrid w:val="0"/>
          <w:szCs w:val="22"/>
        </w:rPr>
        <w:t xml:space="preserve">, ale CNS stimulanty (např. </w:t>
      </w:r>
      <w:proofErr w:type="spellStart"/>
      <w:r w:rsidRPr="005F1178">
        <w:rPr>
          <w:snapToGrid w:val="0"/>
          <w:szCs w:val="22"/>
        </w:rPr>
        <w:t>Doxapram</w:t>
      </w:r>
      <w:proofErr w:type="spellEnd"/>
      <w:r w:rsidRPr="005F1178">
        <w:rPr>
          <w:snapToGrid w:val="0"/>
          <w:szCs w:val="22"/>
        </w:rPr>
        <w:t>) mohou stimulovat respirační centrum</w:t>
      </w:r>
      <w:r w:rsidRPr="005F1178">
        <w:rPr>
          <w:szCs w:val="22"/>
        </w:rPr>
        <w:t>. Podávejte kyslík.</w:t>
      </w:r>
    </w:p>
    <w:p w14:paraId="2F66C382" w14:textId="77777777" w:rsidR="005F1178" w:rsidRPr="005F1178" w:rsidRDefault="005F1178" w:rsidP="00F1382B">
      <w:pPr>
        <w:spacing w:line="240" w:lineRule="auto"/>
        <w:ind w:left="567" w:hanging="567"/>
        <w:jc w:val="both"/>
        <w:rPr>
          <w:b/>
          <w:szCs w:val="22"/>
        </w:rPr>
      </w:pPr>
    </w:p>
    <w:p w14:paraId="69104DF1" w14:textId="22F352E5" w:rsidR="00EA0688" w:rsidRPr="00F1382B" w:rsidRDefault="00EA0688" w:rsidP="00F1382B">
      <w:pPr>
        <w:tabs>
          <w:tab w:val="clear" w:pos="567"/>
        </w:tabs>
        <w:spacing w:line="240" w:lineRule="auto"/>
        <w:jc w:val="both"/>
        <w:rPr>
          <w:u w:val="single"/>
        </w:rPr>
      </w:pPr>
      <w:r w:rsidRPr="00F1382B">
        <w:rPr>
          <w:u w:val="single"/>
        </w:rPr>
        <w:t>Hlavní nekompatibility</w:t>
      </w:r>
      <w:r w:rsidR="00D21E83">
        <w:rPr>
          <w:u w:val="single"/>
        </w:rPr>
        <w:t>:</w:t>
      </w:r>
    </w:p>
    <w:p w14:paraId="147FD16E" w14:textId="39CE8A4C" w:rsidR="005B1FD0" w:rsidRPr="00B41D57" w:rsidRDefault="00EA0688" w:rsidP="00F1382B">
      <w:pPr>
        <w:tabs>
          <w:tab w:val="clear" w:pos="567"/>
        </w:tabs>
        <w:spacing w:line="240" w:lineRule="auto"/>
        <w:jc w:val="both"/>
        <w:rPr>
          <w:szCs w:val="22"/>
        </w:rPr>
      </w:pPr>
      <w:r>
        <w:t>Nelze použít.</w:t>
      </w:r>
    </w:p>
    <w:p w14:paraId="06922BF3" w14:textId="75CB72E7" w:rsidR="00C114FF" w:rsidRDefault="00C114FF" w:rsidP="00A9226B">
      <w:pPr>
        <w:tabs>
          <w:tab w:val="clear" w:pos="567"/>
        </w:tabs>
        <w:spacing w:line="240" w:lineRule="auto"/>
        <w:rPr>
          <w:szCs w:val="22"/>
        </w:rPr>
      </w:pPr>
    </w:p>
    <w:p w14:paraId="19041037" w14:textId="77777777" w:rsidR="00D21E83" w:rsidRPr="00B41D57" w:rsidRDefault="00D21E83" w:rsidP="00A9226B">
      <w:pPr>
        <w:tabs>
          <w:tab w:val="clear" w:pos="567"/>
        </w:tabs>
        <w:spacing w:line="240" w:lineRule="auto"/>
        <w:rPr>
          <w:szCs w:val="22"/>
        </w:rPr>
      </w:pPr>
    </w:p>
    <w:p w14:paraId="30ACCB97" w14:textId="77777777" w:rsidR="00C114FF" w:rsidRPr="00B41D57" w:rsidRDefault="00D90D40" w:rsidP="00B13B6D">
      <w:pPr>
        <w:pStyle w:val="Style1"/>
      </w:pPr>
      <w:r w:rsidRPr="00B41D57">
        <w:rPr>
          <w:highlight w:val="lightGray"/>
        </w:rPr>
        <w:t>7.</w:t>
      </w:r>
      <w:r w:rsidRPr="00B41D57">
        <w:tab/>
        <w:t>Nežádoucí účinky</w:t>
      </w:r>
    </w:p>
    <w:p w14:paraId="597C051A" w14:textId="0B505569" w:rsidR="005F1178" w:rsidRPr="00B41D57" w:rsidRDefault="005F1178" w:rsidP="005F1178">
      <w:pPr>
        <w:tabs>
          <w:tab w:val="clear" w:pos="567"/>
        </w:tabs>
        <w:spacing w:line="240" w:lineRule="auto"/>
        <w:rPr>
          <w:szCs w:val="22"/>
        </w:rPr>
      </w:pPr>
    </w:p>
    <w:p w14:paraId="05DC9383" w14:textId="1872364D" w:rsidR="005F1178" w:rsidRPr="00B41D57" w:rsidRDefault="005F1178" w:rsidP="005F1178">
      <w:pPr>
        <w:rPr>
          <w:szCs w:val="22"/>
        </w:rPr>
      </w:pPr>
      <w:r w:rsidRPr="005F1178">
        <w:rPr>
          <w:szCs w:val="22"/>
        </w:rPr>
        <w:t>Psi</w:t>
      </w:r>
      <w:r>
        <w:rPr>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5F1178" w14:paraId="314A78C4" w14:textId="77777777" w:rsidTr="00564C2D">
        <w:tc>
          <w:tcPr>
            <w:tcW w:w="1957" w:type="pct"/>
          </w:tcPr>
          <w:p w14:paraId="7A13ACA1" w14:textId="77777777" w:rsidR="005F1178" w:rsidRPr="00B41D57" w:rsidRDefault="005F1178" w:rsidP="00564C2D">
            <w:pPr>
              <w:spacing w:before="60" w:after="60"/>
              <w:rPr>
                <w:szCs w:val="22"/>
              </w:rPr>
            </w:pPr>
            <w:r w:rsidRPr="00B41D57">
              <w:t>Velmi vzácné</w:t>
            </w:r>
          </w:p>
          <w:p w14:paraId="5FD2847D" w14:textId="77777777" w:rsidR="005F1178" w:rsidRPr="00B41D57" w:rsidRDefault="005F1178" w:rsidP="00564C2D">
            <w:pPr>
              <w:spacing w:before="60" w:after="60"/>
              <w:rPr>
                <w:szCs w:val="22"/>
              </w:rPr>
            </w:pPr>
            <w:proofErr w:type="gramStart"/>
            <w:r w:rsidRPr="001B7B38">
              <w:t>(&lt; 1</w:t>
            </w:r>
            <w:proofErr w:type="gramEnd"/>
            <w:r w:rsidRPr="001B7B38">
              <w:t> zvíře</w:t>
            </w:r>
            <w:r w:rsidRPr="00B41D57">
              <w:t xml:space="preserve"> / 10 000 ošetřených zvířat, včetně ojedinělých hlášení):</w:t>
            </w:r>
          </w:p>
        </w:tc>
        <w:tc>
          <w:tcPr>
            <w:tcW w:w="3043" w:type="pct"/>
            <w:hideMark/>
          </w:tcPr>
          <w:p w14:paraId="2A318DBF" w14:textId="77777777" w:rsidR="005F1178" w:rsidRDefault="005F1178" w:rsidP="00564C2D">
            <w:pPr>
              <w:spacing w:before="60" w:after="60"/>
            </w:pPr>
            <w:r>
              <w:t>Ataxie a sedace</w:t>
            </w:r>
            <w:r w:rsidRPr="00564C2D">
              <w:rPr>
                <w:vertAlign w:val="superscript"/>
              </w:rPr>
              <w:t>1</w:t>
            </w:r>
          </w:p>
          <w:p w14:paraId="4A17A629" w14:textId="77777777" w:rsidR="005F1178" w:rsidRDefault="005F1178" w:rsidP="00564C2D">
            <w:pPr>
              <w:spacing w:before="60" w:after="60"/>
            </w:pPr>
            <w:r>
              <w:t>Paradoxní hyperexcitabilita</w:t>
            </w:r>
            <w:r w:rsidRPr="00564C2D">
              <w:rPr>
                <w:vertAlign w:val="superscript"/>
              </w:rPr>
              <w:t>2</w:t>
            </w:r>
          </w:p>
          <w:p w14:paraId="084E6191" w14:textId="77777777" w:rsidR="005F1178" w:rsidRDefault="005F1178" w:rsidP="00564C2D">
            <w:pPr>
              <w:spacing w:before="60" w:after="60"/>
            </w:pPr>
            <w:r>
              <w:t xml:space="preserve">Polyurie, polydipsie a polyfagie </w:t>
            </w:r>
            <w:r w:rsidRPr="00564C2D">
              <w:rPr>
                <w:vertAlign w:val="superscript"/>
              </w:rPr>
              <w:t>3</w:t>
            </w:r>
          </w:p>
          <w:p w14:paraId="4201B604" w14:textId="77777777" w:rsidR="005F1178" w:rsidRDefault="005F1178" w:rsidP="00564C2D">
            <w:pPr>
              <w:spacing w:before="60" w:after="60"/>
            </w:pPr>
            <w:r>
              <w:t>Hepatotoxicita</w:t>
            </w:r>
            <w:r w:rsidRPr="00564C2D">
              <w:rPr>
                <w:vertAlign w:val="superscript"/>
              </w:rPr>
              <w:t>4</w:t>
            </w:r>
          </w:p>
          <w:p w14:paraId="56B09616" w14:textId="77777777" w:rsidR="005F1178" w:rsidRDefault="005F1178" w:rsidP="00564C2D">
            <w:pPr>
              <w:spacing w:before="60" w:after="60"/>
            </w:pPr>
            <w:proofErr w:type="spellStart"/>
            <w:r>
              <w:t>Pancytopenie</w:t>
            </w:r>
            <w:proofErr w:type="spellEnd"/>
            <w:r>
              <w:t xml:space="preserve"> a/nebo neutropenie</w:t>
            </w:r>
            <w:r w:rsidRPr="00564C2D">
              <w:rPr>
                <w:vertAlign w:val="superscript"/>
              </w:rPr>
              <w:t>5</w:t>
            </w:r>
          </w:p>
          <w:p w14:paraId="4F7AB3A4" w14:textId="77777777" w:rsidR="005F1178" w:rsidRPr="00B41D57" w:rsidRDefault="005F1178" w:rsidP="00564C2D">
            <w:pPr>
              <w:spacing w:before="60" w:after="60"/>
              <w:rPr>
                <w:iCs/>
                <w:szCs w:val="22"/>
              </w:rPr>
            </w:pPr>
            <w:r>
              <w:t>Nízký volný tyroxin (FT4) nebo nízký tyroxin (T4)</w:t>
            </w:r>
            <w:r w:rsidRPr="00564C2D">
              <w:rPr>
                <w:vertAlign w:val="superscript"/>
              </w:rPr>
              <w:t>6</w:t>
            </w:r>
          </w:p>
        </w:tc>
      </w:tr>
    </w:tbl>
    <w:p w14:paraId="3898DBD2" w14:textId="77777777" w:rsidR="002D42D6" w:rsidRPr="00E71F62" w:rsidRDefault="002D42D6" w:rsidP="00F1382B">
      <w:pPr>
        <w:tabs>
          <w:tab w:val="clear" w:pos="567"/>
        </w:tabs>
        <w:spacing w:line="240" w:lineRule="auto"/>
        <w:jc w:val="both"/>
        <w:rPr>
          <w:szCs w:val="22"/>
        </w:rPr>
      </w:pPr>
      <w:r w:rsidRPr="00E71F62">
        <w:rPr>
          <w:szCs w:val="22"/>
          <w:vertAlign w:val="superscript"/>
        </w:rPr>
        <w:t>1</w:t>
      </w:r>
      <w:r w:rsidRPr="00E71F62">
        <w:rPr>
          <w:szCs w:val="22"/>
        </w:rPr>
        <w:t xml:space="preserve">: Během zahájení léčby se tyto účinky mohou objevit, ale jsou obvykle přechodné a vymizí u většiny, ale ne u všech pacientů s pokračující medikací. </w:t>
      </w:r>
      <w:proofErr w:type="spellStart"/>
      <w:r w:rsidRPr="00E71F62">
        <w:rPr>
          <w:szCs w:val="22"/>
        </w:rPr>
        <w:t>Sedace</w:t>
      </w:r>
      <w:proofErr w:type="spellEnd"/>
      <w:r w:rsidRPr="00E71F62">
        <w:rPr>
          <w:szCs w:val="22"/>
        </w:rPr>
        <w:t xml:space="preserve"> a ataxie se často stávají významnými problémy, protože sérové hladiny dosahují vyšších hodnot terapeutického rozmezí.</w:t>
      </w:r>
    </w:p>
    <w:p w14:paraId="5B35C6FA" w14:textId="77777777" w:rsidR="002D42D6" w:rsidRPr="00E71F62" w:rsidRDefault="002D42D6" w:rsidP="00F1382B">
      <w:pPr>
        <w:tabs>
          <w:tab w:val="clear" w:pos="567"/>
        </w:tabs>
        <w:spacing w:line="240" w:lineRule="auto"/>
        <w:jc w:val="both"/>
        <w:rPr>
          <w:szCs w:val="22"/>
        </w:rPr>
      </w:pPr>
      <w:r w:rsidRPr="00E71F62">
        <w:rPr>
          <w:szCs w:val="22"/>
          <w:vertAlign w:val="superscript"/>
        </w:rPr>
        <w:t>2</w:t>
      </w:r>
      <w:r w:rsidRPr="00E71F62">
        <w:rPr>
          <w:szCs w:val="22"/>
        </w:rPr>
        <w:t xml:space="preserve">: Některá zvířata mohou vykazovat paradoxní </w:t>
      </w:r>
      <w:proofErr w:type="spellStart"/>
      <w:r w:rsidRPr="00E71F62">
        <w:rPr>
          <w:szCs w:val="22"/>
        </w:rPr>
        <w:t>hyperexcitabilitu</w:t>
      </w:r>
      <w:proofErr w:type="spellEnd"/>
      <w:r w:rsidRPr="00E71F62">
        <w:rPr>
          <w:szCs w:val="22"/>
        </w:rPr>
        <w:t xml:space="preserve">, zejména po prvním zahájení terapie. Vzhledem k tomu, že tato </w:t>
      </w:r>
      <w:proofErr w:type="spellStart"/>
      <w:r w:rsidRPr="00E71F62">
        <w:rPr>
          <w:szCs w:val="22"/>
        </w:rPr>
        <w:t>hyperexcitabilita</w:t>
      </w:r>
      <w:proofErr w:type="spellEnd"/>
      <w:r w:rsidRPr="00E71F62">
        <w:rPr>
          <w:szCs w:val="22"/>
        </w:rPr>
        <w:t xml:space="preserve"> není spojena s předávkováním, není potřeba snižovat dávku.</w:t>
      </w:r>
    </w:p>
    <w:p w14:paraId="391F4DCC" w14:textId="77777777" w:rsidR="002D42D6" w:rsidRPr="00E71F62" w:rsidRDefault="002D42D6" w:rsidP="00F1382B">
      <w:pPr>
        <w:tabs>
          <w:tab w:val="clear" w:pos="567"/>
        </w:tabs>
        <w:spacing w:line="240" w:lineRule="auto"/>
        <w:jc w:val="both"/>
        <w:rPr>
          <w:szCs w:val="22"/>
        </w:rPr>
      </w:pPr>
      <w:r w:rsidRPr="00E71F62">
        <w:rPr>
          <w:szCs w:val="22"/>
          <w:vertAlign w:val="superscript"/>
        </w:rPr>
        <w:t>3</w:t>
      </w:r>
      <w:r w:rsidRPr="00E71F62">
        <w:rPr>
          <w:szCs w:val="22"/>
        </w:rPr>
        <w:t>: Tyto účinky se mohou objevit při průměrných nebo vyšších terapeutických aktivních sérových koncentracích; tyto účinky lze snížit omezením příjmu potravy.</w:t>
      </w:r>
    </w:p>
    <w:p w14:paraId="00F850F2" w14:textId="77777777" w:rsidR="002D42D6" w:rsidRPr="00E71F62" w:rsidRDefault="002D42D6" w:rsidP="00F1382B">
      <w:pPr>
        <w:tabs>
          <w:tab w:val="clear" w:pos="567"/>
        </w:tabs>
        <w:spacing w:line="240" w:lineRule="auto"/>
        <w:jc w:val="both"/>
        <w:rPr>
          <w:szCs w:val="22"/>
        </w:rPr>
      </w:pPr>
      <w:r w:rsidRPr="00E71F62">
        <w:rPr>
          <w:szCs w:val="22"/>
          <w:vertAlign w:val="superscript"/>
        </w:rPr>
        <w:t>4</w:t>
      </w:r>
      <w:r w:rsidRPr="00E71F62">
        <w:rPr>
          <w:szCs w:val="22"/>
        </w:rPr>
        <w:t xml:space="preserve">: Vysoké plazmatické koncentrace mohou být spojeny s </w:t>
      </w:r>
      <w:proofErr w:type="spellStart"/>
      <w:r w:rsidRPr="00E71F62">
        <w:rPr>
          <w:szCs w:val="22"/>
        </w:rPr>
        <w:t>hepatotoxicitou</w:t>
      </w:r>
      <w:proofErr w:type="spellEnd"/>
      <w:r w:rsidRPr="00E71F62">
        <w:rPr>
          <w:szCs w:val="22"/>
        </w:rPr>
        <w:t>.</w:t>
      </w:r>
    </w:p>
    <w:p w14:paraId="5146127A" w14:textId="77777777" w:rsidR="002D42D6" w:rsidRPr="00E71F62" w:rsidRDefault="002D42D6" w:rsidP="00F1382B">
      <w:pPr>
        <w:tabs>
          <w:tab w:val="clear" w:pos="567"/>
        </w:tabs>
        <w:spacing w:line="240" w:lineRule="auto"/>
        <w:jc w:val="both"/>
        <w:rPr>
          <w:szCs w:val="22"/>
        </w:rPr>
      </w:pPr>
      <w:r w:rsidRPr="00E71F62">
        <w:rPr>
          <w:szCs w:val="22"/>
          <w:vertAlign w:val="superscript"/>
        </w:rPr>
        <w:t>5</w:t>
      </w:r>
      <w:r w:rsidRPr="00E71F62">
        <w:rPr>
          <w:szCs w:val="22"/>
        </w:rPr>
        <w:t xml:space="preserve">: Fenobarbital může mít škodlivé účinky na kmenové buňky z kostní dřeně. Následkem je </w:t>
      </w:r>
      <w:proofErr w:type="spellStart"/>
      <w:r w:rsidRPr="00E71F62">
        <w:rPr>
          <w:szCs w:val="22"/>
        </w:rPr>
        <w:t>imunotoxická</w:t>
      </w:r>
      <w:proofErr w:type="spellEnd"/>
      <w:r w:rsidRPr="00E71F62">
        <w:rPr>
          <w:szCs w:val="22"/>
        </w:rPr>
        <w:t xml:space="preserve"> </w:t>
      </w:r>
      <w:proofErr w:type="spellStart"/>
      <w:r w:rsidRPr="00E71F62">
        <w:rPr>
          <w:szCs w:val="22"/>
        </w:rPr>
        <w:t>pancytopenie</w:t>
      </w:r>
      <w:proofErr w:type="spellEnd"/>
      <w:r w:rsidRPr="00E71F62">
        <w:rPr>
          <w:szCs w:val="22"/>
        </w:rPr>
        <w:t xml:space="preserve"> a/nebo </w:t>
      </w:r>
      <w:proofErr w:type="spellStart"/>
      <w:r w:rsidRPr="00E71F62">
        <w:rPr>
          <w:szCs w:val="22"/>
        </w:rPr>
        <w:t>neutropenie</w:t>
      </w:r>
      <w:proofErr w:type="spellEnd"/>
      <w:r w:rsidRPr="00E71F62">
        <w:rPr>
          <w:szCs w:val="22"/>
        </w:rPr>
        <w:t>. Tyto reakce vymizí po vysazení léčby.</w:t>
      </w:r>
    </w:p>
    <w:p w14:paraId="083FC5DD" w14:textId="77777777" w:rsidR="002D42D6" w:rsidRDefault="002D42D6" w:rsidP="00F1382B">
      <w:pPr>
        <w:tabs>
          <w:tab w:val="clear" w:pos="567"/>
        </w:tabs>
        <w:spacing w:line="240" w:lineRule="auto"/>
        <w:jc w:val="both"/>
        <w:rPr>
          <w:szCs w:val="22"/>
        </w:rPr>
      </w:pPr>
      <w:r w:rsidRPr="00E71F62">
        <w:rPr>
          <w:szCs w:val="22"/>
          <w:vertAlign w:val="superscript"/>
        </w:rPr>
        <w:t>6</w:t>
      </w:r>
      <w:r w:rsidRPr="00E71F62">
        <w:rPr>
          <w:szCs w:val="22"/>
        </w:rPr>
        <w:t>: Léčba psů fenobarbitalem může snížit jejich sérové hladiny TT4 nebo FT4, nemusí to však znamenat hypotyreózu. Léčba substitucí hormonů štítné žlázy by měla být zahájena pouze v případě klinických příznaků onemocnění.</w:t>
      </w:r>
    </w:p>
    <w:p w14:paraId="1107B70C" w14:textId="267BE61A" w:rsidR="005F1178" w:rsidRDefault="005F1178" w:rsidP="005F1178">
      <w:pPr>
        <w:tabs>
          <w:tab w:val="clear" w:pos="567"/>
        </w:tabs>
        <w:spacing w:line="240" w:lineRule="auto"/>
        <w:rPr>
          <w:szCs w:val="22"/>
        </w:rPr>
      </w:pPr>
    </w:p>
    <w:p w14:paraId="7A37450A" w14:textId="77777777" w:rsidR="002D42D6" w:rsidRDefault="002D42D6" w:rsidP="005F1178">
      <w:pPr>
        <w:tabs>
          <w:tab w:val="clear" w:pos="567"/>
        </w:tabs>
        <w:spacing w:line="240" w:lineRule="auto"/>
        <w:rPr>
          <w:szCs w:val="22"/>
        </w:rPr>
      </w:pPr>
    </w:p>
    <w:p w14:paraId="7005F18B" w14:textId="77777777" w:rsidR="005F1178" w:rsidRPr="00B41D57" w:rsidRDefault="005F1178" w:rsidP="00F1382B">
      <w:pPr>
        <w:tabs>
          <w:tab w:val="clear" w:pos="567"/>
        </w:tabs>
        <w:spacing w:line="240" w:lineRule="auto"/>
        <w:jc w:val="both"/>
        <w:rPr>
          <w:szCs w:val="22"/>
        </w:rPr>
      </w:pPr>
      <w:r w:rsidRPr="0037082C">
        <w:rPr>
          <w:szCs w:val="22"/>
        </w:rPr>
        <w:lastRenderedPageBreak/>
        <w:t>Hlášení nežádoucích příhod je důležité. Umožňuje nepřetržité sledování bezpečnosti veterinárního léčivého přípravku. Hlášení by měla být zaslána, nejlépe prostřednictvím veterinárního lékaře, buď držiteli rozhodnutí o registraci nebo jeho místnímu zástupci nebo příslušnému vnitrostátnímu orgánu prostřednictvím národního systému hlášení. Příslušné kontaktní údaje naleznete také v příbalové informaci.</w:t>
      </w:r>
    </w:p>
    <w:p w14:paraId="29BF4B88" w14:textId="169C3DA4" w:rsidR="00E124D3" w:rsidRPr="00C341E6" w:rsidRDefault="00E124D3" w:rsidP="00F1382B">
      <w:pPr>
        <w:tabs>
          <w:tab w:val="left" w:pos="-720"/>
        </w:tabs>
        <w:suppressAutoHyphens/>
        <w:jc w:val="both"/>
        <w:rPr>
          <w:noProof/>
          <w:szCs w:val="22"/>
        </w:rPr>
      </w:pPr>
    </w:p>
    <w:p w14:paraId="45F29FC5" w14:textId="77777777" w:rsidR="00F520FE" w:rsidRPr="00B41D57" w:rsidRDefault="00F520FE" w:rsidP="00F1382B">
      <w:pPr>
        <w:tabs>
          <w:tab w:val="clear" w:pos="567"/>
        </w:tabs>
        <w:spacing w:line="240" w:lineRule="auto"/>
        <w:jc w:val="both"/>
        <w:rPr>
          <w:iCs/>
          <w:szCs w:val="22"/>
        </w:rPr>
      </w:pPr>
    </w:p>
    <w:p w14:paraId="07E81E97" w14:textId="77777777" w:rsidR="00C114FF" w:rsidRPr="00B41D57" w:rsidRDefault="00D90D40" w:rsidP="00F1382B">
      <w:pPr>
        <w:pStyle w:val="Style1"/>
        <w:jc w:val="both"/>
      </w:pPr>
      <w:r w:rsidRPr="00B41D57">
        <w:rPr>
          <w:highlight w:val="lightGray"/>
        </w:rPr>
        <w:t>8.</w:t>
      </w:r>
      <w:r w:rsidRPr="00B41D57">
        <w:tab/>
        <w:t>Dávkování pro každý druh, cesty a způsob podání</w:t>
      </w:r>
    </w:p>
    <w:p w14:paraId="6EEA3383" w14:textId="5E488370" w:rsidR="00C114FF" w:rsidRDefault="00C114FF" w:rsidP="00F1382B">
      <w:pPr>
        <w:tabs>
          <w:tab w:val="clear" w:pos="567"/>
        </w:tabs>
        <w:spacing w:line="240" w:lineRule="auto"/>
        <w:jc w:val="both"/>
        <w:rPr>
          <w:szCs w:val="22"/>
        </w:rPr>
      </w:pPr>
    </w:p>
    <w:p w14:paraId="1F21D901" w14:textId="77777777" w:rsidR="00F50C59" w:rsidRPr="00F50C59" w:rsidRDefault="00F50C59" w:rsidP="00F1382B">
      <w:pPr>
        <w:tabs>
          <w:tab w:val="clear" w:pos="567"/>
        </w:tabs>
        <w:spacing w:line="240" w:lineRule="auto"/>
        <w:jc w:val="both"/>
        <w:rPr>
          <w:szCs w:val="22"/>
        </w:rPr>
      </w:pPr>
      <w:r w:rsidRPr="00F50C59">
        <w:rPr>
          <w:szCs w:val="22"/>
        </w:rPr>
        <w:t>K perorálnímu podání.</w:t>
      </w:r>
    </w:p>
    <w:p w14:paraId="708EC5D7" w14:textId="77777777" w:rsidR="00F50C59" w:rsidRPr="00F50C59" w:rsidRDefault="00F50C59" w:rsidP="00F1382B">
      <w:pPr>
        <w:tabs>
          <w:tab w:val="clear" w:pos="567"/>
        </w:tabs>
        <w:spacing w:line="240" w:lineRule="auto"/>
        <w:jc w:val="both"/>
        <w:rPr>
          <w:szCs w:val="22"/>
        </w:rPr>
      </w:pPr>
      <w:r w:rsidRPr="00F50C59">
        <w:rPr>
          <w:szCs w:val="22"/>
        </w:rPr>
        <w:t>Požadované dávkování se bude do určité míry lišit mezi jedinci a podle charakteru a závažnosti onemocnění.</w:t>
      </w:r>
    </w:p>
    <w:p w14:paraId="3048B813" w14:textId="77777777" w:rsidR="00F50C59" w:rsidRPr="00F50C59" w:rsidRDefault="00F50C59" w:rsidP="00F1382B">
      <w:pPr>
        <w:tabs>
          <w:tab w:val="clear" w:pos="567"/>
        </w:tabs>
        <w:spacing w:line="240" w:lineRule="auto"/>
        <w:jc w:val="both"/>
        <w:rPr>
          <w:szCs w:val="22"/>
        </w:rPr>
      </w:pPr>
    </w:p>
    <w:p w14:paraId="70CA8B30" w14:textId="77777777" w:rsidR="00F50C59" w:rsidRPr="00F50C59" w:rsidRDefault="00F50C59" w:rsidP="00F1382B">
      <w:pPr>
        <w:tabs>
          <w:tab w:val="clear" w:pos="567"/>
        </w:tabs>
        <w:spacing w:line="240" w:lineRule="auto"/>
        <w:jc w:val="both"/>
        <w:rPr>
          <w:szCs w:val="22"/>
        </w:rPr>
      </w:pPr>
      <w:r w:rsidRPr="00F50C59">
        <w:rPr>
          <w:szCs w:val="22"/>
        </w:rPr>
        <w:t>Tablety musí být podávány ve stejnou denní dobu a měly by být koordinovány s dobami krmení konzistentním způsobem, aby se optimalizovala úspěšnost léčby.</w:t>
      </w:r>
    </w:p>
    <w:p w14:paraId="254AABEC" w14:textId="77777777" w:rsidR="00F50C59" w:rsidRPr="00F50C59" w:rsidRDefault="00F50C59" w:rsidP="00F1382B">
      <w:pPr>
        <w:tabs>
          <w:tab w:val="clear" w:pos="567"/>
        </w:tabs>
        <w:spacing w:line="240" w:lineRule="auto"/>
        <w:jc w:val="both"/>
        <w:rPr>
          <w:szCs w:val="22"/>
        </w:rPr>
      </w:pPr>
    </w:p>
    <w:p w14:paraId="3CB23D66" w14:textId="77777777" w:rsidR="00F50C59" w:rsidRPr="00F50C59" w:rsidRDefault="00F50C59" w:rsidP="00F1382B">
      <w:pPr>
        <w:tabs>
          <w:tab w:val="clear" w:pos="567"/>
        </w:tabs>
        <w:spacing w:line="240" w:lineRule="auto"/>
        <w:jc w:val="both"/>
        <w:rPr>
          <w:szCs w:val="22"/>
        </w:rPr>
      </w:pPr>
      <w:r w:rsidRPr="00F50C59">
        <w:rPr>
          <w:szCs w:val="22"/>
        </w:rPr>
        <w:t>Psům by dávka měla být podávána perorálně, mělo by se začít s dávkou 2-5 mg/kg živé hmotnosti na den. Dávku je nutno rozdělit a podávat dvakrát denně.</w:t>
      </w:r>
    </w:p>
    <w:p w14:paraId="1CEA4288" w14:textId="77777777" w:rsidR="00F50C59" w:rsidRPr="00F50C59" w:rsidRDefault="00F50C59" w:rsidP="00F1382B">
      <w:pPr>
        <w:tabs>
          <w:tab w:val="clear" w:pos="567"/>
        </w:tabs>
        <w:spacing w:line="240" w:lineRule="auto"/>
        <w:jc w:val="both"/>
        <w:rPr>
          <w:szCs w:val="22"/>
        </w:rPr>
      </w:pPr>
    </w:p>
    <w:p w14:paraId="62071207" w14:textId="77777777" w:rsidR="00F50C59" w:rsidRPr="00F50C59" w:rsidRDefault="00F50C59" w:rsidP="00F1382B">
      <w:pPr>
        <w:tabs>
          <w:tab w:val="clear" w:pos="567"/>
        </w:tabs>
        <w:spacing w:line="240" w:lineRule="auto"/>
        <w:jc w:val="both"/>
        <w:rPr>
          <w:szCs w:val="22"/>
        </w:rPr>
      </w:pPr>
      <w:r w:rsidRPr="00F50C59">
        <w:rPr>
          <w:szCs w:val="22"/>
        </w:rPr>
        <w:t>Ustálených sérových koncentrací je dosaženo nejdříve za 1-2 týdny od začátku léčby. Plný účinek přípravku se neprojeví po dva týdny a dávka by neměla být během této doby zvyšována.</w:t>
      </w:r>
    </w:p>
    <w:p w14:paraId="444B8057" w14:textId="77777777" w:rsidR="00F50C59" w:rsidRPr="00F50C59" w:rsidRDefault="00F50C59" w:rsidP="00F1382B">
      <w:pPr>
        <w:tabs>
          <w:tab w:val="clear" w:pos="567"/>
        </w:tabs>
        <w:spacing w:line="240" w:lineRule="auto"/>
        <w:jc w:val="both"/>
        <w:rPr>
          <w:szCs w:val="22"/>
        </w:rPr>
      </w:pPr>
    </w:p>
    <w:p w14:paraId="1F8775BB" w14:textId="77777777" w:rsidR="00F50C59" w:rsidRPr="00F50C59" w:rsidRDefault="00F50C59" w:rsidP="00F1382B">
      <w:pPr>
        <w:tabs>
          <w:tab w:val="clear" w:pos="567"/>
        </w:tabs>
        <w:spacing w:line="240" w:lineRule="auto"/>
        <w:jc w:val="both"/>
        <w:rPr>
          <w:szCs w:val="22"/>
        </w:rPr>
      </w:pPr>
      <w:r w:rsidRPr="00F50C59">
        <w:rPr>
          <w:szCs w:val="22"/>
        </w:rPr>
        <w:t xml:space="preserve">Pokud záchvaty nejsou pod kontrolou, může být dávka zvýšena o 20 % v jednom kroku, s následným sledováním sérových hladin fenobarbitalu. Sérová koncentrace fenobarbitalu by měla být zkontrolována po dosažení ustáleného stavu, a pokud je nižší než 15 µg/ml, dávka by měla být odpovídajícím způsobem upravena. Jestliže se záchvaty opakují, dávka může být zvýšena až na maximální sérovou koncentraci 45 µg/ml. Vysoké plazmatické koncentrace mohou být spojeny s </w:t>
      </w:r>
      <w:proofErr w:type="spellStart"/>
      <w:r w:rsidRPr="00F50C59">
        <w:rPr>
          <w:szCs w:val="22"/>
        </w:rPr>
        <w:t>hepatotoxicitou</w:t>
      </w:r>
      <w:proofErr w:type="spellEnd"/>
      <w:r w:rsidRPr="00F50C59">
        <w:rPr>
          <w:szCs w:val="22"/>
        </w:rPr>
        <w:t>. Současně by měly být odebrány vzorky krve, aby byla stanovena plazmatická koncentrace fenobarbitalu, nejlépe při minimálních hladinách, krátce předtím, než má být podána další dávka fenobarbitalu.</w:t>
      </w:r>
    </w:p>
    <w:p w14:paraId="2ABC3E88" w14:textId="77777777" w:rsidR="00F50C59" w:rsidRPr="00F50C59" w:rsidRDefault="00F50C59" w:rsidP="00F1382B">
      <w:pPr>
        <w:tabs>
          <w:tab w:val="clear" w:pos="567"/>
        </w:tabs>
        <w:spacing w:line="240" w:lineRule="auto"/>
        <w:jc w:val="both"/>
        <w:rPr>
          <w:szCs w:val="22"/>
        </w:rPr>
      </w:pPr>
    </w:p>
    <w:p w14:paraId="12B7B8B5" w14:textId="77777777" w:rsidR="00F50C59" w:rsidRPr="00F50C59" w:rsidRDefault="00F50C59" w:rsidP="00F1382B">
      <w:pPr>
        <w:tabs>
          <w:tab w:val="clear" w:pos="567"/>
        </w:tabs>
        <w:spacing w:line="240" w:lineRule="auto"/>
        <w:jc w:val="both"/>
        <w:rPr>
          <w:szCs w:val="22"/>
        </w:rPr>
      </w:pPr>
      <w:r w:rsidRPr="00F50C59">
        <w:rPr>
          <w:szCs w:val="22"/>
        </w:rPr>
        <w:t xml:space="preserve">Plazmatické koncentrace by se měly interpretovat v souvislosti s pozorovanou reakcí na terapii a úplným klinickým hodnocením, včetně sledování projevů toxických účinků u každého zvířete. </w:t>
      </w:r>
    </w:p>
    <w:p w14:paraId="2D35AE4E" w14:textId="77777777" w:rsidR="00F50C59" w:rsidRPr="00F50C59" w:rsidRDefault="00F50C59" w:rsidP="00F1382B">
      <w:pPr>
        <w:tabs>
          <w:tab w:val="clear" w:pos="567"/>
        </w:tabs>
        <w:spacing w:line="240" w:lineRule="auto"/>
        <w:jc w:val="both"/>
        <w:rPr>
          <w:szCs w:val="22"/>
        </w:rPr>
      </w:pPr>
    </w:p>
    <w:p w14:paraId="7F6CA2CD" w14:textId="77777777" w:rsidR="00F50C59" w:rsidRPr="00F50C59" w:rsidRDefault="00F50C59" w:rsidP="00F1382B">
      <w:pPr>
        <w:tabs>
          <w:tab w:val="clear" w:pos="567"/>
        </w:tabs>
        <w:spacing w:line="240" w:lineRule="auto"/>
        <w:jc w:val="both"/>
        <w:rPr>
          <w:szCs w:val="22"/>
        </w:rPr>
      </w:pPr>
      <w:r w:rsidRPr="00F50C59">
        <w:rPr>
          <w:szCs w:val="22"/>
        </w:rPr>
        <w:t xml:space="preserve">Klinické údaje naznačují, že u některých zvířat může být pozorováno značné kolísání plazmatických koncentrací fenobarbitalu. Toto kolísání může vést u zvířete k minimální plazmatické koncentraci fenobarbitalu pod typickým terapeutickým minimem a maximální plazmatické koncentraci blížící se maximální hladině. Je-li kontrola záchvatů u těchto zvířat nedostatečná, je třeba zvýšené opatrnosti při zvýšení dávky, protože může být dosažena nebo překročena toxická hladina. U těchto zvířat by měla být měřena maximální a minimální koncentrace fenobarbitalu. (Maximální koncentrace v plazmě je dosaženo přibližně 3 hodiny po podání). </w:t>
      </w:r>
    </w:p>
    <w:p w14:paraId="05AE82B8" w14:textId="77777777" w:rsidR="00F50C59" w:rsidRPr="00F50C59" w:rsidRDefault="00F50C59" w:rsidP="00F1382B">
      <w:pPr>
        <w:tabs>
          <w:tab w:val="clear" w:pos="567"/>
        </w:tabs>
        <w:spacing w:line="240" w:lineRule="auto"/>
        <w:jc w:val="both"/>
        <w:rPr>
          <w:szCs w:val="22"/>
        </w:rPr>
      </w:pPr>
    </w:p>
    <w:p w14:paraId="12D98438" w14:textId="77777777" w:rsidR="00F50C59" w:rsidRPr="00F50C59" w:rsidRDefault="00F50C59" w:rsidP="00F1382B">
      <w:pPr>
        <w:tabs>
          <w:tab w:val="clear" w:pos="567"/>
        </w:tabs>
        <w:spacing w:line="240" w:lineRule="auto"/>
        <w:jc w:val="both"/>
        <w:rPr>
          <w:szCs w:val="22"/>
        </w:rPr>
      </w:pPr>
      <w:r w:rsidRPr="00F50C59">
        <w:rPr>
          <w:szCs w:val="22"/>
        </w:rPr>
        <w:t xml:space="preserve">Pokud záchvaty nejsou uspokojivě kontrolovány a maximální plazmatická koncentrace fenobarbitalu je přibližně 40µg/ml, pak by měla být znovu zvážena diagnóza a/nebo by měl být do léčebného protokolu přidán druhý </w:t>
      </w:r>
      <w:proofErr w:type="spellStart"/>
      <w:r w:rsidRPr="00F50C59">
        <w:rPr>
          <w:szCs w:val="22"/>
        </w:rPr>
        <w:t>antiepileptický</w:t>
      </w:r>
      <w:proofErr w:type="spellEnd"/>
      <w:r w:rsidRPr="00F50C59">
        <w:rPr>
          <w:szCs w:val="22"/>
        </w:rPr>
        <w:t xml:space="preserve"> přípravek (například bromidy).</w:t>
      </w:r>
    </w:p>
    <w:p w14:paraId="3DB214BD" w14:textId="77777777" w:rsidR="00F50C59" w:rsidRPr="00F50C59" w:rsidRDefault="00F50C59" w:rsidP="00F1382B">
      <w:pPr>
        <w:tabs>
          <w:tab w:val="clear" w:pos="567"/>
        </w:tabs>
        <w:spacing w:line="240" w:lineRule="auto"/>
        <w:jc w:val="both"/>
        <w:rPr>
          <w:szCs w:val="22"/>
        </w:rPr>
      </w:pPr>
    </w:p>
    <w:p w14:paraId="73D25991" w14:textId="77777777" w:rsidR="00F50C59" w:rsidRPr="00F50C59" w:rsidRDefault="00F50C59" w:rsidP="00F1382B">
      <w:pPr>
        <w:tabs>
          <w:tab w:val="clear" w:pos="567"/>
        </w:tabs>
        <w:spacing w:line="240" w:lineRule="auto"/>
        <w:jc w:val="both"/>
        <w:rPr>
          <w:szCs w:val="22"/>
        </w:rPr>
      </w:pPr>
      <w:r w:rsidRPr="00F50C59">
        <w:rPr>
          <w:szCs w:val="22"/>
        </w:rPr>
        <w:t>Tablety lze dělit na dvě stejné poloviny nebo čtvrtiny, aby bylo zajištěno přesné dávkování.</w:t>
      </w:r>
    </w:p>
    <w:p w14:paraId="67C317BE" w14:textId="77777777" w:rsidR="00F50C59" w:rsidRPr="00F50C59" w:rsidRDefault="00F50C59" w:rsidP="00F1382B">
      <w:pPr>
        <w:tabs>
          <w:tab w:val="clear" w:pos="567"/>
        </w:tabs>
        <w:spacing w:line="240" w:lineRule="auto"/>
        <w:jc w:val="both"/>
        <w:rPr>
          <w:szCs w:val="22"/>
        </w:rPr>
      </w:pPr>
      <w:r w:rsidRPr="00F50C59">
        <w:rPr>
          <w:szCs w:val="22"/>
        </w:rPr>
        <w:t>Tabletu s křížovou dělicí rýhou rozdělíte na čtvrtiny tak, že položíte tabletu na rovný povrch se stranou s dělicí rýhou nahoru a palcem zatlačíte na střed.</w:t>
      </w:r>
    </w:p>
    <w:p w14:paraId="4272CED5" w14:textId="145D0149" w:rsidR="00F50C59" w:rsidRDefault="00F50C59" w:rsidP="00F50C59">
      <w:pPr>
        <w:tabs>
          <w:tab w:val="clear" w:pos="567"/>
        </w:tabs>
        <w:spacing w:line="240" w:lineRule="auto"/>
        <w:rPr>
          <w:szCs w:val="22"/>
        </w:rPr>
      </w:pPr>
    </w:p>
    <w:p w14:paraId="224BC556" w14:textId="6BBA07E8" w:rsidR="00F50C59" w:rsidRPr="00F50C59" w:rsidRDefault="00F50C59" w:rsidP="00F50C59">
      <w:pPr>
        <w:tabs>
          <w:tab w:val="clear" w:pos="567"/>
        </w:tabs>
        <w:spacing w:line="240" w:lineRule="auto"/>
        <w:rPr>
          <w:szCs w:val="22"/>
        </w:rPr>
      </w:pPr>
      <w:r w:rsidRPr="0055761E">
        <w:rPr>
          <w:rFonts w:asciiTheme="majorBidi" w:hAnsiTheme="majorBidi" w:cstheme="majorBidi"/>
          <w:bCs/>
          <w:noProof/>
          <w:szCs w:val="22"/>
          <w:lang w:val="en-US"/>
        </w:rPr>
        <w:drawing>
          <wp:inline distT="0" distB="0" distL="0" distR="0" wp14:anchorId="5ACE3CAD" wp14:editId="34FA9A2E">
            <wp:extent cx="1286510" cy="1304925"/>
            <wp:effectExtent l="1905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86510" cy="1304925"/>
                    </a:xfrm>
                    <a:prstGeom prst="rect">
                      <a:avLst/>
                    </a:prstGeom>
                    <a:noFill/>
                  </pic:spPr>
                </pic:pic>
              </a:graphicData>
            </a:graphic>
          </wp:inline>
        </w:drawing>
      </w:r>
    </w:p>
    <w:p w14:paraId="3E243849" w14:textId="700E2005" w:rsidR="00F50C59" w:rsidRPr="00F50C59" w:rsidRDefault="00F50C59" w:rsidP="00F50C59">
      <w:pPr>
        <w:tabs>
          <w:tab w:val="clear" w:pos="567"/>
        </w:tabs>
        <w:spacing w:line="240" w:lineRule="auto"/>
        <w:rPr>
          <w:szCs w:val="22"/>
        </w:rPr>
      </w:pPr>
      <w:r w:rsidRPr="00F50C59">
        <w:rPr>
          <w:szCs w:val="22"/>
        </w:rPr>
        <w:lastRenderedPageBreak/>
        <w:t xml:space="preserve"> </w:t>
      </w:r>
    </w:p>
    <w:p w14:paraId="0E902223" w14:textId="77777777" w:rsidR="00F50C59" w:rsidRPr="00F50C59" w:rsidRDefault="00F50C59" w:rsidP="00F1382B">
      <w:pPr>
        <w:tabs>
          <w:tab w:val="clear" w:pos="567"/>
        </w:tabs>
        <w:spacing w:line="240" w:lineRule="auto"/>
        <w:jc w:val="both"/>
        <w:rPr>
          <w:szCs w:val="22"/>
        </w:rPr>
      </w:pPr>
      <w:r w:rsidRPr="00F50C59">
        <w:rPr>
          <w:szCs w:val="22"/>
        </w:rPr>
        <w:t>Tabletu rozdělíte na dvě poloviny tak, že položíte tabletu na rovný povrch se stranou s půlící rýhou nahoru, držte jednu polovinu tablety a zatlačte na druhou polovinu.</w:t>
      </w:r>
    </w:p>
    <w:p w14:paraId="4A7A557B" w14:textId="77777777" w:rsidR="00F50C59" w:rsidRPr="00F50C59" w:rsidRDefault="00F50C59" w:rsidP="00F50C59">
      <w:pPr>
        <w:tabs>
          <w:tab w:val="clear" w:pos="567"/>
        </w:tabs>
        <w:spacing w:line="240" w:lineRule="auto"/>
        <w:rPr>
          <w:szCs w:val="22"/>
        </w:rPr>
      </w:pPr>
    </w:p>
    <w:p w14:paraId="522E356F" w14:textId="30201D05" w:rsidR="00F50C59" w:rsidRPr="00F50C59" w:rsidRDefault="00F50C59" w:rsidP="00F50C59">
      <w:pPr>
        <w:tabs>
          <w:tab w:val="clear" w:pos="567"/>
        </w:tabs>
        <w:spacing w:line="240" w:lineRule="auto"/>
        <w:rPr>
          <w:szCs w:val="22"/>
        </w:rPr>
      </w:pPr>
      <w:r w:rsidRPr="00F50C59">
        <w:rPr>
          <w:szCs w:val="22"/>
        </w:rPr>
        <w:t xml:space="preserve"> </w:t>
      </w:r>
      <w:r w:rsidRPr="0055761E">
        <w:rPr>
          <w:rFonts w:asciiTheme="majorBidi" w:hAnsiTheme="majorBidi" w:cstheme="majorBidi"/>
          <w:bCs/>
          <w:noProof/>
          <w:szCs w:val="22"/>
          <w:lang w:val="en-US"/>
        </w:rPr>
        <w:drawing>
          <wp:inline distT="0" distB="0" distL="0" distR="0" wp14:anchorId="5B0626A1" wp14:editId="1604C8DB">
            <wp:extent cx="1981200" cy="1310640"/>
            <wp:effectExtent l="19050" t="0" r="0" b="0"/>
            <wp:docPr id="1980664047" name="Picture 1980664047"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64047" name="Picture 1980664047" descr="A picture containing linedrawing&#10;&#10;Description automatically generated"/>
                    <pic:cNvPicPr>
                      <a:picLocks noChangeAspect="1" noChangeArrowheads="1"/>
                    </pic:cNvPicPr>
                  </pic:nvPicPr>
                  <pic:blipFill>
                    <a:blip r:embed="rId9"/>
                    <a:srcRect/>
                    <a:stretch>
                      <a:fillRect/>
                    </a:stretch>
                  </pic:blipFill>
                  <pic:spPr bwMode="auto">
                    <a:xfrm>
                      <a:off x="0" y="0"/>
                      <a:ext cx="1981200" cy="1310640"/>
                    </a:xfrm>
                    <a:prstGeom prst="rect">
                      <a:avLst/>
                    </a:prstGeom>
                    <a:noFill/>
                  </pic:spPr>
                </pic:pic>
              </a:graphicData>
            </a:graphic>
          </wp:inline>
        </w:drawing>
      </w:r>
    </w:p>
    <w:p w14:paraId="29C70C52" w14:textId="77777777" w:rsidR="00C80401" w:rsidRPr="00B41D57" w:rsidRDefault="00C80401" w:rsidP="00A9226B">
      <w:pPr>
        <w:tabs>
          <w:tab w:val="clear" w:pos="567"/>
        </w:tabs>
        <w:spacing w:line="240" w:lineRule="auto"/>
        <w:rPr>
          <w:szCs w:val="22"/>
        </w:rPr>
      </w:pPr>
    </w:p>
    <w:p w14:paraId="543076A3" w14:textId="77777777" w:rsidR="00C114FF" w:rsidRPr="00B41D57" w:rsidRDefault="00D90D40" w:rsidP="00F1382B">
      <w:pPr>
        <w:pStyle w:val="Style1"/>
        <w:jc w:val="both"/>
      </w:pPr>
      <w:r w:rsidRPr="00B41D57">
        <w:rPr>
          <w:highlight w:val="lightGray"/>
        </w:rPr>
        <w:t>9.</w:t>
      </w:r>
      <w:r w:rsidRPr="00B41D57">
        <w:tab/>
        <w:t>Informace o správném podávání</w:t>
      </w:r>
    </w:p>
    <w:p w14:paraId="624424AD" w14:textId="77777777" w:rsidR="00F520FE" w:rsidRPr="00B41D57" w:rsidRDefault="00F520FE" w:rsidP="00F1382B">
      <w:pPr>
        <w:tabs>
          <w:tab w:val="clear" w:pos="567"/>
        </w:tabs>
        <w:spacing w:line="240" w:lineRule="auto"/>
        <w:jc w:val="both"/>
        <w:rPr>
          <w:szCs w:val="22"/>
        </w:rPr>
      </w:pPr>
    </w:p>
    <w:p w14:paraId="402B5112" w14:textId="16617CCE" w:rsidR="00C2444E" w:rsidRDefault="00C2444E" w:rsidP="00F1382B">
      <w:pPr>
        <w:tabs>
          <w:tab w:val="clear" w:pos="567"/>
        </w:tabs>
        <w:spacing w:line="240" w:lineRule="auto"/>
        <w:jc w:val="both"/>
      </w:pPr>
      <w:r>
        <w:t>Ustálených sérových koncentrací je dosaženo nejdříve za 1-2 týdny od začátku léčby. Plný účinek přípravku se neprojeví po dva týdny a dávka by neměla být během této doby zvyšována</w:t>
      </w:r>
      <w:r w:rsidR="00D21E83">
        <w:t>.</w:t>
      </w:r>
    </w:p>
    <w:p w14:paraId="58D1E871" w14:textId="77777777" w:rsidR="00C2444E" w:rsidRDefault="00C2444E" w:rsidP="00F1382B">
      <w:pPr>
        <w:tabs>
          <w:tab w:val="clear" w:pos="567"/>
        </w:tabs>
        <w:spacing w:line="240" w:lineRule="auto"/>
        <w:jc w:val="both"/>
      </w:pPr>
      <w:r>
        <w:t xml:space="preserve">Pokud záchvaty nejsou pod kontrolou, může být dávka zvýšena o 20 % v jednom kroku, s následným sledováním sérových hladin fenobarbitalu. Sérová koncentrace fenobarbitalu by měla být zkontrolována po dosažení ustáleného stavu, a pokud je nižší než 15 µg/ml, dávka by měla být odpovídajícím způsobem upravena. Jestliže se záchvaty opakují, dávka může být zvýšena až na maximální sérovou koncentraci 45 µg/ml. Vysoké plazmatické koncentrace mohou být spojeny s </w:t>
      </w:r>
      <w:proofErr w:type="spellStart"/>
      <w:r>
        <w:t>hepatotoxicitou</w:t>
      </w:r>
      <w:proofErr w:type="spellEnd"/>
      <w:r>
        <w:t>. Současně by měly být odebrány vzorky krve, aby byla stanovena plazmatická koncentrace fenobarbitalu, nejlépe při minimálních hladinách, krátce předtím, než má být podána další dávka fenobarbitalu.</w:t>
      </w:r>
    </w:p>
    <w:p w14:paraId="10C2E96A" w14:textId="552FBD7E" w:rsidR="00C114FF" w:rsidRPr="00B41D57" w:rsidRDefault="00C2444E" w:rsidP="00F1382B">
      <w:pPr>
        <w:tabs>
          <w:tab w:val="clear" w:pos="567"/>
        </w:tabs>
        <w:spacing w:line="240" w:lineRule="auto"/>
        <w:jc w:val="both"/>
        <w:rPr>
          <w:iCs/>
          <w:szCs w:val="22"/>
        </w:rPr>
      </w:pPr>
      <w:r>
        <w:t xml:space="preserve">Odstoupení nebo přechod od jiných typů </w:t>
      </w:r>
      <w:proofErr w:type="spellStart"/>
      <w:r>
        <w:t>antiepileptické</w:t>
      </w:r>
      <w:proofErr w:type="spellEnd"/>
      <w:r>
        <w:t xml:space="preserve"> léčby by se měly provádět postupně, aby se vyloučilo zvýšení frekvence záchvatů.</w:t>
      </w:r>
    </w:p>
    <w:p w14:paraId="208153DD" w14:textId="4BEED10A" w:rsidR="001B26EB" w:rsidRDefault="001B26EB" w:rsidP="00F1382B">
      <w:pPr>
        <w:tabs>
          <w:tab w:val="clear" w:pos="567"/>
        </w:tabs>
        <w:spacing w:line="240" w:lineRule="auto"/>
        <w:jc w:val="both"/>
        <w:rPr>
          <w:iCs/>
          <w:szCs w:val="22"/>
        </w:rPr>
      </w:pPr>
    </w:p>
    <w:p w14:paraId="23D65C47" w14:textId="77777777" w:rsidR="00D21E83" w:rsidRPr="00B41D57" w:rsidRDefault="00D21E83" w:rsidP="00F1382B">
      <w:pPr>
        <w:tabs>
          <w:tab w:val="clear" w:pos="567"/>
        </w:tabs>
        <w:spacing w:line="240" w:lineRule="auto"/>
        <w:jc w:val="both"/>
        <w:rPr>
          <w:iCs/>
          <w:szCs w:val="22"/>
        </w:rPr>
      </w:pPr>
    </w:p>
    <w:p w14:paraId="1C7AFC49" w14:textId="77777777" w:rsidR="00DB468A" w:rsidRPr="00B41D57" w:rsidRDefault="00D90D40" w:rsidP="00F1382B">
      <w:pPr>
        <w:pStyle w:val="Style1"/>
        <w:jc w:val="both"/>
      </w:pPr>
      <w:r w:rsidRPr="00B41D57">
        <w:rPr>
          <w:highlight w:val="lightGray"/>
        </w:rPr>
        <w:t>10.</w:t>
      </w:r>
      <w:r w:rsidRPr="00B41D57">
        <w:tab/>
        <w:t>Ochranné lhůty</w:t>
      </w:r>
    </w:p>
    <w:p w14:paraId="352D3C6F" w14:textId="77777777" w:rsidR="00C114FF" w:rsidRPr="00B41D57" w:rsidRDefault="00C114FF" w:rsidP="00F1382B">
      <w:pPr>
        <w:tabs>
          <w:tab w:val="clear" w:pos="567"/>
        </w:tabs>
        <w:spacing w:line="240" w:lineRule="auto"/>
        <w:jc w:val="both"/>
        <w:rPr>
          <w:iCs/>
          <w:szCs w:val="22"/>
        </w:rPr>
      </w:pPr>
    </w:p>
    <w:p w14:paraId="073B4FF2" w14:textId="627D3477" w:rsidR="00C2444E" w:rsidRDefault="00746958" w:rsidP="00F1382B">
      <w:pPr>
        <w:tabs>
          <w:tab w:val="clear" w:pos="567"/>
        </w:tabs>
        <w:spacing w:line="240" w:lineRule="auto"/>
        <w:jc w:val="both"/>
        <w:rPr>
          <w:iCs/>
          <w:szCs w:val="22"/>
        </w:rPr>
      </w:pPr>
      <w:r>
        <w:rPr>
          <w:iCs/>
          <w:szCs w:val="22"/>
        </w:rPr>
        <w:t>Neuplatňuje se.</w:t>
      </w:r>
    </w:p>
    <w:p w14:paraId="766A950F" w14:textId="77777777" w:rsidR="00D21E83" w:rsidRPr="00B41D57" w:rsidRDefault="00D21E83" w:rsidP="00F1382B">
      <w:pPr>
        <w:tabs>
          <w:tab w:val="clear" w:pos="567"/>
        </w:tabs>
        <w:spacing w:line="240" w:lineRule="auto"/>
        <w:jc w:val="both"/>
        <w:rPr>
          <w:iCs/>
          <w:szCs w:val="22"/>
        </w:rPr>
      </w:pPr>
    </w:p>
    <w:p w14:paraId="3EA828F0" w14:textId="77777777" w:rsidR="00C114FF" w:rsidRPr="00B41D57" w:rsidRDefault="00D90D40" w:rsidP="00F1382B">
      <w:pPr>
        <w:pStyle w:val="Style1"/>
        <w:jc w:val="both"/>
      </w:pPr>
      <w:r w:rsidRPr="00B41D57">
        <w:rPr>
          <w:highlight w:val="lightGray"/>
        </w:rPr>
        <w:t>11.</w:t>
      </w:r>
      <w:r w:rsidRPr="00B41D57">
        <w:tab/>
        <w:t>Zvláštní opatření pro uchovávání</w:t>
      </w:r>
    </w:p>
    <w:p w14:paraId="5437653D" w14:textId="77777777" w:rsidR="00C114FF" w:rsidRPr="00B41D57" w:rsidRDefault="00C114FF" w:rsidP="00F1382B">
      <w:pPr>
        <w:numPr>
          <w:ilvl w:val="12"/>
          <w:numId w:val="0"/>
        </w:numPr>
        <w:tabs>
          <w:tab w:val="clear" w:pos="567"/>
        </w:tabs>
        <w:spacing w:line="240" w:lineRule="auto"/>
        <w:jc w:val="both"/>
        <w:rPr>
          <w:szCs w:val="22"/>
        </w:rPr>
      </w:pPr>
    </w:p>
    <w:p w14:paraId="3BC9499A" w14:textId="77777777" w:rsidR="00C5559E" w:rsidRPr="00F50C59" w:rsidRDefault="00C5559E" w:rsidP="00F1382B">
      <w:pPr>
        <w:numPr>
          <w:ilvl w:val="12"/>
          <w:numId w:val="0"/>
        </w:numPr>
        <w:jc w:val="both"/>
        <w:rPr>
          <w:noProof/>
          <w:szCs w:val="22"/>
        </w:rPr>
      </w:pPr>
      <w:r w:rsidRPr="00F50C59">
        <w:rPr>
          <w:szCs w:val="22"/>
        </w:rPr>
        <w:t>Uchováv</w:t>
      </w:r>
      <w:r>
        <w:rPr>
          <w:szCs w:val="22"/>
        </w:rPr>
        <w:t>ejte</w:t>
      </w:r>
      <w:r w:rsidRPr="00F50C59">
        <w:rPr>
          <w:szCs w:val="22"/>
        </w:rPr>
        <w:t xml:space="preserve"> mimo dohled a dosah dětí.</w:t>
      </w:r>
    </w:p>
    <w:p w14:paraId="7EA7CFD7" w14:textId="77777777" w:rsidR="00216E0B" w:rsidRPr="00F50C59" w:rsidRDefault="00216E0B" w:rsidP="00F1382B">
      <w:pPr>
        <w:numPr>
          <w:ilvl w:val="12"/>
          <w:numId w:val="0"/>
        </w:numPr>
        <w:jc w:val="both"/>
        <w:rPr>
          <w:noProof/>
          <w:szCs w:val="22"/>
        </w:rPr>
      </w:pPr>
      <w:r w:rsidRPr="00F50C59">
        <w:rPr>
          <w:szCs w:val="22"/>
        </w:rPr>
        <w:t xml:space="preserve">Tento veterinární léčivý přípravek nevyžaduje žádné zvláštní podmínky uchovávání. </w:t>
      </w:r>
    </w:p>
    <w:p w14:paraId="72A7CD6B" w14:textId="2F326470" w:rsidR="00F50C59" w:rsidRPr="00F50C59" w:rsidRDefault="00F50C59" w:rsidP="00F1382B">
      <w:pPr>
        <w:widowControl w:val="0"/>
        <w:tabs>
          <w:tab w:val="left" w:pos="0"/>
        </w:tabs>
        <w:spacing w:line="240" w:lineRule="auto"/>
        <w:jc w:val="both"/>
        <w:rPr>
          <w:szCs w:val="22"/>
        </w:rPr>
      </w:pPr>
      <w:r w:rsidRPr="00F50C59">
        <w:rPr>
          <w:szCs w:val="22"/>
        </w:rPr>
        <w:t>Doba použitelnosti zbyl</w:t>
      </w:r>
      <w:r w:rsidR="003520EA">
        <w:rPr>
          <w:szCs w:val="22"/>
        </w:rPr>
        <w:t xml:space="preserve">ých částí </w:t>
      </w:r>
      <w:r w:rsidRPr="00F50C59">
        <w:rPr>
          <w:szCs w:val="22"/>
        </w:rPr>
        <w:t xml:space="preserve">tablety: 2 dny. </w:t>
      </w:r>
    </w:p>
    <w:p w14:paraId="1A46A4E4" w14:textId="5260F703" w:rsidR="003520EA" w:rsidRDefault="00F50C59" w:rsidP="00F1382B">
      <w:pPr>
        <w:widowControl w:val="0"/>
        <w:tabs>
          <w:tab w:val="left" w:pos="720"/>
        </w:tabs>
        <w:jc w:val="both"/>
        <w:rPr>
          <w:szCs w:val="22"/>
        </w:rPr>
      </w:pPr>
      <w:r w:rsidRPr="00F50C59">
        <w:rPr>
          <w:szCs w:val="22"/>
        </w:rPr>
        <w:t>Zbylé nepoužité části tablet vraťte zpět do blistru nebo lahvičky</w:t>
      </w:r>
      <w:r w:rsidR="00056D02">
        <w:rPr>
          <w:szCs w:val="22"/>
        </w:rPr>
        <w:t>.</w:t>
      </w:r>
      <w:r w:rsidRPr="00F50C59">
        <w:rPr>
          <w:szCs w:val="22"/>
        </w:rPr>
        <w:t xml:space="preserve"> </w:t>
      </w:r>
      <w:r w:rsidR="00056D02">
        <w:rPr>
          <w:szCs w:val="22"/>
        </w:rPr>
        <w:t>U</w:t>
      </w:r>
      <w:r w:rsidRPr="00F50C59">
        <w:rPr>
          <w:szCs w:val="22"/>
        </w:rPr>
        <w:t xml:space="preserve">chovávejte </w:t>
      </w:r>
      <w:r w:rsidR="00056D02" w:rsidRPr="00F50C59">
        <w:rPr>
          <w:szCs w:val="22"/>
        </w:rPr>
        <w:t xml:space="preserve">blistr </w:t>
      </w:r>
      <w:r w:rsidRPr="00F50C59">
        <w:rPr>
          <w:szCs w:val="22"/>
        </w:rPr>
        <w:t xml:space="preserve">v papírové krabičce. </w:t>
      </w:r>
    </w:p>
    <w:p w14:paraId="5672FC78" w14:textId="08D5E043" w:rsidR="00F50C59" w:rsidRPr="00F50C59" w:rsidRDefault="00F50C59" w:rsidP="00F1382B">
      <w:pPr>
        <w:tabs>
          <w:tab w:val="clear" w:pos="567"/>
        </w:tabs>
        <w:spacing w:line="240" w:lineRule="auto"/>
        <w:jc w:val="both"/>
        <w:rPr>
          <w:color w:val="000000"/>
          <w:szCs w:val="22"/>
        </w:rPr>
      </w:pPr>
      <w:r w:rsidRPr="00F50C59">
        <w:rPr>
          <w:color w:val="000000"/>
          <w:szCs w:val="22"/>
        </w:rPr>
        <w:t>Nepoužívejte tento veterinární léčivý přípravek po uplynutí doby použitelnosti uvedené na etiketě a na krabičce po E</w:t>
      </w:r>
      <w:r w:rsidR="003520EA">
        <w:rPr>
          <w:color w:val="000000"/>
          <w:szCs w:val="22"/>
        </w:rPr>
        <w:t>xp</w:t>
      </w:r>
      <w:r w:rsidRPr="00F50C59">
        <w:rPr>
          <w:color w:val="000000"/>
          <w:szCs w:val="22"/>
        </w:rPr>
        <w:t>.</w:t>
      </w:r>
      <w:r w:rsidR="003520EA">
        <w:rPr>
          <w:color w:val="000000"/>
          <w:szCs w:val="22"/>
        </w:rPr>
        <w:t xml:space="preserve"> D</w:t>
      </w:r>
      <w:r w:rsidR="003520EA" w:rsidRPr="003520EA">
        <w:rPr>
          <w:color w:val="000000"/>
          <w:szCs w:val="22"/>
        </w:rPr>
        <w:t>oba použitelnosti končí posledním dnem v</w:t>
      </w:r>
      <w:r w:rsidR="003520EA">
        <w:rPr>
          <w:color w:val="000000"/>
          <w:szCs w:val="22"/>
        </w:rPr>
        <w:t> </w:t>
      </w:r>
      <w:r w:rsidR="003520EA" w:rsidRPr="003520EA">
        <w:rPr>
          <w:color w:val="000000"/>
          <w:szCs w:val="22"/>
        </w:rPr>
        <w:t>uvedeném</w:t>
      </w:r>
      <w:r w:rsidR="003520EA">
        <w:rPr>
          <w:color w:val="000000"/>
          <w:szCs w:val="22"/>
        </w:rPr>
        <w:t xml:space="preserve"> </w:t>
      </w:r>
      <w:r w:rsidR="003520EA" w:rsidRPr="003520EA">
        <w:rPr>
          <w:color w:val="000000"/>
          <w:szCs w:val="22"/>
        </w:rPr>
        <w:t>měsíc</w:t>
      </w:r>
      <w:r w:rsidR="003520EA">
        <w:rPr>
          <w:color w:val="000000"/>
          <w:szCs w:val="22"/>
        </w:rPr>
        <w:t>i.</w:t>
      </w:r>
    </w:p>
    <w:p w14:paraId="63D353CA" w14:textId="77777777" w:rsidR="00C114FF" w:rsidRPr="00B41D57" w:rsidRDefault="00C114FF" w:rsidP="00F1382B">
      <w:pPr>
        <w:numPr>
          <w:ilvl w:val="12"/>
          <w:numId w:val="0"/>
        </w:numPr>
        <w:tabs>
          <w:tab w:val="clear" w:pos="567"/>
        </w:tabs>
        <w:spacing w:line="240" w:lineRule="auto"/>
        <w:jc w:val="both"/>
        <w:rPr>
          <w:szCs w:val="22"/>
        </w:rPr>
      </w:pPr>
    </w:p>
    <w:p w14:paraId="126FF42E" w14:textId="77777777" w:rsidR="00C114FF" w:rsidRPr="00B41D57" w:rsidRDefault="00C114FF" w:rsidP="00F1382B">
      <w:pPr>
        <w:tabs>
          <w:tab w:val="clear" w:pos="567"/>
        </w:tabs>
        <w:spacing w:line="240" w:lineRule="auto"/>
        <w:jc w:val="both"/>
        <w:rPr>
          <w:szCs w:val="22"/>
        </w:rPr>
      </w:pPr>
    </w:p>
    <w:p w14:paraId="05BE9B45" w14:textId="4E33F251" w:rsidR="00C114FF" w:rsidRPr="00B41D57" w:rsidRDefault="00D90D40" w:rsidP="00F1382B">
      <w:pPr>
        <w:pStyle w:val="Style1"/>
        <w:keepNext/>
        <w:jc w:val="both"/>
      </w:pPr>
      <w:r w:rsidRPr="00B41D57">
        <w:rPr>
          <w:highlight w:val="lightGray"/>
        </w:rPr>
        <w:t>12.</w:t>
      </w:r>
      <w:r w:rsidRPr="00B41D57">
        <w:tab/>
        <w:t xml:space="preserve">Zvláštní opatření pro </w:t>
      </w:r>
      <w:r w:rsidR="00CF069C" w:rsidRPr="00B41D57">
        <w:t>likvidaci</w:t>
      </w:r>
    </w:p>
    <w:p w14:paraId="7C575CD6" w14:textId="77777777" w:rsidR="00C114FF" w:rsidRPr="00B41D57" w:rsidRDefault="00C114FF" w:rsidP="00F1382B">
      <w:pPr>
        <w:keepNext/>
        <w:tabs>
          <w:tab w:val="clear" w:pos="567"/>
        </w:tabs>
        <w:spacing w:line="240" w:lineRule="auto"/>
        <w:jc w:val="both"/>
        <w:rPr>
          <w:szCs w:val="22"/>
        </w:rPr>
      </w:pPr>
    </w:p>
    <w:p w14:paraId="3E91757A" w14:textId="65D675CD" w:rsidR="00C114FF" w:rsidRPr="00B41D57" w:rsidRDefault="00D90D40" w:rsidP="00F1382B">
      <w:pPr>
        <w:tabs>
          <w:tab w:val="clear" w:pos="567"/>
        </w:tabs>
        <w:spacing w:line="240" w:lineRule="auto"/>
        <w:jc w:val="both"/>
        <w:rPr>
          <w:szCs w:val="22"/>
        </w:rPr>
      </w:pPr>
      <w:r w:rsidRPr="00B41D57">
        <w:t xml:space="preserve">Léčivé přípravky se nesmí likvidovat prostřednictvím odpadní vody </w:t>
      </w:r>
      <w:r w:rsidR="00D21E83">
        <w:t>či domovního odpadu.</w:t>
      </w:r>
    </w:p>
    <w:p w14:paraId="6D54AD59" w14:textId="77777777" w:rsidR="00DB468A" w:rsidRPr="00B41D57" w:rsidRDefault="00DB468A" w:rsidP="00F1382B">
      <w:pPr>
        <w:tabs>
          <w:tab w:val="clear" w:pos="567"/>
        </w:tabs>
        <w:spacing w:line="240" w:lineRule="auto"/>
        <w:jc w:val="both"/>
        <w:rPr>
          <w:szCs w:val="22"/>
        </w:rPr>
      </w:pPr>
    </w:p>
    <w:p w14:paraId="3FA7CEB8" w14:textId="7DF4C795" w:rsidR="00DB468A" w:rsidRPr="00B41D57" w:rsidRDefault="00D90D40" w:rsidP="00F1382B">
      <w:pPr>
        <w:jc w:val="both"/>
        <w:rPr>
          <w:szCs w:val="22"/>
        </w:rPr>
      </w:pPr>
      <w:r w:rsidRPr="00B41D57">
        <w:t>Všechen n</w:t>
      </w:r>
      <w:r w:rsidR="00DA2A06" w:rsidRPr="00B41D57">
        <w:t>epoužitý veterinární léčivý přípravek nebo odpad</w:t>
      </w:r>
      <w:r w:rsidR="00905CAB" w:rsidRPr="00B41D57">
        <w:t>, který pochází z</w:t>
      </w:r>
      <w:r w:rsidR="00115BD5" w:rsidRPr="00B41D57">
        <w:t> </w:t>
      </w:r>
      <w:r w:rsidR="00905CAB" w:rsidRPr="00B41D57">
        <w:t>tohoto</w:t>
      </w:r>
      <w:r w:rsidR="00115BD5" w:rsidRPr="00B41D57">
        <w:t xml:space="preserve"> přípravku, </w:t>
      </w:r>
      <w:r w:rsidR="007616B4" w:rsidRPr="00B41D57">
        <w:t xml:space="preserve">likvidujte </w:t>
      </w:r>
      <w:r w:rsidR="002446DC" w:rsidRPr="00B41D57">
        <w:t xml:space="preserve">odevzdáním </w:t>
      </w:r>
      <w:r w:rsidR="00DA2A06" w:rsidRPr="00B41D57">
        <w:t xml:space="preserve">v souladu s místními požadavky </w:t>
      </w:r>
      <w:r w:rsidR="00330CC1" w:rsidRPr="00B41D57">
        <w:t>a </w:t>
      </w:r>
      <w:r w:rsidR="00DA2A06" w:rsidRPr="00B41D57">
        <w:t>platnými národními systémy sběru. Tato opatření napomáhají chránit životní prostředí.</w:t>
      </w:r>
    </w:p>
    <w:p w14:paraId="23B24023" w14:textId="77777777" w:rsidR="00DB468A" w:rsidRPr="00B41D57" w:rsidRDefault="00DB468A" w:rsidP="00F1382B">
      <w:pPr>
        <w:tabs>
          <w:tab w:val="clear" w:pos="567"/>
        </w:tabs>
        <w:spacing w:line="240" w:lineRule="auto"/>
        <w:jc w:val="both"/>
        <w:rPr>
          <w:szCs w:val="22"/>
        </w:rPr>
      </w:pPr>
    </w:p>
    <w:p w14:paraId="085349A6" w14:textId="17C8F3A5" w:rsidR="00C114FF" w:rsidRPr="00B41D57" w:rsidRDefault="00D90D40" w:rsidP="00F1382B">
      <w:pPr>
        <w:tabs>
          <w:tab w:val="clear" w:pos="567"/>
        </w:tabs>
        <w:spacing w:line="240" w:lineRule="auto"/>
        <w:jc w:val="both"/>
        <w:rPr>
          <w:szCs w:val="22"/>
        </w:rPr>
      </w:pPr>
      <w:r w:rsidRPr="00B41D57">
        <w:t>O možnostech likvidace nepotřebných léčivých přípravků se poraďte s vaším veterinárním lékařem nebo lékárníkem</w:t>
      </w:r>
      <w:r w:rsidR="003C3E0E" w:rsidRPr="00B41D57">
        <w:t>.</w:t>
      </w:r>
    </w:p>
    <w:p w14:paraId="7E3D0AFD" w14:textId="77777777" w:rsidR="00DB468A" w:rsidRPr="00B41D57" w:rsidRDefault="00DB468A" w:rsidP="00F1382B">
      <w:pPr>
        <w:tabs>
          <w:tab w:val="clear" w:pos="567"/>
        </w:tabs>
        <w:spacing w:line="240" w:lineRule="auto"/>
        <w:jc w:val="both"/>
        <w:rPr>
          <w:bCs/>
          <w:szCs w:val="22"/>
          <w:highlight w:val="lightGray"/>
        </w:rPr>
      </w:pPr>
    </w:p>
    <w:p w14:paraId="06DB9A21" w14:textId="77777777" w:rsidR="00DB468A" w:rsidRPr="00B41D57" w:rsidRDefault="00DB468A" w:rsidP="00DB468A">
      <w:pPr>
        <w:tabs>
          <w:tab w:val="clear" w:pos="567"/>
        </w:tabs>
        <w:spacing w:line="240" w:lineRule="auto"/>
        <w:rPr>
          <w:bCs/>
          <w:szCs w:val="22"/>
          <w:highlight w:val="lightGray"/>
        </w:rPr>
      </w:pPr>
    </w:p>
    <w:p w14:paraId="31B48E2D" w14:textId="50C1A3E1" w:rsidR="00DB468A" w:rsidRDefault="00D90D40" w:rsidP="00F1382B">
      <w:pPr>
        <w:pStyle w:val="Style1"/>
        <w:keepNext/>
      </w:pPr>
      <w:r w:rsidRPr="00B41D57">
        <w:rPr>
          <w:highlight w:val="lightGray"/>
        </w:rPr>
        <w:t>13.</w:t>
      </w:r>
      <w:r w:rsidRPr="00B41D57">
        <w:tab/>
        <w:t>Klasifikace veterinárních léčivých přípravků</w:t>
      </w:r>
    </w:p>
    <w:p w14:paraId="2FB8C595" w14:textId="2D1AF6C5" w:rsidR="00C2444E" w:rsidRDefault="00C2444E" w:rsidP="00F1382B">
      <w:pPr>
        <w:pStyle w:val="Style1"/>
        <w:keepNext/>
      </w:pPr>
    </w:p>
    <w:p w14:paraId="360D4491" w14:textId="77777777" w:rsidR="00C2444E" w:rsidRPr="00F1382B" w:rsidRDefault="00C2444E" w:rsidP="00C2444E">
      <w:pPr>
        <w:pStyle w:val="Style1"/>
        <w:rPr>
          <w:b w:val="0"/>
          <w:bCs/>
        </w:rPr>
      </w:pPr>
      <w:r w:rsidRPr="00F1382B">
        <w:rPr>
          <w:b w:val="0"/>
          <w:bCs/>
        </w:rPr>
        <w:t>Pouze pro zvířata.</w:t>
      </w:r>
    </w:p>
    <w:p w14:paraId="76BF11F0" w14:textId="1337AEBA" w:rsidR="00C114FF" w:rsidRPr="00B41D57" w:rsidRDefault="00C2444E" w:rsidP="00A9226B">
      <w:pPr>
        <w:tabs>
          <w:tab w:val="clear" w:pos="567"/>
        </w:tabs>
        <w:spacing w:line="240" w:lineRule="auto"/>
        <w:rPr>
          <w:szCs w:val="22"/>
        </w:rPr>
      </w:pPr>
      <w:r w:rsidRPr="00DB0502">
        <w:rPr>
          <w:bCs/>
        </w:rPr>
        <w:lastRenderedPageBreak/>
        <w:t>Veterinární léčivý přípravek je vydáván pouze na předpis.</w:t>
      </w:r>
    </w:p>
    <w:p w14:paraId="1B2009DE" w14:textId="71E54EF7" w:rsidR="00DB468A" w:rsidRDefault="00DB468A" w:rsidP="00A9226B">
      <w:pPr>
        <w:tabs>
          <w:tab w:val="clear" w:pos="567"/>
        </w:tabs>
        <w:spacing w:line="240" w:lineRule="auto"/>
        <w:rPr>
          <w:szCs w:val="22"/>
        </w:rPr>
      </w:pPr>
    </w:p>
    <w:p w14:paraId="051356F1" w14:textId="77777777" w:rsidR="00D21E83" w:rsidRPr="00B41D57" w:rsidRDefault="00D21E83" w:rsidP="00A9226B">
      <w:pPr>
        <w:tabs>
          <w:tab w:val="clear" w:pos="567"/>
        </w:tabs>
        <w:spacing w:line="240" w:lineRule="auto"/>
        <w:rPr>
          <w:szCs w:val="22"/>
        </w:rPr>
      </w:pPr>
    </w:p>
    <w:p w14:paraId="37274FDB" w14:textId="77777777" w:rsidR="00DB468A" w:rsidRPr="00B41D57" w:rsidRDefault="00D90D40" w:rsidP="00B13B6D">
      <w:pPr>
        <w:pStyle w:val="Style1"/>
      </w:pPr>
      <w:r w:rsidRPr="00B41D57">
        <w:rPr>
          <w:highlight w:val="lightGray"/>
        </w:rPr>
        <w:t>14.</w:t>
      </w:r>
      <w:r w:rsidRPr="00B41D57">
        <w:tab/>
        <w:t>Registrační čísla a velikosti balení</w:t>
      </w:r>
    </w:p>
    <w:p w14:paraId="7A2F65F6" w14:textId="77777777" w:rsidR="00DB468A" w:rsidRPr="00B41D57" w:rsidRDefault="00DB468A" w:rsidP="00A9226B">
      <w:pPr>
        <w:tabs>
          <w:tab w:val="clear" w:pos="567"/>
        </w:tabs>
        <w:spacing w:line="240" w:lineRule="auto"/>
        <w:rPr>
          <w:szCs w:val="22"/>
        </w:rPr>
      </w:pPr>
    </w:p>
    <w:p w14:paraId="49C73667" w14:textId="05B2D069" w:rsidR="00F1382B" w:rsidRDefault="00F1382B" w:rsidP="00056D02">
      <w:pPr>
        <w:tabs>
          <w:tab w:val="clear" w:pos="567"/>
        </w:tabs>
        <w:spacing w:line="240" w:lineRule="auto"/>
      </w:pPr>
      <w:r w:rsidRPr="00F1382B">
        <w:t>96/008/</w:t>
      </w:r>
      <w:proofErr w:type="gramStart"/>
      <w:r w:rsidRPr="00F1382B">
        <w:t>18-C</w:t>
      </w:r>
      <w:proofErr w:type="gramEnd"/>
    </w:p>
    <w:p w14:paraId="70249009" w14:textId="77777777" w:rsidR="00F1382B" w:rsidRDefault="00F1382B" w:rsidP="00056D02">
      <w:pPr>
        <w:tabs>
          <w:tab w:val="clear" w:pos="567"/>
        </w:tabs>
        <w:spacing w:line="240" w:lineRule="auto"/>
      </w:pPr>
    </w:p>
    <w:p w14:paraId="59128CB0" w14:textId="7A7EDE56" w:rsidR="00056D02" w:rsidRDefault="00056D02" w:rsidP="00056D02">
      <w:pPr>
        <w:tabs>
          <w:tab w:val="clear" w:pos="567"/>
        </w:tabs>
        <w:spacing w:line="240" w:lineRule="auto"/>
      </w:pPr>
      <w:proofErr w:type="spellStart"/>
      <w:r>
        <w:t>Blistrové</w:t>
      </w:r>
      <w:proofErr w:type="spellEnd"/>
      <w:r>
        <w:t xml:space="preserve"> </w:t>
      </w:r>
      <w:proofErr w:type="spellStart"/>
      <w:r>
        <w:t>stripy</w:t>
      </w:r>
      <w:proofErr w:type="spellEnd"/>
      <w:r>
        <w:t xml:space="preserve"> (PVC/hliník) obsahující 10 tablet v krabičkách po 10, 20, 30, 40, 50, 60, 70, 80, 90, 100, 500 a 1000 tabletách.</w:t>
      </w:r>
    </w:p>
    <w:p w14:paraId="1CA773CD" w14:textId="02B1C433" w:rsidR="00241C94" w:rsidRDefault="00056D02" w:rsidP="00056D02">
      <w:pPr>
        <w:tabs>
          <w:tab w:val="clear" w:pos="567"/>
        </w:tabs>
        <w:spacing w:line="240" w:lineRule="auto"/>
      </w:pPr>
      <w:r>
        <w:t xml:space="preserve">Bílé HDPE lahvičky s dětským bezpečnostním uzávěrem z polypropylenu, které obsahují 100 nebo 500 tablet. </w:t>
      </w:r>
    </w:p>
    <w:p w14:paraId="0269431A" w14:textId="77777777" w:rsidR="00C2444E" w:rsidRDefault="00C2444E" w:rsidP="00C2444E">
      <w:pPr>
        <w:tabs>
          <w:tab w:val="clear" w:pos="567"/>
        </w:tabs>
        <w:spacing w:line="240" w:lineRule="auto"/>
      </w:pPr>
      <w:r>
        <w:t>Na trhu nemusí být všechny velikosti balení.</w:t>
      </w:r>
    </w:p>
    <w:p w14:paraId="2B98BFFE" w14:textId="77777777" w:rsidR="00C114FF" w:rsidRPr="00B41D57" w:rsidRDefault="00C114FF" w:rsidP="00A9226B">
      <w:pPr>
        <w:tabs>
          <w:tab w:val="clear" w:pos="567"/>
        </w:tabs>
        <w:spacing w:line="240" w:lineRule="auto"/>
        <w:rPr>
          <w:szCs w:val="22"/>
        </w:rPr>
      </w:pPr>
    </w:p>
    <w:p w14:paraId="1E0A47F2" w14:textId="77777777" w:rsidR="00DB468A" w:rsidRPr="00B41D57" w:rsidRDefault="00DB468A" w:rsidP="00A9226B">
      <w:pPr>
        <w:tabs>
          <w:tab w:val="clear" w:pos="567"/>
        </w:tabs>
        <w:spacing w:line="240" w:lineRule="auto"/>
        <w:rPr>
          <w:szCs w:val="22"/>
        </w:rPr>
      </w:pPr>
    </w:p>
    <w:p w14:paraId="0B76CC22" w14:textId="77777777" w:rsidR="00C114FF" w:rsidRPr="00B41D57" w:rsidRDefault="00D90D40" w:rsidP="00B13B6D">
      <w:pPr>
        <w:pStyle w:val="Style1"/>
      </w:pPr>
      <w:r w:rsidRPr="00B41D57">
        <w:rPr>
          <w:highlight w:val="lightGray"/>
        </w:rPr>
        <w:t>15.</w:t>
      </w:r>
      <w:r w:rsidRPr="00B41D57">
        <w:tab/>
        <w:t>Datum poslední revize příbalové informace</w:t>
      </w:r>
    </w:p>
    <w:p w14:paraId="6781F72F" w14:textId="77777777" w:rsidR="00C114FF" w:rsidRPr="00B41D57" w:rsidRDefault="00C114FF" w:rsidP="00A9226B">
      <w:pPr>
        <w:tabs>
          <w:tab w:val="clear" w:pos="567"/>
        </w:tabs>
        <w:spacing w:line="240" w:lineRule="auto"/>
        <w:rPr>
          <w:szCs w:val="22"/>
        </w:rPr>
      </w:pPr>
    </w:p>
    <w:p w14:paraId="00AC9C76" w14:textId="18B07970" w:rsidR="00DB468A" w:rsidRPr="00B41D57" w:rsidRDefault="00F1382B" w:rsidP="00DB468A">
      <w:pPr>
        <w:rPr>
          <w:szCs w:val="22"/>
        </w:rPr>
      </w:pPr>
      <w:proofErr w:type="gramStart"/>
      <w:r>
        <w:t>Červen</w:t>
      </w:r>
      <w:proofErr w:type="gramEnd"/>
      <w:r>
        <w:t xml:space="preserve"> 2023</w:t>
      </w:r>
    </w:p>
    <w:p w14:paraId="78FB153C" w14:textId="77777777" w:rsidR="00DB468A" w:rsidRPr="00B41D57" w:rsidRDefault="00DB468A" w:rsidP="00A9226B">
      <w:pPr>
        <w:tabs>
          <w:tab w:val="clear" w:pos="567"/>
        </w:tabs>
        <w:spacing w:line="240" w:lineRule="auto"/>
        <w:rPr>
          <w:szCs w:val="22"/>
        </w:rPr>
      </w:pPr>
    </w:p>
    <w:p w14:paraId="536A8BBE" w14:textId="77777777" w:rsidR="00DB468A" w:rsidRPr="00B41D57" w:rsidRDefault="00DB468A" w:rsidP="00A9226B">
      <w:pPr>
        <w:tabs>
          <w:tab w:val="clear" w:pos="567"/>
        </w:tabs>
        <w:spacing w:line="240" w:lineRule="auto"/>
        <w:rPr>
          <w:szCs w:val="22"/>
        </w:rPr>
      </w:pPr>
    </w:p>
    <w:p w14:paraId="15C08D53" w14:textId="0AF5B02D" w:rsidR="001F1C7E" w:rsidRDefault="00D90D40" w:rsidP="001F1C7E">
      <w:pPr>
        <w:tabs>
          <w:tab w:val="clear" w:pos="567"/>
        </w:tabs>
        <w:spacing w:line="240" w:lineRule="auto"/>
        <w:rPr>
          <w:szCs w:val="22"/>
        </w:rPr>
      </w:pPr>
      <w:r w:rsidRPr="00B41D57">
        <w:t>Podrobné informace o tomto veterinárním léčivém přípravku jsou k dispozici v databázi přípravků Unie</w:t>
      </w:r>
      <w:r>
        <w:t xml:space="preserve"> </w:t>
      </w:r>
      <w:r>
        <w:rPr>
          <w:szCs w:val="22"/>
        </w:rPr>
        <w:t>(</w:t>
      </w:r>
      <w:hyperlink r:id="rId10" w:history="1">
        <w:r w:rsidRPr="001D6052">
          <w:rPr>
            <w:rStyle w:val="Hypertextovodkaz"/>
            <w:szCs w:val="22"/>
          </w:rPr>
          <w:t>https://medicines.health.europa.eu/veterinary</w:t>
        </w:r>
      </w:hyperlink>
      <w:r>
        <w:rPr>
          <w:szCs w:val="22"/>
        </w:rPr>
        <w:t>)</w:t>
      </w:r>
      <w:r w:rsidRPr="004620A4">
        <w:rPr>
          <w:szCs w:val="22"/>
        </w:rPr>
        <w:t>.</w:t>
      </w:r>
    </w:p>
    <w:p w14:paraId="0E7471C9" w14:textId="243DF1C8" w:rsidR="00EE10D8" w:rsidRPr="00EE10D8" w:rsidRDefault="00EE10D8" w:rsidP="001F1C7E">
      <w:pPr>
        <w:tabs>
          <w:tab w:val="clear" w:pos="567"/>
        </w:tabs>
        <w:spacing w:line="240" w:lineRule="auto"/>
        <w:rPr>
          <w:szCs w:val="22"/>
        </w:rPr>
      </w:pPr>
    </w:p>
    <w:p w14:paraId="4E47B7E9" w14:textId="77777777" w:rsidR="00EE10D8" w:rsidRPr="00F1382B" w:rsidRDefault="00EE10D8" w:rsidP="00EE10D8">
      <w:pPr>
        <w:rPr>
          <w:rStyle w:val="markedcontent"/>
        </w:rPr>
      </w:pPr>
      <w:r w:rsidRPr="00F1382B">
        <w:rPr>
          <w:rStyle w:val="markedcontent"/>
        </w:rPr>
        <w:t>Podrobné informace o tomto veterinárním léčivém přípravku naleznete také v národní databázi (</w:t>
      </w:r>
      <w:hyperlink r:id="rId11" w:history="1">
        <w:r w:rsidRPr="00F1382B">
          <w:rPr>
            <w:rStyle w:val="Hypertextovodkaz"/>
          </w:rPr>
          <w:t>https://www.uskvbl.cz</w:t>
        </w:r>
      </w:hyperlink>
      <w:r w:rsidRPr="00F1382B">
        <w:rPr>
          <w:rStyle w:val="markedcontent"/>
        </w:rPr>
        <w:t xml:space="preserve">). </w:t>
      </w:r>
    </w:p>
    <w:p w14:paraId="77713D40" w14:textId="77777777" w:rsidR="00EE10D8" w:rsidRPr="006414D3" w:rsidRDefault="00EE10D8" w:rsidP="001F1C7E">
      <w:pPr>
        <w:tabs>
          <w:tab w:val="clear" w:pos="567"/>
        </w:tabs>
        <w:spacing w:line="240" w:lineRule="auto"/>
        <w:rPr>
          <w:szCs w:val="22"/>
        </w:rPr>
      </w:pPr>
    </w:p>
    <w:p w14:paraId="79F8C20E" w14:textId="77777777" w:rsidR="00C114FF" w:rsidRPr="00B41D57" w:rsidRDefault="00C114FF" w:rsidP="00A9226B">
      <w:pPr>
        <w:tabs>
          <w:tab w:val="clear" w:pos="567"/>
        </w:tabs>
        <w:spacing w:line="240" w:lineRule="auto"/>
        <w:rPr>
          <w:szCs w:val="22"/>
        </w:rPr>
      </w:pPr>
    </w:p>
    <w:p w14:paraId="573985A6" w14:textId="77777777" w:rsidR="00E70337" w:rsidRPr="00B41D57" w:rsidRDefault="00E70337" w:rsidP="00A9226B">
      <w:pPr>
        <w:tabs>
          <w:tab w:val="clear" w:pos="567"/>
        </w:tabs>
        <w:spacing w:line="240" w:lineRule="auto"/>
        <w:rPr>
          <w:szCs w:val="22"/>
        </w:rPr>
      </w:pPr>
    </w:p>
    <w:p w14:paraId="54C9272A" w14:textId="77777777" w:rsidR="00DB468A" w:rsidRPr="00B41D57" w:rsidRDefault="00D90D40"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79625108" w14:textId="6AAF6B59" w:rsidR="00DB468A" w:rsidRPr="00B41D57" w:rsidRDefault="00D90D40" w:rsidP="00DB468A">
      <w:pPr>
        <w:rPr>
          <w:iCs/>
          <w:szCs w:val="22"/>
        </w:rPr>
      </w:pPr>
      <w:bookmarkStart w:id="0" w:name="_Hlk73552578"/>
      <w:r w:rsidRPr="00B41D57">
        <w:rPr>
          <w:iCs/>
          <w:szCs w:val="22"/>
          <w:u w:val="single"/>
        </w:rPr>
        <w:t>Držitel rozhodnutí o registraci a výrobce odpovědný za uvol</w:t>
      </w:r>
      <w:r w:rsidR="00FD642D" w:rsidRPr="00B41D57">
        <w:rPr>
          <w:iCs/>
          <w:szCs w:val="22"/>
          <w:u w:val="single"/>
        </w:rPr>
        <w:t>ně</w:t>
      </w:r>
      <w:r w:rsidRPr="00B41D57">
        <w:rPr>
          <w:iCs/>
          <w:szCs w:val="22"/>
          <w:u w:val="single"/>
        </w:rPr>
        <w:t>ní šarž</w:t>
      </w:r>
      <w:r w:rsidR="00FD642D" w:rsidRPr="00B41D57">
        <w:rPr>
          <w:iCs/>
          <w:szCs w:val="22"/>
          <w:u w:val="single"/>
        </w:rPr>
        <w:t>e</w:t>
      </w:r>
      <w:r w:rsidRPr="00B41D57">
        <w:rPr>
          <w:iCs/>
          <w:szCs w:val="22"/>
          <w:u w:val="single"/>
        </w:rPr>
        <w:t xml:space="preserve"> a kontaktní údaje pro hlášení podezření na nežádoucí účinky</w:t>
      </w:r>
      <w:r w:rsidRPr="00B41D57">
        <w:t>:</w:t>
      </w:r>
    </w:p>
    <w:bookmarkEnd w:id="0"/>
    <w:p w14:paraId="0C3CB0E5" w14:textId="77777777" w:rsidR="00C21C4B" w:rsidRPr="00C21C4B" w:rsidRDefault="00C21C4B" w:rsidP="00C21C4B">
      <w:pPr>
        <w:tabs>
          <w:tab w:val="clear" w:pos="567"/>
        </w:tabs>
        <w:spacing w:line="240" w:lineRule="auto"/>
        <w:rPr>
          <w:szCs w:val="22"/>
        </w:rPr>
      </w:pPr>
      <w:r w:rsidRPr="00C21C4B">
        <w:rPr>
          <w:szCs w:val="22"/>
        </w:rPr>
        <w:t>Chanelle Pharmaceuticals Manufacturing Ltd</w:t>
      </w:r>
    </w:p>
    <w:p w14:paraId="0F5AF62B" w14:textId="77777777" w:rsidR="00C21C4B" w:rsidRPr="00C21C4B" w:rsidRDefault="00C21C4B" w:rsidP="00C21C4B">
      <w:pPr>
        <w:tabs>
          <w:tab w:val="clear" w:pos="567"/>
        </w:tabs>
        <w:spacing w:line="240" w:lineRule="auto"/>
        <w:rPr>
          <w:szCs w:val="22"/>
        </w:rPr>
      </w:pPr>
      <w:r w:rsidRPr="00C21C4B">
        <w:rPr>
          <w:szCs w:val="22"/>
        </w:rPr>
        <w:t>Loughrea</w:t>
      </w:r>
    </w:p>
    <w:p w14:paraId="2FA29335" w14:textId="77777777" w:rsidR="00C21C4B" w:rsidRPr="00C21C4B" w:rsidRDefault="00C21C4B" w:rsidP="00C21C4B">
      <w:pPr>
        <w:tabs>
          <w:tab w:val="clear" w:pos="567"/>
        </w:tabs>
        <w:spacing w:line="240" w:lineRule="auto"/>
        <w:rPr>
          <w:szCs w:val="22"/>
        </w:rPr>
      </w:pPr>
      <w:r w:rsidRPr="00C21C4B">
        <w:rPr>
          <w:szCs w:val="22"/>
        </w:rPr>
        <w:t>Co. Galway</w:t>
      </w:r>
    </w:p>
    <w:p w14:paraId="0AF62BF4" w14:textId="33C09755" w:rsidR="00C21C4B" w:rsidRPr="00C21C4B" w:rsidRDefault="00C21C4B" w:rsidP="00C21C4B">
      <w:pPr>
        <w:tabs>
          <w:tab w:val="clear" w:pos="567"/>
        </w:tabs>
        <w:spacing w:line="240" w:lineRule="auto"/>
        <w:rPr>
          <w:szCs w:val="22"/>
        </w:rPr>
      </w:pPr>
      <w:r w:rsidRPr="00C21C4B">
        <w:rPr>
          <w:szCs w:val="22"/>
        </w:rPr>
        <w:t>Ir</w:t>
      </w:r>
      <w:r w:rsidR="00056D02">
        <w:rPr>
          <w:szCs w:val="22"/>
        </w:rPr>
        <w:t>sko</w:t>
      </w:r>
    </w:p>
    <w:p w14:paraId="2100DEFF" w14:textId="7E7A66DA" w:rsidR="00C21C4B" w:rsidRPr="00C21C4B" w:rsidRDefault="00C21C4B" w:rsidP="00C21C4B">
      <w:pPr>
        <w:tabs>
          <w:tab w:val="clear" w:pos="567"/>
        </w:tabs>
        <w:spacing w:line="240" w:lineRule="auto"/>
        <w:rPr>
          <w:szCs w:val="22"/>
        </w:rPr>
      </w:pPr>
      <w:r w:rsidRPr="00C21C4B">
        <w:rPr>
          <w:szCs w:val="22"/>
        </w:rPr>
        <w:t>Tel</w:t>
      </w:r>
      <w:r w:rsidR="00056D02">
        <w:rPr>
          <w:szCs w:val="22"/>
        </w:rPr>
        <w:t>.</w:t>
      </w:r>
      <w:r w:rsidRPr="00C21C4B">
        <w:rPr>
          <w:szCs w:val="22"/>
        </w:rPr>
        <w:t>: +353 (0)91 841788</w:t>
      </w:r>
    </w:p>
    <w:p w14:paraId="4BCB8728" w14:textId="1BA7EDD7" w:rsidR="00DB468A" w:rsidRDefault="00C76694" w:rsidP="00C21C4B">
      <w:pPr>
        <w:tabs>
          <w:tab w:val="clear" w:pos="567"/>
        </w:tabs>
        <w:spacing w:line="240" w:lineRule="auto"/>
        <w:rPr>
          <w:szCs w:val="22"/>
        </w:rPr>
      </w:pPr>
      <w:hyperlink r:id="rId12" w:history="1">
        <w:r w:rsidRPr="0035644A">
          <w:rPr>
            <w:rStyle w:val="Hypertextovodkaz"/>
            <w:szCs w:val="22"/>
          </w:rPr>
          <w:t>vetpharmacoviggroup@chanellegroup.ie</w:t>
        </w:r>
      </w:hyperlink>
    </w:p>
    <w:p w14:paraId="4109124A" w14:textId="77777777" w:rsidR="00C76694" w:rsidRDefault="00C76694" w:rsidP="00C21C4B">
      <w:pPr>
        <w:tabs>
          <w:tab w:val="clear" w:pos="567"/>
        </w:tabs>
        <w:spacing w:line="240" w:lineRule="auto"/>
        <w:rPr>
          <w:szCs w:val="22"/>
        </w:rPr>
      </w:pPr>
      <w:bookmarkStart w:id="1" w:name="_GoBack"/>
      <w:bookmarkEnd w:id="1"/>
    </w:p>
    <w:p w14:paraId="3D3BF102" w14:textId="77777777" w:rsidR="003841FC" w:rsidRPr="00B41D57" w:rsidRDefault="003841FC" w:rsidP="003841FC">
      <w:pPr>
        <w:rPr>
          <w:bCs/>
          <w:szCs w:val="22"/>
        </w:rPr>
      </w:pPr>
    </w:p>
    <w:p w14:paraId="003B01AD" w14:textId="3070A3D2" w:rsidR="00BB2539" w:rsidRPr="00B41D57" w:rsidRDefault="00D90D40" w:rsidP="00B13B6D">
      <w:pPr>
        <w:pStyle w:val="Style1"/>
      </w:pPr>
      <w:bookmarkStart w:id="2" w:name="_Hlk137562419"/>
      <w:r w:rsidRPr="00B41D57">
        <w:rPr>
          <w:highlight w:val="lightGray"/>
        </w:rPr>
        <w:t>17.</w:t>
      </w:r>
      <w:r w:rsidRPr="00B41D57">
        <w:tab/>
        <w:t>Další informace</w:t>
      </w:r>
    </w:p>
    <w:bookmarkEnd w:id="2"/>
    <w:p w14:paraId="72BBFD3F" w14:textId="1DE9371E" w:rsidR="005F346D" w:rsidRDefault="005F346D" w:rsidP="006D075E">
      <w:pPr>
        <w:tabs>
          <w:tab w:val="clear" w:pos="567"/>
        </w:tabs>
        <w:spacing w:line="240" w:lineRule="auto"/>
        <w:rPr>
          <w:szCs w:val="22"/>
        </w:rPr>
      </w:pPr>
    </w:p>
    <w:p w14:paraId="3D050EEA" w14:textId="4C9FF38A" w:rsidR="009B59E7" w:rsidRPr="00DA1710" w:rsidRDefault="009B59E7" w:rsidP="009B59E7">
      <w:pPr>
        <w:ind w:right="566"/>
        <w:rPr>
          <w:szCs w:val="22"/>
        </w:rPr>
      </w:pPr>
      <w:r w:rsidRPr="00DA1710">
        <w:rPr>
          <w:noProof/>
          <w:szCs w:val="22"/>
        </w:rPr>
        <w:drawing>
          <wp:anchor distT="0" distB="0" distL="114300" distR="114300" simplePos="0" relativeHeight="251658240" behindDoc="0" locked="0" layoutInCell="1" allowOverlap="1" wp14:anchorId="13357C94" wp14:editId="559B9495">
            <wp:simplePos x="0" y="0"/>
            <wp:positionH relativeFrom="margin">
              <wp:align>left</wp:align>
            </wp:positionH>
            <wp:positionV relativeFrom="paragraph">
              <wp:posOffset>9525</wp:posOffset>
            </wp:positionV>
            <wp:extent cx="496800" cy="298800"/>
            <wp:effectExtent l="0" t="0" r="0" b="635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6800" cy="29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2"/>
        </w:rPr>
        <w:t xml:space="preserve"> </w:t>
      </w:r>
      <w:r w:rsidR="00D25D53" w:rsidRPr="00DA1710">
        <w:rPr>
          <w:szCs w:val="22"/>
        </w:rPr>
        <w:t>Pří</w:t>
      </w:r>
      <w:r w:rsidR="00D25D53" w:rsidRPr="00AA77D1">
        <w:rPr>
          <w:szCs w:val="22"/>
        </w:rPr>
        <w:t>pravek obsahuje návykové látky.</w:t>
      </w:r>
    </w:p>
    <w:p w14:paraId="061A0832" w14:textId="77777777" w:rsidR="009B59E7" w:rsidRPr="00642F0B" w:rsidRDefault="009B59E7" w:rsidP="009B59E7">
      <w:pPr>
        <w:rPr>
          <w:szCs w:val="22"/>
        </w:rPr>
      </w:pPr>
    </w:p>
    <w:p w14:paraId="64D3B3C4" w14:textId="77777777" w:rsidR="00C43387" w:rsidRPr="00B41D57" w:rsidRDefault="00C43387" w:rsidP="006D075E">
      <w:pPr>
        <w:tabs>
          <w:tab w:val="clear" w:pos="567"/>
        </w:tabs>
        <w:spacing w:line="240" w:lineRule="auto"/>
        <w:rPr>
          <w:szCs w:val="22"/>
        </w:rPr>
      </w:pPr>
    </w:p>
    <w:sectPr w:rsidR="00C43387" w:rsidRPr="00B41D57" w:rsidSect="003837F1">
      <w:headerReference w:type="default" r:id="rId14"/>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6C956" w16cex:dateUtc="2023-04-04T15:05:00Z"/>
  <w16cex:commentExtensible w16cex:durableId="27D6DA97" w16cex:dateUtc="2023-04-04T16: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ADF7E" w14:textId="77777777" w:rsidR="001E3872" w:rsidRDefault="001E3872">
      <w:pPr>
        <w:spacing w:line="240" w:lineRule="auto"/>
      </w:pPr>
      <w:r>
        <w:separator/>
      </w:r>
    </w:p>
  </w:endnote>
  <w:endnote w:type="continuationSeparator" w:id="0">
    <w:p w14:paraId="3FE2ECAD" w14:textId="77777777" w:rsidR="001E3872" w:rsidRDefault="001E3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309020205020404"/>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D90D40">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D90D40">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9F191" w14:textId="77777777" w:rsidR="001E3872" w:rsidRDefault="001E3872">
      <w:pPr>
        <w:spacing w:line="240" w:lineRule="auto"/>
      </w:pPr>
      <w:r>
        <w:separator/>
      </w:r>
    </w:p>
  </w:footnote>
  <w:footnote w:type="continuationSeparator" w:id="0">
    <w:p w14:paraId="65A9AD62" w14:textId="77777777" w:rsidR="001E3872" w:rsidRDefault="001E38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3EEB" w14:textId="4CF65CCC" w:rsidR="00B005ED" w:rsidRDefault="00B005ED">
    <w:pPr>
      <w:pStyle w:val="Zhlav"/>
    </w:pPr>
    <w:r w:rsidRPr="00B005E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618C8C16">
      <w:start w:val="1"/>
      <w:numFmt w:val="decimal"/>
      <w:lvlText w:val="%1."/>
      <w:lvlJc w:val="left"/>
      <w:pPr>
        <w:tabs>
          <w:tab w:val="num" w:pos="720"/>
        </w:tabs>
        <w:ind w:left="720" w:hanging="360"/>
      </w:pPr>
    </w:lvl>
    <w:lvl w:ilvl="1" w:tplc="CCD0E218">
      <w:start w:val="1"/>
      <w:numFmt w:val="lowerLetter"/>
      <w:lvlText w:val="%2."/>
      <w:lvlJc w:val="left"/>
      <w:pPr>
        <w:tabs>
          <w:tab w:val="num" w:pos="1440"/>
        </w:tabs>
        <w:ind w:left="1440" w:hanging="360"/>
      </w:pPr>
    </w:lvl>
    <w:lvl w:ilvl="2" w:tplc="4C642124" w:tentative="1">
      <w:start w:val="1"/>
      <w:numFmt w:val="lowerRoman"/>
      <w:lvlText w:val="%3."/>
      <w:lvlJc w:val="right"/>
      <w:pPr>
        <w:tabs>
          <w:tab w:val="num" w:pos="2160"/>
        </w:tabs>
        <w:ind w:left="2160" w:hanging="180"/>
      </w:pPr>
    </w:lvl>
    <w:lvl w:ilvl="3" w:tplc="BA1AE61A" w:tentative="1">
      <w:start w:val="1"/>
      <w:numFmt w:val="decimal"/>
      <w:lvlText w:val="%4."/>
      <w:lvlJc w:val="left"/>
      <w:pPr>
        <w:tabs>
          <w:tab w:val="num" w:pos="2880"/>
        </w:tabs>
        <w:ind w:left="2880" w:hanging="360"/>
      </w:pPr>
    </w:lvl>
    <w:lvl w:ilvl="4" w:tplc="2B7E007C" w:tentative="1">
      <w:start w:val="1"/>
      <w:numFmt w:val="lowerLetter"/>
      <w:lvlText w:val="%5."/>
      <w:lvlJc w:val="left"/>
      <w:pPr>
        <w:tabs>
          <w:tab w:val="num" w:pos="3600"/>
        </w:tabs>
        <w:ind w:left="3600" w:hanging="360"/>
      </w:pPr>
    </w:lvl>
    <w:lvl w:ilvl="5" w:tplc="0C80D8C0" w:tentative="1">
      <w:start w:val="1"/>
      <w:numFmt w:val="lowerRoman"/>
      <w:lvlText w:val="%6."/>
      <w:lvlJc w:val="right"/>
      <w:pPr>
        <w:tabs>
          <w:tab w:val="num" w:pos="4320"/>
        </w:tabs>
        <w:ind w:left="4320" w:hanging="180"/>
      </w:pPr>
    </w:lvl>
    <w:lvl w:ilvl="6" w:tplc="D342451E" w:tentative="1">
      <w:start w:val="1"/>
      <w:numFmt w:val="decimal"/>
      <w:lvlText w:val="%7."/>
      <w:lvlJc w:val="left"/>
      <w:pPr>
        <w:tabs>
          <w:tab w:val="num" w:pos="5040"/>
        </w:tabs>
        <w:ind w:left="5040" w:hanging="360"/>
      </w:pPr>
    </w:lvl>
    <w:lvl w:ilvl="7" w:tplc="1C3C8FEE" w:tentative="1">
      <w:start w:val="1"/>
      <w:numFmt w:val="lowerLetter"/>
      <w:lvlText w:val="%8."/>
      <w:lvlJc w:val="left"/>
      <w:pPr>
        <w:tabs>
          <w:tab w:val="num" w:pos="5760"/>
        </w:tabs>
        <w:ind w:left="5760" w:hanging="360"/>
      </w:pPr>
    </w:lvl>
    <w:lvl w:ilvl="8" w:tplc="03345AE2"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2954FC04">
      <w:start w:val="6"/>
      <w:numFmt w:val="decimal"/>
      <w:lvlText w:val="%1."/>
      <w:lvlJc w:val="left"/>
      <w:pPr>
        <w:tabs>
          <w:tab w:val="num" w:pos="930"/>
        </w:tabs>
        <w:ind w:left="930" w:hanging="570"/>
      </w:pPr>
      <w:rPr>
        <w:rFonts w:hint="default"/>
      </w:rPr>
    </w:lvl>
    <w:lvl w:ilvl="1" w:tplc="C3949A52" w:tentative="1">
      <w:start w:val="1"/>
      <w:numFmt w:val="lowerLetter"/>
      <w:lvlText w:val="%2."/>
      <w:lvlJc w:val="left"/>
      <w:pPr>
        <w:tabs>
          <w:tab w:val="num" w:pos="1440"/>
        </w:tabs>
        <w:ind w:left="1440" w:hanging="360"/>
      </w:pPr>
    </w:lvl>
    <w:lvl w:ilvl="2" w:tplc="EBB8BA94" w:tentative="1">
      <w:start w:val="1"/>
      <w:numFmt w:val="lowerRoman"/>
      <w:lvlText w:val="%3."/>
      <w:lvlJc w:val="right"/>
      <w:pPr>
        <w:tabs>
          <w:tab w:val="num" w:pos="2160"/>
        </w:tabs>
        <w:ind w:left="2160" w:hanging="180"/>
      </w:pPr>
    </w:lvl>
    <w:lvl w:ilvl="3" w:tplc="43FC827E" w:tentative="1">
      <w:start w:val="1"/>
      <w:numFmt w:val="decimal"/>
      <w:lvlText w:val="%4."/>
      <w:lvlJc w:val="left"/>
      <w:pPr>
        <w:tabs>
          <w:tab w:val="num" w:pos="2880"/>
        </w:tabs>
        <w:ind w:left="2880" w:hanging="360"/>
      </w:pPr>
    </w:lvl>
    <w:lvl w:ilvl="4" w:tplc="8C8405AC" w:tentative="1">
      <w:start w:val="1"/>
      <w:numFmt w:val="lowerLetter"/>
      <w:lvlText w:val="%5."/>
      <w:lvlJc w:val="left"/>
      <w:pPr>
        <w:tabs>
          <w:tab w:val="num" w:pos="3600"/>
        </w:tabs>
        <w:ind w:left="3600" w:hanging="360"/>
      </w:pPr>
    </w:lvl>
    <w:lvl w:ilvl="5" w:tplc="F89AC4E0" w:tentative="1">
      <w:start w:val="1"/>
      <w:numFmt w:val="lowerRoman"/>
      <w:lvlText w:val="%6."/>
      <w:lvlJc w:val="right"/>
      <w:pPr>
        <w:tabs>
          <w:tab w:val="num" w:pos="4320"/>
        </w:tabs>
        <w:ind w:left="4320" w:hanging="180"/>
      </w:pPr>
    </w:lvl>
    <w:lvl w:ilvl="6" w:tplc="4CC0CA66" w:tentative="1">
      <w:start w:val="1"/>
      <w:numFmt w:val="decimal"/>
      <w:lvlText w:val="%7."/>
      <w:lvlJc w:val="left"/>
      <w:pPr>
        <w:tabs>
          <w:tab w:val="num" w:pos="5040"/>
        </w:tabs>
        <w:ind w:left="5040" w:hanging="360"/>
      </w:pPr>
    </w:lvl>
    <w:lvl w:ilvl="7" w:tplc="3CF057EA" w:tentative="1">
      <w:start w:val="1"/>
      <w:numFmt w:val="lowerLetter"/>
      <w:lvlText w:val="%8."/>
      <w:lvlJc w:val="left"/>
      <w:pPr>
        <w:tabs>
          <w:tab w:val="num" w:pos="5760"/>
        </w:tabs>
        <w:ind w:left="5760" w:hanging="360"/>
      </w:pPr>
    </w:lvl>
    <w:lvl w:ilvl="8" w:tplc="07CC5D8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75000624">
      <w:start w:val="1"/>
      <w:numFmt w:val="bullet"/>
      <w:lvlText w:val=""/>
      <w:lvlJc w:val="left"/>
      <w:pPr>
        <w:tabs>
          <w:tab w:val="num" w:pos="776"/>
        </w:tabs>
        <w:ind w:left="776" w:hanging="360"/>
      </w:pPr>
      <w:rPr>
        <w:rFonts w:ascii="Symbol" w:hAnsi="Symbol" w:hint="default"/>
      </w:rPr>
    </w:lvl>
    <w:lvl w:ilvl="1" w:tplc="071C28FA" w:tentative="1">
      <w:start w:val="1"/>
      <w:numFmt w:val="bullet"/>
      <w:lvlText w:val="o"/>
      <w:lvlJc w:val="left"/>
      <w:pPr>
        <w:tabs>
          <w:tab w:val="num" w:pos="1496"/>
        </w:tabs>
        <w:ind w:left="1496" w:hanging="360"/>
      </w:pPr>
      <w:rPr>
        <w:rFonts w:ascii="Courier New" w:hAnsi="Courier New" w:hint="default"/>
      </w:rPr>
    </w:lvl>
    <w:lvl w:ilvl="2" w:tplc="7D06BC0A" w:tentative="1">
      <w:start w:val="1"/>
      <w:numFmt w:val="bullet"/>
      <w:lvlText w:val=""/>
      <w:lvlJc w:val="left"/>
      <w:pPr>
        <w:tabs>
          <w:tab w:val="num" w:pos="2216"/>
        </w:tabs>
        <w:ind w:left="2216" w:hanging="360"/>
      </w:pPr>
      <w:rPr>
        <w:rFonts w:ascii="Wingdings" w:hAnsi="Wingdings" w:hint="default"/>
      </w:rPr>
    </w:lvl>
    <w:lvl w:ilvl="3" w:tplc="83108A58" w:tentative="1">
      <w:start w:val="1"/>
      <w:numFmt w:val="bullet"/>
      <w:lvlText w:val=""/>
      <w:lvlJc w:val="left"/>
      <w:pPr>
        <w:tabs>
          <w:tab w:val="num" w:pos="2936"/>
        </w:tabs>
        <w:ind w:left="2936" w:hanging="360"/>
      </w:pPr>
      <w:rPr>
        <w:rFonts w:ascii="Symbol" w:hAnsi="Symbol" w:hint="default"/>
      </w:rPr>
    </w:lvl>
    <w:lvl w:ilvl="4" w:tplc="CCB24810" w:tentative="1">
      <w:start w:val="1"/>
      <w:numFmt w:val="bullet"/>
      <w:lvlText w:val="o"/>
      <w:lvlJc w:val="left"/>
      <w:pPr>
        <w:tabs>
          <w:tab w:val="num" w:pos="3656"/>
        </w:tabs>
        <w:ind w:left="3656" w:hanging="360"/>
      </w:pPr>
      <w:rPr>
        <w:rFonts w:ascii="Courier New" w:hAnsi="Courier New" w:hint="default"/>
      </w:rPr>
    </w:lvl>
    <w:lvl w:ilvl="5" w:tplc="0C7EBC24" w:tentative="1">
      <w:start w:val="1"/>
      <w:numFmt w:val="bullet"/>
      <w:lvlText w:val=""/>
      <w:lvlJc w:val="left"/>
      <w:pPr>
        <w:tabs>
          <w:tab w:val="num" w:pos="4376"/>
        </w:tabs>
        <w:ind w:left="4376" w:hanging="360"/>
      </w:pPr>
      <w:rPr>
        <w:rFonts w:ascii="Wingdings" w:hAnsi="Wingdings" w:hint="default"/>
      </w:rPr>
    </w:lvl>
    <w:lvl w:ilvl="6" w:tplc="4FF26A56" w:tentative="1">
      <w:start w:val="1"/>
      <w:numFmt w:val="bullet"/>
      <w:lvlText w:val=""/>
      <w:lvlJc w:val="left"/>
      <w:pPr>
        <w:tabs>
          <w:tab w:val="num" w:pos="5096"/>
        </w:tabs>
        <w:ind w:left="5096" w:hanging="360"/>
      </w:pPr>
      <w:rPr>
        <w:rFonts w:ascii="Symbol" w:hAnsi="Symbol" w:hint="default"/>
      </w:rPr>
    </w:lvl>
    <w:lvl w:ilvl="7" w:tplc="FC169BF6" w:tentative="1">
      <w:start w:val="1"/>
      <w:numFmt w:val="bullet"/>
      <w:lvlText w:val="o"/>
      <w:lvlJc w:val="left"/>
      <w:pPr>
        <w:tabs>
          <w:tab w:val="num" w:pos="5816"/>
        </w:tabs>
        <w:ind w:left="5816" w:hanging="360"/>
      </w:pPr>
      <w:rPr>
        <w:rFonts w:ascii="Courier New" w:hAnsi="Courier New" w:hint="default"/>
      </w:rPr>
    </w:lvl>
    <w:lvl w:ilvl="8" w:tplc="9F90F80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D9C6333E">
      <w:start w:val="1"/>
      <w:numFmt w:val="bullet"/>
      <w:lvlText w:val=""/>
      <w:lvlJc w:val="left"/>
      <w:pPr>
        <w:tabs>
          <w:tab w:val="num" w:pos="776"/>
        </w:tabs>
        <w:ind w:left="776" w:hanging="360"/>
      </w:pPr>
      <w:rPr>
        <w:rFonts w:ascii="Symbol" w:hAnsi="Symbol" w:hint="default"/>
      </w:rPr>
    </w:lvl>
    <w:lvl w:ilvl="1" w:tplc="18C6B702" w:tentative="1">
      <w:start w:val="1"/>
      <w:numFmt w:val="bullet"/>
      <w:lvlText w:val="o"/>
      <w:lvlJc w:val="left"/>
      <w:pPr>
        <w:tabs>
          <w:tab w:val="num" w:pos="1496"/>
        </w:tabs>
        <w:ind w:left="1496" w:hanging="360"/>
      </w:pPr>
      <w:rPr>
        <w:rFonts w:ascii="Courier New" w:hAnsi="Courier New" w:hint="default"/>
      </w:rPr>
    </w:lvl>
    <w:lvl w:ilvl="2" w:tplc="7C80B74E" w:tentative="1">
      <w:start w:val="1"/>
      <w:numFmt w:val="bullet"/>
      <w:lvlText w:val=""/>
      <w:lvlJc w:val="left"/>
      <w:pPr>
        <w:tabs>
          <w:tab w:val="num" w:pos="2216"/>
        </w:tabs>
        <w:ind w:left="2216" w:hanging="360"/>
      </w:pPr>
      <w:rPr>
        <w:rFonts w:ascii="Wingdings" w:hAnsi="Wingdings" w:hint="default"/>
      </w:rPr>
    </w:lvl>
    <w:lvl w:ilvl="3" w:tplc="99C46102" w:tentative="1">
      <w:start w:val="1"/>
      <w:numFmt w:val="bullet"/>
      <w:lvlText w:val=""/>
      <w:lvlJc w:val="left"/>
      <w:pPr>
        <w:tabs>
          <w:tab w:val="num" w:pos="2936"/>
        </w:tabs>
        <w:ind w:left="2936" w:hanging="360"/>
      </w:pPr>
      <w:rPr>
        <w:rFonts w:ascii="Symbol" w:hAnsi="Symbol" w:hint="default"/>
      </w:rPr>
    </w:lvl>
    <w:lvl w:ilvl="4" w:tplc="F5FC623C" w:tentative="1">
      <w:start w:val="1"/>
      <w:numFmt w:val="bullet"/>
      <w:lvlText w:val="o"/>
      <w:lvlJc w:val="left"/>
      <w:pPr>
        <w:tabs>
          <w:tab w:val="num" w:pos="3656"/>
        </w:tabs>
        <w:ind w:left="3656" w:hanging="360"/>
      </w:pPr>
      <w:rPr>
        <w:rFonts w:ascii="Courier New" w:hAnsi="Courier New" w:hint="default"/>
      </w:rPr>
    </w:lvl>
    <w:lvl w:ilvl="5" w:tplc="28A822BE" w:tentative="1">
      <w:start w:val="1"/>
      <w:numFmt w:val="bullet"/>
      <w:lvlText w:val=""/>
      <w:lvlJc w:val="left"/>
      <w:pPr>
        <w:tabs>
          <w:tab w:val="num" w:pos="4376"/>
        </w:tabs>
        <w:ind w:left="4376" w:hanging="360"/>
      </w:pPr>
      <w:rPr>
        <w:rFonts w:ascii="Wingdings" w:hAnsi="Wingdings" w:hint="default"/>
      </w:rPr>
    </w:lvl>
    <w:lvl w:ilvl="6" w:tplc="2D824686" w:tentative="1">
      <w:start w:val="1"/>
      <w:numFmt w:val="bullet"/>
      <w:lvlText w:val=""/>
      <w:lvlJc w:val="left"/>
      <w:pPr>
        <w:tabs>
          <w:tab w:val="num" w:pos="5096"/>
        </w:tabs>
        <w:ind w:left="5096" w:hanging="360"/>
      </w:pPr>
      <w:rPr>
        <w:rFonts w:ascii="Symbol" w:hAnsi="Symbol" w:hint="default"/>
      </w:rPr>
    </w:lvl>
    <w:lvl w:ilvl="7" w:tplc="0938FCEE" w:tentative="1">
      <w:start w:val="1"/>
      <w:numFmt w:val="bullet"/>
      <w:lvlText w:val="o"/>
      <w:lvlJc w:val="left"/>
      <w:pPr>
        <w:tabs>
          <w:tab w:val="num" w:pos="5816"/>
        </w:tabs>
        <w:ind w:left="5816" w:hanging="360"/>
      </w:pPr>
      <w:rPr>
        <w:rFonts w:ascii="Courier New" w:hAnsi="Courier New" w:hint="default"/>
      </w:rPr>
    </w:lvl>
    <w:lvl w:ilvl="8" w:tplc="E7703BA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71AE7C4E">
      <w:start w:val="1"/>
      <w:numFmt w:val="decimal"/>
      <w:lvlText w:val="%1."/>
      <w:lvlJc w:val="left"/>
      <w:pPr>
        <w:tabs>
          <w:tab w:val="num" w:pos="720"/>
        </w:tabs>
        <w:ind w:left="720" w:hanging="360"/>
      </w:pPr>
    </w:lvl>
    <w:lvl w:ilvl="1" w:tplc="2D2AEF92">
      <w:start w:val="1"/>
      <w:numFmt w:val="lowerLetter"/>
      <w:lvlText w:val="%2."/>
      <w:lvlJc w:val="left"/>
      <w:pPr>
        <w:tabs>
          <w:tab w:val="num" w:pos="1440"/>
        </w:tabs>
        <w:ind w:left="1440" w:hanging="360"/>
      </w:pPr>
    </w:lvl>
    <w:lvl w:ilvl="2" w:tplc="33501194" w:tentative="1">
      <w:start w:val="1"/>
      <w:numFmt w:val="lowerRoman"/>
      <w:lvlText w:val="%3."/>
      <w:lvlJc w:val="right"/>
      <w:pPr>
        <w:tabs>
          <w:tab w:val="num" w:pos="2160"/>
        </w:tabs>
        <w:ind w:left="2160" w:hanging="180"/>
      </w:pPr>
    </w:lvl>
    <w:lvl w:ilvl="3" w:tplc="D204652C" w:tentative="1">
      <w:start w:val="1"/>
      <w:numFmt w:val="decimal"/>
      <w:lvlText w:val="%4."/>
      <w:lvlJc w:val="left"/>
      <w:pPr>
        <w:tabs>
          <w:tab w:val="num" w:pos="2880"/>
        </w:tabs>
        <w:ind w:left="2880" w:hanging="360"/>
      </w:pPr>
    </w:lvl>
    <w:lvl w:ilvl="4" w:tplc="A2840A78" w:tentative="1">
      <w:start w:val="1"/>
      <w:numFmt w:val="lowerLetter"/>
      <w:lvlText w:val="%5."/>
      <w:lvlJc w:val="left"/>
      <w:pPr>
        <w:tabs>
          <w:tab w:val="num" w:pos="3600"/>
        </w:tabs>
        <w:ind w:left="3600" w:hanging="360"/>
      </w:pPr>
    </w:lvl>
    <w:lvl w:ilvl="5" w:tplc="F75C2ABC" w:tentative="1">
      <w:start w:val="1"/>
      <w:numFmt w:val="lowerRoman"/>
      <w:lvlText w:val="%6."/>
      <w:lvlJc w:val="right"/>
      <w:pPr>
        <w:tabs>
          <w:tab w:val="num" w:pos="4320"/>
        </w:tabs>
        <w:ind w:left="4320" w:hanging="180"/>
      </w:pPr>
    </w:lvl>
    <w:lvl w:ilvl="6" w:tplc="F48E9B9A" w:tentative="1">
      <w:start w:val="1"/>
      <w:numFmt w:val="decimal"/>
      <w:lvlText w:val="%7."/>
      <w:lvlJc w:val="left"/>
      <w:pPr>
        <w:tabs>
          <w:tab w:val="num" w:pos="5040"/>
        </w:tabs>
        <w:ind w:left="5040" w:hanging="360"/>
      </w:pPr>
    </w:lvl>
    <w:lvl w:ilvl="7" w:tplc="DEBA1C98" w:tentative="1">
      <w:start w:val="1"/>
      <w:numFmt w:val="lowerLetter"/>
      <w:lvlText w:val="%8."/>
      <w:lvlJc w:val="left"/>
      <w:pPr>
        <w:tabs>
          <w:tab w:val="num" w:pos="5760"/>
        </w:tabs>
        <w:ind w:left="5760" w:hanging="360"/>
      </w:pPr>
    </w:lvl>
    <w:lvl w:ilvl="8" w:tplc="652E010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747A1188">
      <w:numFmt w:val="bullet"/>
      <w:lvlText w:val="-"/>
      <w:lvlJc w:val="left"/>
      <w:pPr>
        <w:tabs>
          <w:tab w:val="num" w:pos="720"/>
        </w:tabs>
        <w:ind w:left="720" w:hanging="360"/>
      </w:pPr>
      <w:rPr>
        <w:rFonts w:ascii="Times New Roman" w:eastAsia="Times New Roman" w:hAnsi="Times New Roman" w:cs="Times New Roman" w:hint="default"/>
      </w:rPr>
    </w:lvl>
    <w:lvl w:ilvl="1" w:tplc="E626E906" w:tentative="1">
      <w:start w:val="1"/>
      <w:numFmt w:val="bullet"/>
      <w:lvlText w:val="o"/>
      <w:lvlJc w:val="left"/>
      <w:pPr>
        <w:tabs>
          <w:tab w:val="num" w:pos="1440"/>
        </w:tabs>
        <w:ind w:left="1440" w:hanging="360"/>
      </w:pPr>
      <w:rPr>
        <w:rFonts w:ascii="Courier New" w:hAnsi="Courier New" w:hint="default"/>
      </w:rPr>
    </w:lvl>
    <w:lvl w:ilvl="2" w:tplc="222079EC" w:tentative="1">
      <w:start w:val="1"/>
      <w:numFmt w:val="bullet"/>
      <w:lvlText w:val=""/>
      <w:lvlJc w:val="left"/>
      <w:pPr>
        <w:tabs>
          <w:tab w:val="num" w:pos="2160"/>
        </w:tabs>
        <w:ind w:left="2160" w:hanging="360"/>
      </w:pPr>
      <w:rPr>
        <w:rFonts w:ascii="Wingdings" w:hAnsi="Wingdings" w:hint="default"/>
      </w:rPr>
    </w:lvl>
    <w:lvl w:ilvl="3" w:tplc="AEE06012" w:tentative="1">
      <w:start w:val="1"/>
      <w:numFmt w:val="bullet"/>
      <w:lvlText w:val=""/>
      <w:lvlJc w:val="left"/>
      <w:pPr>
        <w:tabs>
          <w:tab w:val="num" w:pos="2880"/>
        </w:tabs>
        <w:ind w:left="2880" w:hanging="360"/>
      </w:pPr>
      <w:rPr>
        <w:rFonts w:ascii="Symbol" w:hAnsi="Symbol" w:hint="default"/>
      </w:rPr>
    </w:lvl>
    <w:lvl w:ilvl="4" w:tplc="FA66D23A" w:tentative="1">
      <w:start w:val="1"/>
      <w:numFmt w:val="bullet"/>
      <w:lvlText w:val="o"/>
      <w:lvlJc w:val="left"/>
      <w:pPr>
        <w:tabs>
          <w:tab w:val="num" w:pos="3600"/>
        </w:tabs>
        <w:ind w:left="3600" w:hanging="360"/>
      </w:pPr>
      <w:rPr>
        <w:rFonts w:ascii="Courier New" w:hAnsi="Courier New" w:hint="default"/>
      </w:rPr>
    </w:lvl>
    <w:lvl w:ilvl="5" w:tplc="B52033F8" w:tentative="1">
      <w:start w:val="1"/>
      <w:numFmt w:val="bullet"/>
      <w:lvlText w:val=""/>
      <w:lvlJc w:val="left"/>
      <w:pPr>
        <w:tabs>
          <w:tab w:val="num" w:pos="4320"/>
        </w:tabs>
        <w:ind w:left="4320" w:hanging="360"/>
      </w:pPr>
      <w:rPr>
        <w:rFonts w:ascii="Wingdings" w:hAnsi="Wingdings" w:hint="default"/>
      </w:rPr>
    </w:lvl>
    <w:lvl w:ilvl="6" w:tplc="0DE69200" w:tentative="1">
      <w:start w:val="1"/>
      <w:numFmt w:val="bullet"/>
      <w:lvlText w:val=""/>
      <w:lvlJc w:val="left"/>
      <w:pPr>
        <w:tabs>
          <w:tab w:val="num" w:pos="5040"/>
        </w:tabs>
        <w:ind w:left="5040" w:hanging="360"/>
      </w:pPr>
      <w:rPr>
        <w:rFonts w:ascii="Symbol" w:hAnsi="Symbol" w:hint="default"/>
      </w:rPr>
    </w:lvl>
    <w:lvl w:ilvl="7" w:tplc="A45CFFB8" w:tentative="1">
      <w:start w:val="1"/>
      <w:numFmt w:val="bullet"/>
      <w:lvlText w:val="o"/>
      <w:lvlJc w:val="left"/>
      <w:pPr>
        <w:tabs>
          <w:tab w:val="num" w:pos="5760"/>
        </w:tabs>
        <w:ind w:left="5760" w:hanging="360"/>
      </w:pPr>
      <w:rPr>
        <w:rFonts w:ascii="Courier New" w:hAnsi="Courier New" w:hint="default"/>
      </w:rPr>
    </w:lvl>
    <w:lvl w:ilvl="8" w:tplc="DD8E30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1BA4B5B2">
      <w:start w:val="1"/>
      <w:numFmt w:val="decimal"/>
      <w:lvlText w:val="%1."/>
      <w:lvlJc w:val="left"/>
      <w:pPr>
        <w:tabs>
          <w:tab w:val="num" w:pos="1080"/>
        </w:tabs>
        <w:ind w:left="1080" w:hanging="360"/>
      </w:pPr>
    </w:lvl>
    <w:lvl w:ilvl="1" w:tplc="1D18942E" w:tentative="1">
      <w:start w:val="1"/>
      <w:numFmt w:val="lowerLetter"/>
      <w:lvlText w:val="%2."/>
      <w:lvlJc w:val="left"/>
      <w:pPr>
        <w:tabs>
          <w:tab w:val="num" w:pos="1800"/>
        </w:tabs>
        <w:ind w:left="1800" w:hanging="360"/>
      </w:pPr>
    </w:lvl>
    <w:lvl w:ilvl="2" w:tplc="4BF45B7E" w:tentative="1">
      <w:start w:val="1"/>
      <w:numFmt w:val="lowerRoman"/>
      <w:lvlText w:val="%3."/>
      <w:lvlJc w:val="right"/>
      <w:pPr>
        <w:tabs>
          <w:tab w:val="num" w:pos="2520"/>
        </w:tabs>
        <w:ind w:left="2520" w:hanging="180"/>
      </w:pPr>
    </w:lvl>
    <w:lvl w:ilvl="3" w:tplc="7F6CC942" w:tentative="1">
      <w:start w:val="1"/>
      <w:numFmt w:val="decimal"/>
      <w:lvlText w:val="%4."/>
      <w:lvlJc w:val="left"/>
      <w:pPr>
        <w:tabs>
          <w:tab w:val="num" w:pos="3240"/>
        </w:tabs>
        <w:ind w:left="3240" w:hanging="360"/>
      </w:pPr>
    </w:lvl>
    <w:lvl w:ilvl="4" w:tplc="73308A92" w:tentative="1">
      <w:start w:val="1"/>
      <w:numFmt w:val="lowerLetter"/>
      <w:lvlText w:val="%5."/>
      <w:lvlJc w:val="left"/>
      <w:pPr>
        <w:tabs>
          <w:tab w:val="num" w:pos="3960"/>
        </w:tabs>
        <w:ind w:left="3960" w:hanging="360"/>
      </w:pPr>
    </w:lvl>
    <w:lvl w:ilvl="5" w:tplc="675218DA" w:tentative="1">
      <w:start w:val="1"/>
      <w:numFmt w:val="lowerRoman"/>
      <w:lvlText w:val="%6."/>
      <w:lvlJc w:val="right"/>
      <w:pPr>
        <w:tabs>
          <w:tab w:val="num" w:pos="4680"/>
        </w:tabs>
        <w:ind w:left="4680" w:hanging="180"/>
      </w:pPr>
    </w:lvl>
    <w:lvl w:ilvl="6" w:tplc="ED56B422" w:tentative="1">
      <w:start w:val="1"/>
      <w:numFmt w:val="decimal"/>
      <w:lvlText w:val="%7."/>
      <w:lvlJc w:val="left"/>
      <w:pPr>
        <w:tabs>
          <w:tab w:val="num" w:pos="5400"/>
        </w:tabs>
        <w:ind w:left="5400" w:hanging="360"/>
      </w:pPr>
    </w:lvl>
    <w:lvl w:ilvl="7" w:tplc="EECA41B2" w:tentative="1">
      <w:start w:val="1"/>
      <w:numFmt w:val="lowerLetter"/>
      <w:lvlText w:val="%8."/>
      <w:lvlJc w:val="left"/>
      <w:pPr>
        <w:tabs>
          <w:tab w:val="num" w:pos="6120"/>
        </w:tabs>
        <w:ind w:left="6120" w:hanging="360"/>
      </w:pPr>
    </w:lvl>
    <w:lvl w:ilvl="8" w:tplc="DB8E89A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CD642F40">
      <w:start w:val="1"/>
      <w:numFmt w:val="bullet"/>
      <w:lvlText w:val="-"/>
      <w:lvlJc w:val="left"/>
      <w:pPr>
        <w:tabs>
          <w:tab w:val="num" w:pos="360"/>
        </w:tabs>
        <w:ind w:left="360" w:hanging="360"/>
      </w:pPr>
      <w:rPr>
        <w:rFonts w:ascii="Cambria" w:hAnsi="Cambria" w:hint="default"/>
      </w:rPr>
    </w:lvl>
    <w:lvl w:ilvl="1" w:tplc="02642634" w:tentative="1">
      <w:start w:val="1"/>
      <w:numFmt w:val="bullet"/>
      <w:lvlText w:val="o"/>
      <w:lvlJc w:val="left"/>
      <w:pPr>
        <w:ind w:left="1440" w:hanging="360"/>
      </w:pPr>
      <w:rPr>
        <w:rFonts w:ascii="Courier New" w:hAnsi="Courier New" w:cs="Courier New" w:hint="default"/>
      </w:rPr>
    </w:lvl>
    <w:lvl w:ilvl="2" w:tplc="1428AE12" w:tentative="1">
      <w:start w:val="1"/>
      <w:numFmt w:val="bullet"/>
      <w:lvlText w:val=""/>
      <w:lvlJc w:val="left"/>
      <w:pPr>
        <w:ind w:left="2160" w:hanging="360"/>
      </w:pPr>
      <w:rPr>
        <w:rFonts w:ascii="Wingdings" w:hAnsi="Wingdings" w:hint="default"/>
      </w:rPr>
    </w:lvl>
    <w:lvl w:ilvl="3" w:tplc="55CE42C2" w:tentative="1">
      <w:start w:val="1"/>
      <w:numFmt w:val="bullet"/>
      <w:lvlText w:val=""/>
      <w:lvlJc w:val="left"/>
      <w:pPr>
        <w:ind w:left="2880" w:hanging="360"/>
      </w:pPr>
      <w:rPr>
        <w:rFonts w:ascii="Symbol" w:hAnsi="Symbol" w:hint="default"/>
      </w:rPr>
    </w:lvl>
    <w:lvl w:ilvl="4" w:tplc="8B060664" w:tentative="1">
      <w:start w:val="1"/>
      <w:numFmt w:val="bullet"/>
      <w:lvlText w:val="o"/>
      <w:lvlJc w:val="left"/>
      <w:pPr>
        <w:ind w:left="3600" w:hanging="360"/>
      </w:pPr>
      <w:rPr>
        <w:rFonts w:ascii="Courier New" w:hAnsi="Courier New" w:cs="Courier New" w:hint="default"/>
      </w:rPr>
    </w:lvl>
    <w:lvl w:ilvl="5" w:tplc="775A1A04" w:tentative="1">
      <w:start w:val="1"/>
      <w:numFmt w:val="bullet"/>
      <w:lvlText w:val=""/>
      <w:lvlJc w:val="left"/>
      <w:pPr>
        <w:ind w:left="4320" w:hanging="360"/>
      </w:pPr>
      <w:rPr>
        <w:rFonts w:ascii="Wingdings" w:hAnsi="Wingdings" w:hint="default"/>
      </w:rPr>
    </w:lvl>
    <w:lvl w:ilvl="6" w:tplc="6B94A2AC" w:tentative="1">
      <w:start w:val="1"/>
      <w:numFmt w:val="bullet"/>
      <w:lvlText w:val=""/>
      <w:lvlJc w:val="left"/>
      <w:pPr>
        <w:ind w:left="5040" w:hanging="360"/>
      </w:pPr>
      <w:rPr>
        <w:rFonts w:ascii="Symbol" w:hAnsi="Symbol" w:hint="default"/>
      </w:rPr>
    </w:lvl>
    <w:lvl w:ilvl="7" w:tplc="0C940DF0" w:tentative="1">
      <w:start w:val="1"/>
      <w:numFmt w:val="bullet"/>
      <w:lvlText w:val="o"/>
      <w:lvlJc w:val="left"/>
      <w:pPr>
        <w:ind w:left="5760" w:hanging="360"/>
      </w:pPr>
      <w:rPr>
        <w:rFonts w:ascii="Courier New" w:hAnsi="Courier New" w:cs="Courier New" w:hint="default"/>
      </w:rPr>
    </w:lvl>
    <w:lvl w:ilvl="8" w:tplc="167628A0"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46720042">
      <w:start w:val="1"/>
      <w:numFmt w:val="decimal"/>
      <w:lvlText w:val="%1."/>
      <w:lvlJc w:val="left"/>
      <w:pPr>
        <w:tabs>
          <w:tab w:val="num" w:pos="930"/>
        </w:tabs>
        <w:ind w:left="930" w:hanging="570"/>
      </w:pPr>
      <w:rPr>
        <w:rFonts w:hint="default"/>
      </w:rPr>
    </w:lvl>
    <w:lvl w:ilvl="1" w:tplc="62549E3A">
      <w:start w:val="5"/>
      <w:numFmt w:val="decimal"/>
      <w:lvlText w:val="%2"/>
      <w:lvlJc w:val="left"/>
      <w:pPr>
        <w:tabs>
          <w:tab w:val="num" w:pos="1650"/>
        </w:tabs>
        <w:ind w:left="1650" w:hanging="570"/>
      </w:pPr>
      <w:rPr>
        <w:rFonts w:hint="default"/>
      </w:rPr>
    </w:lvl>
    <w:lvl w:ilvl="2" w:tplc="A21A6886" w:tentative="1">
      <w:start w:val="1"/>
      <w:numFmt w:val="lowerRoman"/>
      <w:lvlText w:val="%3."/>
      <w:lvlJc w:val="right"/>
      <w:pPr>
        <w:tabs>
          <w:tab w:val="num" w:pos="2160"/>
        </w:tabs>
        <w:ind w:left="2160" w:hanging="180"/>
      </w:pPr>
    </w:lvl>
    <w:lvl w:ilvl="3" w:tplc="713C985A" w:tentative="1">
      <w:start w:val="1"/>
      <w:numFmt w:val="decimal"/>
      <w:lvlText w:val="%4."/>
      <w:lvlJc w:val="left"/>
      <w:pPr>
        <w:tabs>
          <w:tab w:val="num" w:pos="2880"/>
        </w:tabs>
        <w:ind w:left="2880" w:hanging="360"/>
      </w:pPr>
    </w:lvl>
    <w:lvl w:ilvl="4" w:tplc="19C28EA8" w:tentative="1">
      <w:start w:val="1"/>
      <w:numFmt w:val="lowerLetter"/>
      <w:lvlText w:val="%5."/>
      <w:lvlJc w:val="left"/>
      <w:pPr>
        <w:tabs>
          <w:tab w:val="num" w:pos="3600"/>
        </w:tabs>
        <w:ind w:left="3600" w:hanging="360"/>
      </w:pPr>
    </w:lvl>
    <w:lvl w:ilvl="5" w:tplc="701C5A28" w:tentative="1">
      <w:start w:val="1"/>
      <w:numFmt w:val="lowerRoman"/>
      <w:lvlText w:val="%6."/>
      <w:lvlJc w:val="right"/>
      <w:pPr>
        <w:tabs>
          <w:tab w:val="num" w:pos="4320"/>
        </w:tabs>
        <w:ind w:left="4320" w:hanging="180"/>
      </w:pPr>
    </w:lvl>
    <w:lvl w:ilvl="6" w:tplc="1C30B72C" w:tentative="1">
      <w:start w:val="1"/>
      <w:numFmt w:val="decimal"/>
      <w:lvlText w:val="%7."/>
      <w:lvlJc w:val="left"/>
      <w:pPr>
        <w:tabs>
          <w:tab w:val="num" w:pos="5040"/>
        </w:tabs>
        <w:ind w:left="5040" w:hanging="360"/>
      </w:pPr>
    </w:lvl>
    <w:lvl w:ilvl="7" w:tplc="C4D84A28" w:tentative="1">
      <w:start w:val="1"/>
      <w:numFmt w:val="lowerLetter"/>
      <w:lvlText w:val="%8."/>
      <w:lvlJc w:val="left"/>
      <w:pPr>
        <w:tabs>
          <w:tab w:val="num" w:pos="5760"/>
        </w:tabs>
        <w:ind w:left="5760" w:hanging="360"/>
      </w:pPr>
    </w:lvl>
    <w:lvl w:ilvl="8" w:tplc="399C7B14"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FA9A783A">
      <w:start w:val="1"/>
      <w:numFmt w:val="bullet"/>
      <w:lvlText w:val=""/>
      <w:lvlJc w:val="left"/>
      <w:pPr>
        <w:tabs>
          <w:tab w:val="num" w:pos="278"/>
        </w:tabs>
        <w:ind w:left="278" w:hanging="360"/>
      </w:pPr>
      <w:rPr>
        <w:rFonts w:ascii="Symbol" w:hAnsi="Symbol" w:hint="default"/>
      </w:rPr>
    </w:lvl>
    <w:lvl w:ilvl="1" w:tplc="EDF2FAC4" w:tentative="1">
      <w:start w:val="1"/>
      <w:numFmt w:val="bullet"/>
      <w:lvlText w:val="o"/>
      <w:lvlJc w:val="left"/>
      <w:pPr>
        <w:tabs>
          <w:tab w:val="num" w:pos="1440"/>
        </w:tabs>
        <w:ind w:left="1440" w:hanging="360"/>
      </w:pPr>
      <w:rPr>
        <w:rFonts w:ascii="Courier New" w:hAnsi="Courier New" w:hint="default"/>
      </w:rPr>
    </w:lvl>
    <w:lvl w:ilvl="2" w:tplc="BEDC716E" w:tentative="1">
      <w:start w:val="1"/>
      <w:numFmt w:val="bullet"/>
      <w:lvlText w:val=""/>
      <w:lvlJc w:val="left"/>
      <w:pPr>
        <w:tabs>
          <w:tab w:val="num" w:pos="2160"/>
        </w:tabs>
        <w:ind w:left="2160" w:hanging="360"/>
      </w:pPr>
      <w:rPr>
        <w:rFonts w:ascii="Wingdings" w:hAnsi="Wingdings" w:hint="default"/>
      </w:rPr>
    </w:lvl>
    <w:lvl w:ilvl="3" w:tplc="E5964EC2" w:tentative="1">
      <w:start w:val="1"/>
      <w:numFmt w:val="bullet"/>
      <w:lvlText w:val=""/>
      <w:lvlJc w:val="left"/>
      <w:pPr>
        <w:tabs>
          <w:tab w:val="num" w:pos="2880"/>
        </w:tabs>
        <w:ind w:left="2880" w:hanging="360"/>
      </w:pPr>
      <w:rPr>
        <w:rFonts w:ascii="Symbol" w:hAnsi="Symbol" w:hint="default"/>
      </w:rPr>
    </w:lvl>
    <w:lvl w:ilvl="4" w:tplc="E38E6624" w:tentative="1">
      <w:start w:val="1"/>
      <w:numFmt w:val="bullet"/>
      <w:lvlText w:val="o"/>
      <w:lvlJc w:val="left"/>
      <w:pPr>
        <w:tabs>
          <w:tab w:val="num" w:pos="3600"/>
        </w:tabs>
        <w:ind w:left="3600" w:hanging="360"/>
      </w:pPr>
      <w:rPr>
        <w:rFonts w:ascii="Courier New" w:hAnsi="Courier New" w:hint="default"/>
      </w:rPr>
    </w:lvl>
    <w:lvl w:ilvl="5" w:tplc="CF605046" w:tentative="1">
      <w:start w:val="1"/>
      <w:numFmt w:val="bullet"/>
      <w:lvlText w:val=""/>
      <w:lvlJc w:val="left"/>
      <w:pPr>
        <w:tabs>
          <w:tab w:val="num" w:pos="4320"/>
        </w:tabs>
        <w:ind w:left="4320" w:hanging="360"/>
      </w:pPr>
      <w:rPr>
        <w:rFonts w:ascii="Wingdings" w:hAnsi="Wingdings" w:hint="default"/>
      </w:rPr>
    </w:lvl>
    <w:lvl w:ilvl="6" w:tplc="23168C38" w:tentative="1">
      <w:start w:val="1"/>
      <w:numFmt w:val="bullet"/>
      <w:lvlText w:val=""/>
      <w:lvlJc w:val="left"/>
      <w:pPr>
        <w:tabs>
          <w:tab w:val="num" w:pos="5040"/>
        </w:tabs>
        <w:ind w:left="5040" w:hanging="360"/>
      </w:pPr>
      <w:rPr>
        <w:rFonts w:ascii="Symbol" w:hAnsi="Symbol" w:hint="default"/>
      </w:rPr>
    </w:lvl>
    <w:lvl w:ilvl="7" w:tplc="B734C42A" w:tentative="1">
      <w:start w:val="1"/>
      <w:numFmt w:val="bullet"/>
      <w:lvlText w:val="o"/>
      <w:lvlJc w:val="left"/>
      <w:pPr>
        <w:tabs>
          <w:tab w:val="num" w:pos="5760"/>
        </w:tabs>
        <w:ind w:left="5760" w:hanging="360"/>
      </w:pPr>
      <w:rPr>
        <w:rFonts w:ascii="Courier New" w:hAnsi="Courier New" w:hint="default"/>
      </w:rPr>
    </w:lvl>
    <w:lvl w:ilvl="8" w:tplc="38DA88B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F044E6D4">
      <w:start w:val="5"/>
      <w:numFmt w:val="upperLetter"/>
      <w:lvlText w:val="%1."/>
      <w:lvlJc w:val="left"/>
      <w:pPr>
        <w:tabs>
          <w:tab w:val="num" w:pos="720"/>
        </w:tabs>
        <w:ind w:left="720" w:hanging="360"/>
      </w:pPr>
      <w:rPr>
        <w:rFonts w:hint="default"/>
      </w:rPr>
    </w:lvl>
    <w:lvl w:ilvl="1" w:tplc="CE4E177A" w:tentative="1">
      <w:start w:val="1"/>
      <w:numFmt w:val="lowerLetter"/>
      <w:lvlText w:val="%2."/>
      <w:lvlJc w:val="left"/>
      <w:pPr>
        <w:tabs>
          <w:tab w:val="num" w:pos="1440"/>
        </w:tabs>
        <w:ind w:left="1440" w:hanging="360"/>
      </w:pPr>
    </w:lvl>
    <w:lvl w:ilvl="2" w:tplc="E4F8C08C" w:tentative="1">
      <w:start w:val="1"/>
      <w:numFmt w:val="lowerRoman"/>
      <w:lvlText w:val="%3."/>
      <w:lvlJc w:val="right"/>
      <w:pPr>
        <w:tabs>
          <w:tab w:val="num" w:pos="2160"/>
        </w:tabs>
        <w:ind w:left="2160" w:hanging="180"/>
      </w:pPr>
    </w:lvl>
    <w:lvl w:ilvl="3" w:tplc="6898F86A" w:tentative="1">
      <w:start w:val="1"/>
      <w:numFmt w:val="decimal"/>
      <w:lvlText w:val="%4."/>
      <w:lvlJc w:val="left"/>
      <w:pPr>
        <w:tabs>
          <w:tab w:val="num" w:pos="2880"/>
        </w:tabs>
        <w:ind w:left="2880" w:hanging="360"/>
      </w:pPr>
    </w:lvl>
    <w:lvl w:ilvl="4" w:tplc="80F00728" w:tentative="1">
      <w:start w:val="1"/>
      <w:numFmt w:val="lowerLetter"/>
      <w:lvlText w:val="%5."/>
      <w:lvlJc w:val="left"/>
      <w:pPr>
        <w:tabs>
          <w:tab w:val="num" w:pos="3600"/>
        </w:tabs>
        <w:ind w:left="3600" w:hanging="360"/>
      </w:pPr>
    </w:lvl>
    <w:lvl w:ilvl="5" w:tplc="DEE6DC9C" w:tentative="1">
      <w:start w:val="1"/>
      <w:numFmt w:val="lowerRoman"/>
      <w:lvlText w:val="%6."/>
      <w:lvlJc w:val="right"/>
      <w:pPr>
        <w:tabs>
          <w:tab w:val="num" w:pos="4320"/>
        </w:tabs>
        <w:ind w:left="4320" w:hanging="180"/>
      </w:pPr>
    </w:lvl>
    <w:lvl w:ilvl="6" w:tplc="070242CE" w:tentative="1">
      <w:start w:val="1"/>
      <w:numFmt w:val="decimal"/>
      <w:lvlText w:val="%7."/>
      <w:lvlJc w:val="left"/>
      <w:pPr>
        <w:tabs>
          <w:tab w:val="num" w:pos="5040"/>
        </w:tabs>
        <w:ind w:left="5040" w:hanging="360"/>
      </w:pPr>
    </w:lvl>
    <w:lvl w:ilvl="7" w:tplc="335A657A" w:tentative="1">
      <w:start w:val="1"/>
      <w:numFmt w:val="lowerLetter"/>
      <w:lvlText w:val="%8."/>
      <w:lvlJc w:val="left"/>
      <w:pPr>
        <w:tabs>
          <w:tab w:val="num" w:pos="5760"/>
        </w:tabs>
        <w:ind w:left="5760" w:hanging="360"/>
      </w:pPr>
    </w:lvl>
    <w:lvl w:ilvl="8" w:tplc="86F4C96C"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35F4604E">
      <w:start w:val="1"/>
      <w:numFmt w:val="bullet"/>
      <w:lvlText w:val=""/>
      <w:lvlJc w:val="left"/>
      <w:pPr>
        <w:tabs>
          <w:tab w:val="num" w:pos="776"/>
        </w:tabs>
        <w:ind w:left="776" w:hanging="360"/>
      </w:pPr>
      <w:rPr>
        <w:rFonts w:ascii="Symbol" w:hAnsi="Symbol" w:hint="default"/>
      </w:rPr>
    </w:lvl>
    <w:lvl w:ilvl="1" w:tplc="2962E7C8" w:tentative="1">
      <w:start w:val="1"/>
      <w:numFmt w:val="bullet"/>
      <w:lvlText w:val="o"/>
      <w:lvlJc w:val="left"/>
      <w:pPr>
        <w:tabs>
          <w:tab w:val="num" w:pos="1496"/>
        </w:tabs>
        <w:ind w:left="1496" w:hanging="360"/>
      </w:pPr>
      <w:rPr>
        <w:rFonts w:ascii="Courier New" w:hAnsi="Courier New" w:hint="default"/>
      </w:rPr>
    </w:lvl>
    <w:lvl w:ilvl="2" w:tplc="77F6986E" w:tentative="1">
      <w:start w:val="1"/>
      <w:numFmt w:val="bullet"/>
      <w:lvlText w:val=""/>
      <w:lvlJc w:val="left"/>
      <w:pPr>
        <w:tabs>
          <w:tab w:val="num" w:pos="2216"/>
        </w:tabs>
        <w:ind w:left="2216" w:hanging="360"/>
      </w:pPr>
      <w:rPr>
        <w:rFonts w:ascii="Wingdings" w:hAnsi="Wingdings" w:hint="default"/>
      </w:rPr>
    </w:lvl>
    <w:lvl w:ilvl="3" w:tplc="1BC250E6" w:tentative="1">
      <w:start w:val="1"/>
      <w:numFmt w:val="bullet"/>
      <w:lvlText w:val=""/>
      <w:lvlJc w:val="left"/>
      <w:pPr>
        <w:tabs>
          <w:tab w:val="num" w:pos="2936"/>
        </w:tabs>
        <w:ind w:left="2936" w:hanging="360"/>
      </w:pPr>
      <w:rPr>
        <w:rFonts w:ascii="Symbol" w:hAnsi="Symbol" w:hint="default"/>
      </w:rPr>
    </w:lvl>
    <w:lvl w:ilvl="4" w:tplc="1546A254" w:tentative="1">
      <w:start w:val="1"/>
      <w:numFmt w:val="bullet"/>
      <w:lvlText w:val="o"/>
      <w:lvlJc w:val="left"/>
      <w:pPr>
        <w:tabs>
          <w:tab w:val="num" w:pos="3656"/>
        </w:tabs>
        <w:ind w:left="3656" w:hanging="360"/>
      </w:pPr>
      <w:rPr>
        <w:rFonts w:ascii="Courier New" w:hAnsi="Courier New" w:hint="default"/>
      </w:rPr>
    </w:lvl>
    <w:lvl w:ilvl="5" w:tplc="15E0870E" w:tentative="1">
      <w:start w:val="1"/>
      <w:numFmt w:val="bullet"/>
      <w:lvlText w:val=""/>
      <w:lvlJc w:val="left"/>
      <w:pPr>
        <w:tabs>
          <w:tab w:val="num" w:pos="4376"/>
        </w:tabs>
        <w:ind w:left="4376" w:hanging="360"/>
      </w:pPr>
      <w:rPr>
        <w:rFonts w:ascii="Wingdings" w:hAnsi="Wingdings" w:hint="default"/>
      </w:rPr>
    </w:lvl>
    <w:lvl w:ilvl="6" w:tplc="C5A2662E" w:tentative="1">
      <w:start w:val="1"/>
      <w:numFmt w:val="bullet"/>
      <w:lvlText w:val=""/>
      <w:lvlJc w:val="left"/>
      <w:pPr>
        <w:tabs>
          <w:tab w:val="num" w:pos="5096"/>
        </w:tabs>
        <w:ind w:left="5096" w:hanging="360"/>
      </w:pPr>
      <w:rPr>
        <w:rFonts w:ascii="Symbol" w:hAnsi="Symbol" w:hint="default"/>
      </w:rPr>
    </w:lvl>
    <w:lvl w:ilvl="7" w:tplc="803AC5A0" w:tentative="1">
      <w:start w:val="1"/>
      <w:numFmt w:val="bullet"/>
      <w:lvlText w:val="o"/>
      <w:lvlJc w:val="left"/>
      <w:pPr>
        <w:tabs>
          <w:tab w:val="num" w:pos="5816"/>
        </w:tabs>
        <w:ind w:left="5816" w:hanging="360"/>
      </w:pPr>
      <w:rPr>
        <w:rFonts w:ascii="Courier New" w:hAnsi="Courier New" w:hint="default"/>
      </w:rPr>
    </w:lvl>
    <w:lvl w:ilvl="8" w:tplc="1D661BCC"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A5183028">
      <w:start w:val="1"/>
      <w:numFmt w:val="bullet"/>
      <w:lvlText w:val=""/>
      <w:lvlJc w:val="left"/>
      <w:pPr>
        <w:tabs>
          <w:tab w:val="num" w:pos="278"/>
        </w:tabs>
        <w:ind w:left="278" w:hanging="360"/>
      </w:pPr>
      <w:rPr>
        <w:rFonts w:ascii="Symbol" w:hAnsi="Symbol" w:hint="default"/>
      </w:rPr>
    </w:lvl>
    <w:lvl w:ilvl="1" w:tplc="B39612DE" w:tentative="1">
      <w:start w:val="1"/>
      <w:numFmt w:val="bullet"/>
      <w:lvlText w:val="o"/>
      <w:lvlJc w:val="left"/>
      <w:pPr>
        <w:tabs>
          <w:tab w:val="num" w:pos="1440"/>
        </w:tabs>
        <w:ind w:left="1440" w:hanging="360"/>
      </w:pPr>
      <w:rPr>
        <w:rFonts w:ascii="Courier New" w:hAnsi="Courier New" w:hint="default"/>
      </w:rPr>
    </w:lvl>
    <w:lvl w:ilvl="2" w:tplc="350C67C0" w:tentative="1">
      <w:start w:val="1"/>
      <w:numFmt w:val="bullet"/>
      <w:lvlText w:val=""/>
      <w:lvlJc w:val="left"/>
      <w:pPr>
        <w:tabs>
          <w:tab w:val="num" w:pos="2160"/>
        </w:tabs>
        <w:ind w:left="2160" w:hanging="360"/>
      </w:pPr>
      <w:rPr>
        <w:rFonts w:ascii="Wingdings" w:hAnsi="Wingdings" w:hint="default"/>
      </w:rPr>
    </w:lvl>
    <w:lvl w:ilvl="3" w:tplc="B8D087FA" w:tentative="1">
      <w:start w:val="1"/>
      <w:numFmt w:val="bullet"/>
      <w:lvlText w:val=""/>
      <w:lvlJc w:val="left"/>
      <w:pPr>
        <w:tabs>
          <w:tab w:val="num" w:pos="2880"/>
        </w:tabs>
        <w:ind w:left="2880" w:hanging="360"/>
      </w:pPr>
      <w:rPr>
        <w:rFonts w:ascii="Symbol" w:hAnsi="Symbol" w:hint="default"/>
      </w:rPr>
    </w:lvl>
    <w:lvl w:ilvl="4" w:tplc="E2D23D0E" w:tentative="1">
      <w:start w:val="1"/>
      <w:numFmt w:val="bullet"/>
      <w:lvlText w:val="o"/>
      <w:lvlJc w:val="left"/>
      <w:pPr>
        <w:tabs>
          <w:tab w:val="num" w:pos="3600"/>
        </w:tabs>
        <w:ind w:left="3600" w:hanging="360"/>
      </w:pPr>
      <w:rPr>
        <w:rFonts w:ascii="Courier New" w:hAnsi="Courier New" w:hint="default"/>
      </w:rPr>
    </w:lvl>
    <w:lvl w:ilvl="5" w:tplc="98A47C0A" w:tentative="1">
      <w:start w:val="1"/>
      <w:numFmt w:val="bullet"/>
      <w:lvlText w:val=""/>
      <w:lvlJc w:val="left"/>
      <w:pPr>
        <w:tabs>
          <w:tab w:val="num" w:pos="4320"/>
        </w:tabs>
        <w:ind w:left="4320" w:hanging="360"/>
      </w:pPr>
      <w:rPr>
        <w:rFonts w:ascii="Wingdings" w:hAnsi="Wingdings" w:hint="default"/>
      </w:rPr>
    </w:lvl>
    <w:lvl w:ilvl="6" w:tplc="EDE62326" w:tentative="1">
      <w:start w:val="1"/>
      <w:numFmt w:val="bullet"/>
      <w:lvlText w:val=""/>
      <w:lvlJc w:val="left"/>
      <w:pPr>
        <w:tabs>
          <w:tab w:val="num" w:pos="5040"/>
        </w:tabs>
        <w:ind w:left="5040" w:hanging="360"/>
      </w:pPr>
      <w:rPr>
        <w:rFonts w:ascii="Symbol" w:hAnsi="Symbol" w:hint="default"/>
      </w:rPr>
    </w:lvl>
    <w:lvl w:ilvl="7" w:tplc="D6F4DE60" w:tentative="1">
      <w:start w:val="1"/>
      <w:numFmt w:val="bullet"/>
      <w:lvlText w:val="o"/>
      <w:lvlJc w:val="left"/>
      <w:pPr>
        <w:tabs>
          <w:tab w:val="num" w:pos="5760"/>
        </w:tabs>
        <w:ind w:left="5760" w:hanging="360"/>
      </w:pPr>
      <w:rPr>
        <w:rFonts w:ascii="Courier New" w:hAnsi="Courier New" w:hint="default"/>
      </w:rPr>
    </w:lvl>
    <w:lvl w:ilvl="8" w:tplc="A32C363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D95E91AE">
      <w:start w:val="1"/>
      <w:numFmt w:val="upperLetter"/>
      <w:pStyle w:val="Style3"/>
      <w:suff w:val="space"/>
      <w:lvlText w:val="%1."/>
      <w:lvlJc w:val="left"/>
      <w:pPr>
        <w:ind w:left="0" w:firstLine="0"/>
      </w:pPr>
      <w:rPr>
        <w:rFonts w:hint="default"/>
      </w:rPr>
    </w:lvl>
    <w:lvl w:ilvl="1" w:tplc="2E969A4A" w:tentative="1">
      <w:start w:val="1"/>
      <w:numFmt w:val="lowerLetter"/>
      <w:lvlText w:val="%2."/>
      <w:lvlJc w:val="left"/>
      <w:pPr>
        <w:ind w:left="1440" w:hanging="360"/>
      </w:pPr>
    </w:lvl>
    <w:lvl w:ilvl="2" w:tplc="93CC9C0E" w:tentative="1">
      <w:start w:val="1"/>
      <w:numFmt w:val="lowerRoman"/>
      <w:lvlText w:val="%3."/>
      <w:lvlJc w:val="right"/>
      <w:pPr>
        <w:ind w:left="2160" w:hanging="180"/>
      </w:pPr>
    </w:lvl>
    <w:lvl w:ilvl="3" w:tplc="6EF6481E" w:tentative="1">
      <w:start w:val="1"/>
      <w:numFmt w:val="decimal"/>
      <w:lvlText w:val="%4."/>
      <w:lvlJc w:val="left"/>
      <w:pPr>
        <w:ind w:left="2880" w:hanging="360"/>
      </w:pPr>
    </w:lvl>
    <w:lvl w:ilvl="4" w:tplc="3770426E" w:tentative="1">
      <w:start w:val="1"/>
      <w:numFmt w:val="lowerLetter"/>
      <w:lvlText w:val="%5."/>
      <w:lvlJc w:val="left"/>
      <w:pPr>
        <w:ind w:left="3600" w:hanging="360"/>
      </w:pPr>
    </w:lvl>
    <w:lvl w:ilvl="5" w:tplc="00FC0E98" w:tentative="1">
      <w:start w:val="1"/>
      <w:numFmt w:val="lowerRoman"/>
      <w:lvlText w:val="%6."/>
      <w:lvlJc w:val="right"/>
      <w:pPr>
        <w:ind w:left="4320" w:hanging="180"/>
      </w:pPr>
    </w:lvl>
    <w:lvl w:ilvl="6" w:tplc="3F3EA550" w:tentative="1">
      <w:start w:val="1"/>
      <w:numFmt w:val="decimal"/>
      <w:lvlText w:val="%7."/>
      <w:lvlJc w:val="left"/>
      <w:pPr>
        <w:ind w:left="5040" w:hanging="360"/>
      </w:pPr>
    </w:lvl>
    <w:lvl w:ilvl="7" w:tplc="8E5E1B38" w:tentative="1">
      <w:start w:val="1"/>
      <w:numFmt w:val="lowerLetter"/>
      <w:lvlText w:val="%8."/>
      <w:lvlJc w:val="left"/>
      <w:pPr>
        <w:ind w:left="5760" w:hanging="360"/>
      </w:pPr>
    </w:lvl>
    <w:lvl w:ilvl="8" w:tplc="A030C4CA"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027A456C">
      <w:start w:val="1"/>
      <w:numFmt w:val="bullet"/>
      <w:lvlText w:val=""/>
      <w:lvlJc w:val="left"/>
      <w:pPr>
        <w:tabs>
          <w:tab w:val="num" w:pos="278"/>
        </w:tabs>
        <w:ind w:left="278" w:hanging="360"/>
      </w:pPr>
      <w:rPr>
        <w:rFonts w:ascii="Symbol" w:hAnsi="Symbol" w:hint="default"/>
      </w:rPr>
    </w:lvl>
    <w:lvl w:ilvl="1" w:tplc="94866EDE" w:tentative="1">
      <w:start w:val="1"/>
      <w:numFmt w:val="bullet"/>
      <w:lvlText w:val="o"/>
      <w:lvlJc w:val="left"/>
      <w:pPr>
        <w:tabs>
          <w:tab w:val="num" w:pos="1440"/>
        </w:tabs>
        <w:ind w:left="1440" w:hanging="360"/>
      </w:pPr>
      <w:rPr>
        <w:rFonts w:ascii="Courier New" w:hAnsi="Courier New" w:hint="default"/>
      </w:rPr>
    </w:lvl>
    <w:lvl w:ilvl="2" w:tplc="AA502DD8" w:tentative="1">
      <w:start w:val="1"/>
      <w:numFmt w:val="bullet"/>
      <w:lvlText w:val=""/>
      <w:lvlJc w:val="left"/>
      <w:pPr>
        <w:tabs>
          <w:tab w:val="num" w:pos="2160"/>
        </w:tabs>
        <w:ind w:left="2160" w:hanging="360"/>
      </w:pPr>
      <w:rPr>
        <w:rFonts w:ascii="Wingdings" w:hAnsi="Wingdings" w:hint="default"/>
      </w:rPr>
    </w:lvl>
    <w:lvl w:ilvl="3" w:tplc="405EBE70" w:tentative="1">
      <w:start w:val="1"/>
      <w:numFmt w:val="bullet"/>
      <w:lvlText w:val=""/>
      <w:lvlJc w:val="left"/>
      <w:pPr>
        <w:tabs>
          <w:tab w:val="num" w:pos="2880"/>
        </w:tabs>
        <w:ind w:left="2880" w:hanging="360"/>
      </w:pPr>
      <w:rPr>
        <w:rFonts w:ascii="Symbol" w:hAnsi="Symbol" w:hint="default"/>
      </w:rPr>
    </w:lvl>
    <w:lvl w:ilvl="4" w:tplc="524EEFBC" w:tentative="1">
      <w:start w:val="1"/>
      <w:numFmt w:val="bullet"/>
      <w:lvlText w:val="o"/>
      <w:lvlJc w:val="left"/>
      <w:pPr>
        <w:tabs>
          <w:tab w:val="num" w:pos="3600"/>
        </w:tabs>
        <w:ind w:left="3600" w:hanging="360"/>
      </w:pPr>
      <w:rPr>
        <w:rFonts w:ascii="Courier New" w:hAnsi="Courier New" w:hint="default"/>
      </w:rPr>
    </w:lvl>
    <w:lvl w:ilvl="5" w:tplc="94668CEE" w:tentative="1">
      <w:start w:val="1"/>
      <w:numFmt w:val="bullet"/>
      <w:lvlText w:val=""/>
      <w:lvlJc w:val="left"/>
      <w:pPr>
        <w:tabs>
          <w:tab w:val="num" w:pos="4320"/>
        </w:tabs>
        <w:ind w:left="4320" w:hanging="360"/>
      </w:pPr>
      <w:rPr>
        <w:rFonts w:ascii="Wingdings" w:hAnsi="Wingdings" w:hint="default"/>
      </w:rPr>
    </w:lvl>
    <w:lvl w:ilvl="6" w:tplc="076C0B94" w:tentative="1">
      <w:start w:val="1"/>
      <w:numFmt w:val="bullet"/>
      <w:lvlText w:val=""/>
      <w:lvlJc w:val="left"/>
      <w:pPr>
        <w:tabs>
          <w:tab w:val="num" w:pos="5040"/>
        </w:tabs>
        <w:ind w:left="5040" w:hanging="360"/>
      </w:pPr>
      <w:rPr>
        <w:rFonts w:ascii="Symbol" w:hAnsi="Symbol" w:hint="default"/>
      </w:rPr>
    </w:lvl>
    <w:lvl w:ilvl="7" w:tplc="6D7210F2" w:tentative="1">
      <w:start w:val="1"/>
      <w:numFmt w:val="bullet"/>
      <w:lvlText w:val="o"/>
      <w:lvlJc w:val="left"/>
      <w:pPr>
        <w:tabs>
          <w:tab w:val="num" w:pos="5760"/>
        </w:tabs>
        <w:ind w:left="5760" w:hanging="360"/>
      </w:pPr>
      <w:rPr>
        <w:rFonts w:ascii="Courier New" w:hAnsi="Courier New" w:hint="default"/>
      </w:rPr>
    </w:lvl>
    <w:lvl w:ilvl="8" w:tplc="960480C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A87E53E6">
      <w:start w:val="1"/>
      <w:numFmt w:val="decimal"/>
      <w:lvlText w:val="%1."/>
      <w:lvlJc w:val="left"/>
      <w:pPr>
        <w:tabs>
          <w:tab w:val="num" w:pos="720"/>
        </w:tabs>
        <w:ind w:left="720" w:hanging="360"/>
      </w:pPr>
    </w:lvl>
    <w:lvl w:ilvl="1" w:tplc="0DE460B2" w:tentative="1">
      <w:start w:val="1"/>
      <w:numFmt w:val="lowerLetter"/>
      <w:lvlText w:val="%2."/>
      <w:lvlJc w:val="left"/>
      <w:pPr>
        <w:tabs>
          <w:tab w:val="num" w:pos="1440"/>
        </w:tabs>
        <w:ind w:left="1440" w:hanging="360"/>
      </w:pPr>
    </w:lvl>
    <w:lvl w:ilvl="2" w:tplc="0FCEB338" w:tentative="1">
      <w:start w:val="1"/>
      <w:numFmt w:val="lowerRoman"/>
      <w:lvlText w:val="%3."/>
      <w:lvlJc w:val="right"/>
      <w:pPr>
        <w:tabs>
          <w:tab w:val="num" w:pos="2160"/>
        </w:tabs>
        <w:ind w:left="2160" w:hanging="180"/>
      </w:pPr>
    </w:lvl>
    <w:lvl w:ilvl="3" w:tplc="EC309046" w:tentative="1">
      <w:start w:val="1"/>
      <w:numFmt w:val="decimal"/>
      <w:lvlText w:val="%4."/>
      <w:lvlJc w:val="left"/>
      <w:pPr>
        <w:tabs>
          <w:tab w:val="num" w:pos="2880"/>
        </w:tabs>
        <w:ind w:left="2880" w:hanging="360"/>
      </w:pPr>
    </w:lvl>
    <w:lvl w:ilvl="4" w:tplc="38D21A74" w:tentative="1">
      <w:start w:val="1"/>
      <w:numFmt w:val="lowerLetter"/>
      <w:lvlText w:val="%5."/>
      <w:lvlJc w:val="left"/>
      <w:pPr>
        <w:tabs>
          <w:tab w:val="num" w:pos="3600"/>
        </w:tabs>
        <w:ind w:left="3600" w:hanging="360"/>
      </w:pPr>
    </w:lvl>
    <w:lvl w:ilvl="5" w:tplc="4F168830" w:tentative="1">
      <w:start w:val="1"/>
      <w:numFmt w:val="lowerRoman"/>
      <w:lvlText w:val="%6."/>
      <w:lvlJc w:val="right"/>
      <w:pPr>
        <w:tabs>
          <w:tab w:val="num" w:pos="4320"/>
        </w:tabs>
        <w:ind w:left="4320" w:hanging="180"/>
      </w:pPr>
    </w:lvl>
    <w:lvl w:ilvl="6" w:tplc="0AD4D430" w:tentative="1">
      <w:start w:val="1"/>
      <w:numFmt w:val="decimal"/>
      <w:lvlText w:val="%7."/>
      <w:lvlJc w:val="left"/>
      <w:pPr>
        <w:tabs>
          <w:tab w:val="num" w:pos="5040"/>
        </w:tabs>
        <w:ind w:left="5040" w:hanging="360"/>
      </w:pPr>
    </w:lvl>
    <w:lvl w:ilvl="7" w:tplc="BBBEF5C6" w:tentative="1">
      <w:start w:val="1"/>
      <w:numFmt w:val="lowerLetter"/>
      <w:lvlText w:val="%8."/>
      <w:lvlJc w:val="left"/>
      <w:pPr>
        <w:tabs>
          <w:tab w:val="num" w:pos="5760"/>
        </w:tabs>
        <w:ind w:left="5760" w:hanging="360"/>
      </w:pPr>
    </w:lvl>
    <w:lvl w:ilvl="8" w:tplc="5BB8048E"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48AA108A">
      <w:start w:val="4"/>
      <w:numFmt w:val="upperLetter"/>
      <w:lvlText w:val="%1."/>
      <w:lvlJc w:val="left"/>
      <w:pPr>
        <w:tabs>
          <w:tab w:val="num" w:pos="930"/>
        </w:tabs>
        <w:ind w:left="930" w:hanging="570"/>
      </w:pPr>
      <w:rPr>
        <w:rFonts w:hint="default"/>
      </w:rPr>
    </w:lvl>
    <w:lvl w:ilvl="1" w:tplc="FD08C566" w:tentative="1">
      <w:start w:val="1"/>
      <w:numFmt w:val="lowerLetter"/>
      <w:lvlText w:val="%2."/>
      <w:lvlJc w:val="left"/>
      <w:pPr>
        <w:tabs>
          <w:tab w:val="num" w:pos="1440"/>
        </w:tabs>
        <w:ind w:left="1440" w:hanging="360"/>
      </w:pPr>
    </w:lvl>
    <w:lvl w:ilvl="2" w:tplc="587A95E2" w:tentative="1">
      <w:start w:val="1"/>
      <w:numFmt w:val="lowerRoman"/>
      <w:lvlText w:val="%3."/>
      <w:lvlJc w:val="right"/>
      <w:pPr>
        <w:tabs>
          <w:tab w:val="num" w:pos="2160"/>
        </w:tabs>
        <w:ind w:left="2160" w:hanging="180"/>
      </w:pPr>
    </w:lvl>
    <w:lvl w:ilvl="3" w:tplc="77AC6A2C" w:tentative="1">
      <w:start w:val="1"/>
      <w:numFmt w:val="decimal"/>
      <w:lvlText w:val="%4."/>
      <w:lvlJc w:val="left"/>
      <w:pPr>
        <w:tabs>
          <w:tab w:val="num" w:pos="2880"/>
        </w:tabs>
        <w:ind w:left="2880" w:hanging="360"/>
      </w:pPr>
    </w:lvl>
    <w:lvl w:ilvl="4" w:tplc="997A6174" w:tentative="1">
      <w:start w:val="1"/>
      <w:numFmt w:val="lowerLetter"/>
      <w:lvlText w:val="%5."/>
      <w:lvlJc w:val="left"/>
      <w:pPr>
        <w:tabs>
          <w:tab w:val="num" w:pos="3600"/>
        </w:tabs>
        <w:ind w:left="3600" w:hanging="360"/>
      </w:pPr>
    </w:lvl>
    <w:lvl w:ilvl="5" w:tplc="17069EEC" w:tentative="1">
      <w:start w:val="1"/>
      <w:numFmt w:val="lowerRoman"/>
      <w:lvlText w:val="%6."/>
      <w:lvlJc w:val="right"/>
      <w:pPr>
        <w:tabs>
          <w:tab w:val="num" w:pos="4320"/>
        </w:tabs>
        <w:ind w:left="4320" w:hanging="180"/>
      </w:pPr>
    </w:lvl>
    <w:lvl w:ilvl="6" w:tplc="73DAD1EE" w:tentative="1">
      <w:start w:val="1"/>
      <w:numFmt w:val="decimal"/>
      <w:lvlText w:val="%7."/>
      <w:lvlJc w:val="left"/>
      <w:pPr>
        <w:tabs>
          <w:tab w:val="num" w:pos="5040"/>
        </w:tabs>
        <w:ind w:left="5040" w:hanging="360"/>
      </w:pPr>
    </w:lvl>
    <w:lvl w:ilvl="7" w:tplc="46E08FFC" w:tentative="1">
      <w:start w:val="1"/>
      <w:numFmt w:val="lowerLetter"/>
      <w:lvlText w:val="%8."/>
      <w:lvlJc w:val="left"/>
      <w:pPr>
        <w:tabs>
          <w:tab w:val="num" w:pos="5760"/>
        </w:tabs>
        <w:ind w:left="5760" w:hanging="360"/>
      </w:pPr>
    </w:lvl>
    <w:lvl w:ilvl="8" w:tplc="187E10C2"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AF725A70">
      <w:start w:val="1"/>
      <w:numFmt w:val="decimal"/>
      <w:lvlText w:val="%1."/>
      <w:lvlJc w:val="left"/>
      <w:pPr>
        <w:ind w:left="720" w:hanging="360"/>
      </w:pPr>
    </w:lvl>
    <w:lvl w:ilvl="1" w:tplc="114E3644" w:tentative="1">
      <w:start w:val="1"/>
      <w:numFmt w:val="lowerLetter"/>
      <w:lvlText w:val="%2."/>
      <w:lvlJc w:val="left"/>
      <w:pPr>
        <w:ind w:left="1440" w:hanging="360"/>
      </w:pPr>
    </w:lvl>
    <w:lvl w:ilvl="2" w:tplc="189EA94E" w:tentative="1">
      <w:start w:val="1"/>
      <w:numFmt w:val="lowerRoman"/>
      <w:lvlText w:val="%3."/>
      <w:lvlJc w:val="right"/>
      <w:pPr>
        <w:ind w:left="2160" w:hanging="180"/>
      </w:pPr>
    </w:lvl>
    <w:lvl w:ilvl="3" w:tplc="AF689ABC" w:tentative="1">
      <w:start w:val="1"/>
      <w:numFmt w:val="decimal"/>
      <w:lvlText w:val="%4."/>
      <w:lvlJc w:val="left"/>
      <w:pPr>
        <w:ind w:left="2880" w:hanging="360"/>
      </w:pPr>
    </w:lvl>
    <w:lvl w:ilvl="4" w:tplc="B888E35A" w:tentative="1">
      <w:start w:val="1"/>
      <w:numFmt w:val="lowerLetter"/>
      <w:lvlText w:val="%5."/>
      <w:lvlJc w:val="left"/>
      <w:pPr>
        <w:ind w:left="3600" w:hanging="360"/>
      </w:pPr>
    </w:lvl>
    <w:lvl w:ilvl="5" w:tplc="A0B23310" w:tentative="1">
      <w:start w:val="1"/>
      <w:numFmt w:val="lowerRoman"/>
      <w:lvlText w:val="%6."/>
      <w:lvlJc w:val="right"/>
      <w:pPr>
        <w:ind w:left="4320" w:hanging="180"/>
      </w:pPr>
    </w:lvl>
    <w:lvl w:ilvl="6" w:tplc="6DFCF7FC" w:tentative="1">
      <w:start w:val="1"/>
      <w:numFmt w:val="decimal"/>
      <w:lvlText w:val="%7."/>
      <w:lvlJc w:val="left"/>
      <w:pPr>
        <w:ind w:left="5040" w:hanging="360"/>
      </w:pPr>
    </w:lvl>
    <w:lvl w:ilvl="7" w:tplc="1DB04E32" w:tentative="1">
      <w:start w:val="1"/>
      <w:numFmt w:val="lowerLetter"/>
      <w:lvlText w:val="%8."/>
      <w:lvlJc w:val="left"/>
      <w:pPr>
        <w:ind w:left="5760" w:hanging="360"/>
      </w:pPr>
    </w:lvl>
    <w:lvl w:ilvl="8" w:tplc="2A7C4902"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05A4A3B0">
      <w:start w:val="1"/>
      <w:numFmt w:val="bullet"/>
      <w:lvlText w:val=""/>
      <w:lvlJc w:val="left"/>
      <w:pPr>
        <w:tabs>
          <w:tab w:val="num" w:pos="278"/>
        </w:tabs>
        <w:ind w:left="278" w:hanging="360"/>
      </w:pPr>
      <w:rPr>
        <w:rFonts w:ascii="Symbol" w:hAnsi="Symbol" w:hint="default"/>
      </w:rPr>
    </w:lvl>
    <w:lvl w:ilvl="1" w:tplc="11AC62D6">
      <w:start w:val="1"/>
      <w:numFmt w:val="bullet"/>
      <w:lvlText w:val="o"/>
      <w:lvlJc w:val="left"/>
      <w:pPr>
        <w:tabs>
          <w:tab w:val="num" w:pos="1440"/>
        </w:tabs>
        <w:ind w:left="1440" w:hanging="360"/>
      </w:pPr>
      <w:rPr>
        <w:rFonts w:ascii="Courier New" w:hAnsi="Courier New" w:hint="default"/>
      </w:rPr>
    </w:lvl>
    <w:lvl w:ilvl="2" w:tplc="287EF0CA" w:tentative="1">
      <w:start w:val="1"/>
      <w:numFmt w:val="bullet"/>
      <w:lvlText w:val=""/>
      <w:lvlJc w:val="left"/>
      <w:pPr>
        <w:tabs>
          <w:tab w:val="num" w:pos="2160"/>
        </w:tabs>
        <w:ind w:left="2160" w:hanging="360"/>
      </w:pPr>
      <w:rPr>
        <w:rFonts w:ascii="Wingdings" w:hAnsi="Wingdings" w:hint="default"/>
      </w:rPr>
    </w:lvl>
    <w:lvl w:ilvl="3" w:tplc="3AB49860" w:tentative="1">
      <w:start w:val="1"/>
      <w:numFmt w:val="bullet"/>
      <w:lvlText w:val=""/>
      <w:lvlJc w:val="left"/>
      <w:pPr>
        <w:tabs>
          <w:tab w:val="num" w:pos="2880"/>
        </w:tabs>
        <w:ind w:left="2880" w:hanging="360"/>
      </w:pPr>
      <w:rPr>
        <w:rFonts w:ascii="Symbol" w:hAnsi="Symbol" w:hint="default"/>
      </w:rPr>
    </w:lvl>
    <w:lvl w:ilvl="4" w:tplc="07A45B86" w:tentative="1">
      <w:start w:val="1"/>
      <w:numFmt w:val="bullet"/>
      <w:lvlText w:val="o"/>
      <w:lvlJc w:val="left"/>
      <w:pPr>
        <w:tabs>
          <w:tab w:val="num" w:pos="3600"/>
        </w:tabs>
        <w:ind w:left="3600" w:hanging="360"/>
      </w:pPr>
      <w:rPr>
        <w:rFonts w:ascii="Courier New" w:hAnsi="Courier New" w:hint="default"/>
      </w:rPr>
    </w:lvl>
    <w:lvl w:ilvl="5" w:tplc="96BC54FC" w:tentative="1">
      <w:start w:val="1"/>
      <w:numFmt w:val="bullet"/>
      <w:lvlText w:val=""/>
      <w:lvlJc w:val="left"/>
      <w:pPr>
        <w:tabs>
          <w:tab w:val="num" w:pos="4320"/>
        </w:tabs>
        <w:ind w:left="4320" w:hanging="360"/>
      </w:pPr>
      <w:rPr>
        <w:rFonts w:ascii="Wingdings" w:hAnsi="Wingdings" w:hint="default"/>
      </w:rPr>
    </w:lvl>
    <w:lvl w:ilvl="6" w:tplc="AF7CCE6C" w:tentative="1">
      <w:start w:val="1"/>
      <w:numFmt w:val="bullet"/>
      <w:lvlText w:val=""/>
      <w:lvlJc w:val="left"/>
      <w:pPr>
        <w:tabs>
          <w:tab w:val="num" w:pos="5040"/>
        </w:tabs>
        <w:ind w:left="5040" w:hanging="360"/>
      </w:pPr>
      <w:rPr>
        <w:rFonts w:ascii="Symbol" w:hAnsi="Symbol" w:hint="default"/>
      </w:rPr>
    </w:lvl>
    <w:lvl w:ilvl="7" w:tplc="B5285CB6" w:tentative="1">
      <w:start w:val="1"/>
      <w:numFmt w:val="bullet"/>
      <w:lvlText w:val="o"/>
      <w:lvlJc w:val="left"/>
      <w:pPr>
        <w:tabs>
          <w:tab w:val="num" w:pos="5760"/>
        </w:tabs>
        <w:ind w:left="5760" w:hanging="360"/>
      </w:pPr>
      <w:rPr>
        <w:rFonts w:ascii="Courier New" w:hAnsi="Courier New" w:hint="default"/>
      </w:rPr>
    </w:lvl>
    <w:lvl w:ilvl="8" w:tplc="461E807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26C5"/>
    <w:rsid w:val="000349AA"/>
    <w:rsid w:val="00036C50"/>
    <w:rsid w:val="00052D2B"/>
    <w:rsid w:val="00054F55"/>
    <w:rsid w:val="00056D02"/>
    <w:rsid w:val="00056EE7"/>
    <w:rsid w:val="00062945"/>
    <w:rsid w:val="00063946"/>
    <w:rsid w:val="00080453"/>
    <w:rsid w:val="0008169A"/>
    <w:rsid w:val="00082200"/>
    <w:rsid w:val="000838BB"/>
    <w:rsid w:val="000860CE"/>
    <w:rsid w:val="00092A37"/>
    <w:rsid w:val="000938A6"/>
    <w:rsid w:val="00096E78"/>
    <w:rsid w:val="00097C1E"/>
    <w:rsid w:val="000A1DF5"/>
    <w:rsid w:val="000B05B4"/>
    <w:rsid w:val="000B7873"/>
    <w:rsid w:val="000C02A1"/>
    <w:rsid w:val="000C1D4F"/>
    <w:rsid w:val="000C3ED7"/>
    <w:rsid w:val="000C55E6"/>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C50"/>
    <w:rsid w:val="00140DF6"/>
    <w:rsid w:val="00145C3F"/>
    <w:rsid w:val="00145D34"/>
    <w:rsid w:val="00146284"/>
    <w:rsid w:val="0014690F"/>
    <w:rsid w:val="0015098E"/>
    <w:rsid w:val="00153B3A"/>
    <w:rsid w:val="00164543"/>
    <w:rsid w:val="00164C48"/>
    <w:rsid w:val="001674D3"/>
    <w:rsid w:val="00174721"/>
    <w:rsid w:val="00175264"/>
    <w:rsid w:val="001803D2"/>
    <w:rsid w:val="0018228B"/>
    <w:rsid w:val="00182A01"/>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3872"/>
    <w:rsid w:val="001E5621"/>
    <w:rsid w:val="001F1C7E"/>
    <w:rsid w:val="001F2383"/>
    <w:rsid w:val="001F3239"/>
    <w:rsid w:val="001F3EF9"/>
    <w:rsid w:val="001F627D"/>
    <w:rsid w:val="001F6622"/>
    <w:rsid w:val="001F6F38"/>
    <w:rsid w:val="00200EFE"/>
    <w:rsid w:val="0020126C"/>
    <w:rsid w:val="00202A85"/>
    <w:rsid w:val="00202EA3"/>
    <w:rsid w:val="002100FC"/>
    <w:rsid w:val="00213890"/>
    <w:rsid w:val="00214E52"/>
    <w:rsid w:val="00216E0B"/>
    <w:rsid w:val="002207C0"/>
    <w:rsid w:val="0022380D"/>
    <w:rsid w:val="00224B93"/>
    <w:rsid w:val="00226630"/>
    <w:rsid w:val="0023676E"/>
    <w:rsid w:val="00237ACE"/>
    <w:rsid w:val="002414B6"/>
    <w:rsid w:val="00241C94"/>
    <w:rsid w:val="002422EB"/>
    <w:rsid w:val="00242397"/>
    <w:rsid w:val="002446DC"/>
    <w:rsid w:val="00246D8E"/>
    <w:rsid w:val="00247A48"/>
    <w:rsid w:val="00250DD1"/>
    <w:rsid w:val="00251183"/>
    <w:rsid w:val="00251689"/>
    <w:rsid w:val="0025267C"/>
    <w:rsid w:val="00253B6B"/>
    <w:rsid w:val="00256A03"/>
    <w:rsid w:val="0025748D"/>
    <w:rsid w:val="00265656"/>
    <w:rsid w:val="00265E77"/>
    <w:rsid w:val="00266155"/>
    <w:rsid w:val="0027270B"/>
    <w:rsid w:val="00272B36"/>
    <w:rsid w:val="00274D17"/>
    <w:rsid w:val="00282E7B"/>
    <w:rsid w:val="002838C8"/>
    <w:rsid w:val="00290805"/>
    <w:rsid w:val="00290C2A"/>
    <w:rsid w:val="00290F66"/>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D3E30"/>
    <w:rsid w:val="002D42D6"/>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AB2"/>
    <w:rsid w:val="00307EB2"/>
    <w:rsid w:val="0031032B"/>
    <w:rsid w:val="00316E87"/>
    <w:rsid w:val="0032453E"/>
    <w:rsid w:val="00325053"/>
    <w:rsid w:val="003256AC"/>
    <w:rsid w:val="00330CC1"/>
    <w:rsid w:val="0033129D"/>
    <w:rsid w:val="003320ED"/>
    <w:rsid w:val="0033480E"/>
    <w:rsid w:val="00337123"/>
    <w:rsid w:val="00341866"/>
    <w:rsid w:val="00342C0C"/>
    <w:rsid w:val="003520EA"/>
    <w:rsid w:val="003535E0"/>
    <w:rsid w:val="003543AC"/>
    <w:rsid w:val="00355AB8"/>
    <w:rsid w:val="00355D02"/>
    <w:rsid w:val="00361607"/>
    <w:rsid w:val="00365C0D"/>
    <w:rsid w:val="00366F56"/>
    <w:rsid w:val="003708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CD1"/>
    <w:rsid w:val="003C33FF"/>
    <w:rsid w:val="003C3E0E"/>
    <w:rsid w:val="003C3FC4"/>
    <w:rsid w:val="003C64A5"/>
    <w:rsid w:val="003D03CC"/>
    <w:rsid w:val="003D2AAD"/>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228"/>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5422"/>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D380C"/>
    <w:rsid w:val="005D3F79"/>
    <w:rsid w:val="005D6E04"/>
    <w:rsid w:val="005D7A12"/>
    <w:rsid w:val="005E53EE"/>
    <w:rsid w:val="005E66FC"/>
    <w:rsid w:val="005F0542"/>
    <w:rsid w:val="005F0F72"/>
    <w:rsid w:val="005F1178"/>
    <w:rsid w:val="005F1C1F"/>
    <w:rsid w:val="005F2FAD"/>
    <w:rsid w:val="005F346D"/>
    <w:rsid w:val="005F38FB"/>
    <w:rsid w:val="00602D3B"/>
    <w:rsid w:val="0060326F"/>
    <w:rsid w:val="00606EA1"/>
    <w:rsid w:val="006128F0"/>
    <w:rsid w:val="0061726B"/>
    <w:rsid w:val="00617B81"/>
    <w:rsid w:val="0062387A"/>
    <w:rsid w:val="006326D8"/>
    <w:rsid w:val="0063377D"/>
    <w:rsid w:val="006344BE"/>
    <w:rsid w:val="00634A66"/>
    <w:rsid w:val="00640336"/>
    <w:rsid w:val="00640FC9"/>
    <w:rsid w:val="006414D3"/>
    <w:rsid w:val="006432F2"/>
    <w:rsid w:val="0064465A"/>
    <w:rsid w:val="0065320F"/>
    <w:rsid w:val="00653D64"/>
    <w:rsid w:val="00654E13"/>
    <w:rsid w:val="00667489"/>
    <w:rsid w:val="00670D44"/>
    <w:rsid w:val="00673F4C"/>
    <w:rsid w:val="00676AFC"/>
    <w:rsid w:val="006807CD"/>
    <w:rsid w:val="00682D43"/>
    <w:rsid w:val="0068507D"/>
    <w:rsid w:val="00685BAF"/>
    <w:rsid w:val="00690463"/>
    <w:rsid w:val="00693DE5"/>
    <w:rsid w:val="006A0D03"/>
    <w:rsid w:val="006A41E9"/>
    <w:rsid w:val="006A488F"/>
    <w:rsid w:val="006B12CB"/>
    <w:rsid w:val="006B2030"/>
    <w:rsid w:val="006B5916"/>
    <w:rsid w:val="006C32DF"/>
    <w:rsid w:val="006C4775"/>
    <w:rsid w:val="006C4F4A"/>
    <w:rsid w:val="006C5E80"/>
    <w:rsid w:val="006C7CEE"/>
    <w:rsid w:val="006D075E"/>
    <w:rsid w:val="006D09DC"/>
    <w:rsid w:val="006D3509"/>
    <w:rsid w:val="006D7C6E"/>
    <w:rsid w:val="006E15A2"/>
    <w:rsid w:val="006E2F95"/>
    <w:rsid w:val="006F148B"/>
    <w:rsid w:val="006F382C"/>
    <w:rsid w:val="00705EAF"/>
    <w:rsid w:val="0070773E"/>
    <w:rsid w:val="007101CC"/>
    <w:rsid w:val="00715C55"/>
    <w:rsid w:val="00724E3B"/>
    <w:rsid w:val="00725EEA"/>
    <w:rsid w:val="007276B6"/>
    <w:rsid w:val="00730908"/>
    <w:rsid w:val="00730CE9"/>
    <w:rsid w:val="0073373D"/>
    <w:rsid w:val="00736B1E"/>
    <w:rsid w:val="007439DB"/>
    <w:rsid w:val="007464DA"/>
    <w:rsid w:val="00746958"/>
    <w:rsid w:val="007568D8"/>
    <w:rsid w:val="007616B4"/>
    <w:rsid w:val="00765316"/>
    <w:rsid w:val="007708C8"/>
    <w:rsid w:val="0077719D"/>
    <w:rsid w:val="00780DF0"/>
    <w:rsid w:val="007810B7"/>
    <w:rsid w:val="00782F0F"/>
    <w:rsid w:val="0078538F"/>
    <w:rsid w:val="00787482"/>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6BDB"/>
    <w:rsid w:val="00857675"/>
    <w:rsid w:val="00861F86"/>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6E9C"/>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1E18"/>
    <w:rsid w:val="00933D18"/>
    <w:rsid w:val="00942221"/>
    <w:rsid w:val="00950FBB"/>
    <w:rsid w:val="00951118"/>
    <w:rsid w:val="0095122F"/>
    <w:rsid w:val="00953349"/>
    <w:rsid w:val="00953E4C"/>
    <w:rsid w:val="00954E0C"/>
    <w:rsid w:val="00961156"/>
    <w:rsid w:val="00964F03"/>
    <w:rsid w:val="0096523F"/>
    <w:rsid w:val="00966F1F"/>
    <w:rsid w:val="00975676"/>
    <w:rsid w:val="00976467"/>
    <w:rsid w:val="00976D32"/>
    <w:rsid w:val="009844F7"/>
    <w:rsid w:val="009938F7"/>
    <w:rsid w:val="00995A7D"/>
    <w:rsid w:val="009A05AA"/>
    <w:rsid w:val="009A2D5A"/>
    <w:rsid w:val="009A6509"/>
    <w:rsid w:val="009A6E2F"/>
    <w:rsid w:val="009B2969"/>
    <w:rsid w:val="009B2C7E"/>
    <w:rsid w:val="009B3BD1"/>
    <w:rsid w:val="009B59E7"/>
    <w:rsid w:val="009B6DBD"/>
    <w:rsid w:val="009C108A"/>
    <w:rsid w:val="009C2E47"/>
    <w:rsid w:val="009C6BFB"/>
    <w:rsid w:val="009D0C05"/>
    <w:rsid w:val="009E24B7"/>
    <w:rsid w:val="009E2C00"/>
    <w:rsid w:val="009E49AD"/>
    <w:rsid w:val="009E4CC5"/>
    <w:rsid w:val="009E66FE"/>
    <w:rsid w:val="009E70F4"/>
    <w:rsid w:val="009E72A3"/>
    <w:rsid w:val="009F1AD2"/>
    <w:rsid w:val="00A00C78"/>
    <w:rsid w:val="00A0479E"/>
    <w:rsid w:val="00A07979"/>
    <w:rsid w:val="00A11755"/>
    <w:rsid w:val="00A16BAC"/>
    <w:rsid w:val="00A207FB"/>
    <w:rsid w:val="00A20ADC"/>
    <w:rsid w:val="00A24016"/>
    <w:rsid w:val="00A25182"/>
    <w:rsid w:val="00A265BF"/>
    <w:rsid w:val="00A26F44"/>
    <w:rsid w:val="00A34FAB"/>
    <w:rsid w:val="00A42C43"/>
    <w:rsid w:val="00A4313D"/>
    <w:rsid w:val="00A458CB"/>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A97"/>
    <w:rsid w:val="00A95B56"/>
    <w:rsid w:val="00A95E81"/>
    <w:rsid w:val="00A969AF"/>
    <w:rsid w:val="00AA1CFF"/>
    <w:rsid w:val="00AB1A2E"/>
    <w:rsid w:val="00AB328A"/>
    <w:rsid w:val="00AB4918"/>
    <w:rsid w:val="00AB4BC8"/>
    <w:rsid w:val="00AB6BA7"/>
    <w:rsid w:val="00AB7BE8"/>
    <w:rsid w:val="00AD0710"/>
    <w:rsid w:val="00AD4DB9"/>
    <w:rsid w:val="00AD63C0"/>
    <w:rsid w:val="00AE35B2"/>
    <w:rsid w:val="00AE6AA0"/>
    <w:rsid w:val="00AF406C"/>
    <w:rsid w:val="00AF45ED"/>
    <w:rsid w:val="00B005ED"/>
    <w:rsid w:val="00B00CA4"/>
    <w:rsid w:val="00B02195"/>
    <w:rsid w:val="00B075D6"/>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724"/>
    <w:rsid w:val="00BC0EFB"/>
    <w:rsid w:val="00BC2E39"/>
    <w:rsid w:val="00BD2364"/>
    <w:rsid w:val="00BD28E3"/>
    <w:rsid w:val="00BE117E"/>
    <w:rsid w:val="00BE23FD"/>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1C4B"/>
    <w:rsid w:val="00C237E9"/>
    <w:rsid w:val="00C2444E"/>
    <w:rsid w:val="00C32989"/>
    <w:rsid w:val="00C32BD1"/>
    <w:rsid w:val="00C341E6"/>
    <w:rsid w:val="00C34260"/>
    <w:rsid w:val="00C36883"/>
    <w:rsid w:val="00C40928"/>
    <w:rsid w:val="00C40CFF"/>
    <w:rsid w:val="00C42697"/>
    <w:rsid w:val="00C43387"/>
    <w:rsid w:val="00C43F01"/>
    <w:rsid w:val="00C46593"/>
    <w:rsid w:val="00C47552"/>
    <w:rsid w:val="00C537E4"/>
    <w:rsid w:val="00C5559E"/>
    <w:rsid w:val="00C56F31"/>
    <w:rsid w:val="00C57A81"/>
    <w:rsid w:val="00C60193"/>
    <w:rsid w:val="00C634D4"/>
    <w:rsid w:val="00C63AA5"/>
    <w:rsid w:val="00C65071"/>
    <w:rsid w:val="00C65FCC"/>
    <w:rsid w:val="00C6727C"/>
    <w:rsid w:val="00C6744C"/>
    <w:rsid w:val="00C73134"/>
    <w:rsid w:val="00C73F6D"/>
    <w:rsid w:val="00C74F6E"/>
    <w:rsid w:val="00C76694"/>
    <w:rsid w:val="00C77FA4"/>
    <w:rsid w:val="00C77FFA"/>
    <w:rsid w:val="00C80401"/>
    <w:rsid w:val="00C80487"/>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1E83"/>
    <w:rsid w:val="00D25D53"/>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0D40"/>
    <w:rsid w:val="00D9216A"/>
    <w:rsid w:val="00D95BBB"/>
    <w:rsid w:val="00D97E7D"/>
    <w:rsid w:val="00DA2A06"/>
    <w:rsid w:val="00DB0502"/>
    <w:rsid w:val="00DB1C8C"/>
    <w:rsid w:val="00DB3439"/>
    <w:rsid w:val="00DB3618"/>
    <w:rsid w:val="00DB468A"/>
    <w:rsid w:val="00DC2946"/>
    <w:rsid w:val="00DC4340"/>
    <w:rsid w:val="00DC550F"/>
    <w:rsid w:val="00DC64FD"/>
    <w:rsid w:val="00DD1F96"/>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24D3"/>
    <w:rsid w:val="00E1267F"/>
    <w:rsid w:val="00E14C47"/>
    <w:rsid w:val="00E22698"/>
    <w:rsid w:val="00E25B7C"/>
    <w:rsid w:val="00E27A75"/>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29B1"/>
    <w:rsid w:val="00E73C3E"/>
    <w:rsid w:val="00E74050"/>
    <w:rsid w:val="00E77B98"/>
    <w:rsid w:val="00E82496"/>
    <w:rsid w:val="00E834CD"/>
    <w:rsid w:val="00E846DC"/>
    <w:rsid w:val="00E84E9D"/>
    <w:rsid w:val="00E86CEE"/>
    <w:rsid w:val="00E935AF"/>
    <w:rsid w:val="00EA0688"/>
    <w:rsid w:val="00EB0E20"/>
    <w:rsid w:val="00EB1682"/>
    <w:rsid w:val="00EB1A80"/>
    <w:rsid w:val="00EB457B"/>
    <w:rsid w:val="00EC27E1"/>
    <w:rsid w:val="00EC3E4B"/>
    <w:rsid w:val="00EC47C4"/>
    <w:rsid w:val="00EC4F3A"/>
    <w:rsid w:val="00EC5045"/>
    <w:rsid w:val="00EC5E74"/>
    <w:rsid w:val="00ED594D"/>
    <w:rsid w:val="00EE10D8"/>
    <w:rsid w:val="00EE36E1"/>
    <w:rsid w:val="00EE6228"/>
    <w:rsid w:val="00EE7AC7"/>
    <w:rsid w:val="00EE7B3F"/>
    <w:rsid w:val="00EF2247"/>
    <w:rsid w:val="00EF3A8A"/>
    <w:rsid w:val="00EF429A"/>
    <w:rsid w:val="00F0054D"/>
    <w:rsid w:val="00F02467"/>
    <w:rsid w:val="00F04D0E"/>
    <w:rsid w:val="00F12214"/>
    <w:rsid w:val="00F12565"/>
    <w:rsid w:val="00F1382B"/>
    <w:rsid w:val="00F144BE"/>
    <w:rsid w:val="00F14ACA"/>
    <w:rsid w:val="00F17A0C"/>
    <w:rsid w:val="00F23927"/>
    <w:rsid w:val="00F26644"/>
    <w:rsid w:val="00F26A05"/>
    <w:rsid w:val="00F307CE"/>
    <w:rsid w:val="00F343C8"/>
    <w:rsid w:val="00F345A8"/>
    <w:rsid w:val="00F354C5"/>
    <w:rsid w:val="00F37108"/>
    <w:rsid w:val="00F40449"/>
    <w:rsid w:val="00F45B8E"/>
    <w:rsid w:val="00F47BAA"/>
    <w:rsid w:val="00F50315"/>
    <w:rsid w:val="00F50C59"/>
    <w:rsid w:val="00F520FE"/>
    <w:rsid w:val="00F52EAB"/>
    <w:rsid w:val="00F558EC"/>
    <w:rsid w:val="00F55A04"/>
    <w:rsid w:val="00F572EF"/>
    <w:rsid w:val="00F61A31"/>
    <w:rsid w:val="00F62DEC"/>
    <w:rsid w:val="00F66F00"/>
    <w:rsid w:val="00F67A2D"/>
    <w:rsid w:val="00F70A1B"/>
    <w:rsid w:val="00F72FDF"/>
    <w:rsid w:val="00F75960"/>
    <w:rsid w:val="00F801AF"/>
    <w:rsid w:val="00F82526"/>
    <w:rsid w:val="00F84672"/>
    <w:rsid w:val="00F84802"/>
    <w:rsid w:val="00F84AED"/>
    <w:rsid w:val="00F94330"/>
    <w:rsid w:val="00F95A8C"/>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10E"/>
    <w:rsid w:val="00FD4DA8"/>
    <w:rsid w:val="00FD4EEF"/>
    <w:rsid w:val="00FD5461"/>
    <w:rsid w:val="00FD642D"/>
    <w:rsid w:val="00FD6BDB"/>
    <w:rsid w:val="00FD6F00"/>
    <w:rsid w:val="00FD6FF1"/>
    <w:rsid w:val="00FD7AB4"/>
    <w:rsid w:val="00FD7B9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7938B"/>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1178"/>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Zdraznn">
    <w:name w:val="Emphasis"/>
    <w:basedOn w:val="Standardnpsmoodstavce"/>
    <w:qFormat/>
    <w:rsid w:val="00AA1CFF"/>
    <w:rPr>
      <w:i/>
      <w:iCs/>
    </w:rPr>
  </w:style>
  <w:style w:type="character" w:styleId="Nevyeenzmnka">
    <w:name w:val="Unresolved Mention"/>
    <w:basedOn w:val="Standardnpsmoodstavce"/>
    <w:rsid w:val="00C21C4B"/>
    <w:rPr>
      <w:color w:val="605E5C"/>
      <w:shd w:val="clear" w:color="auto" w:fill="E1DFDD"/>
    </w:rPr>
  </w:style>
  <w:style w:type="character" w:customStyle="1" w:styleId="markedcontent">
    <w:name w:val="markedcontent"/>
    <w:rsid w:val="00EE10D8"/>
  </w:style>
  <w:style w:type="paragraph" w:styleId="Odstavecseseznamem">
    <w:name w:val="List Paragraph"/>
    <w:basedOn w:val="Normln"/>
    <w:uiPriority w:val="34"/>
    <w:qFormat/>
    <w:rsid w:val="00F13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381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vetpharmacoviggroup@chanellegroup.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cs/registrace-a-schvalovani/registrace-vlp/seznam-vlp/aktualne-registrovane-vl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8E389-FD1F-44D8-9586-F386ADD1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2242</Words>
  <Characters>13231</Characters>
  <Application>Microsoft Office Word</Application>
  <DocSecurity>0</DocSecurity>
  <Lines>110</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Vqrdtemplateclean_cs</vt:lpstr>
    </vt:vector>
  </TitlesOfParts>
  <Company>CDT</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Dušek Daniel</cp:lastModifiedBy>
  <cp:revision>22</cp:revision>
  <cp:lastPrinted>2022-10-26T09:04:00Z</cp:lastPrinted>
  <dcterms:created xsi:type="dcterms:W3CDTF">2023-04-18T09:17:00Z</dcterms:created>
  <dcterms:modified xsi:type="dcterms:W3CDTF">2023-08-14T10:27:00Z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