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063EEB" w:rsidRPr="00E62BC7" w:rsidRDefault="00063EEB" w:rsidP="008C12CB">
      <w:pPr>
        <w:ind w:left="0" w:right="113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B. PŘÍBALOVÁ INFORMACE</w:t>
      </w: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br w:type="page"/>
      </w:r>
      <w:r w:rsidRPr="00E62BC7">
        <w:rPr>
          <w:rFonts w:ascii="Arial" w:hAnsi="Arial" w:cs="Arial"/>
          <w:b/>
          <w:szCs w:val="22"/>
        </w:rPr>
        <w:lastRenderedPageBreak/>
        <w:t>PŘÍBALOVÁ INFORMACE</w:t>
      </w:r>
      <w:r w:rsidR="00324DA9">
        <w:rPr>
          <w:rFonts w:ascii="Arial" w:hAnsi="Arial" w:cs="Arial"/>
          <w:b/>
          <w:szCs w:val="22"/>
        </w:rPr>
        <w:t xml:space="preserve"> PRO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29059E">
      <w:pPr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 xml:space="preserve">Kesium </w:t>
      </w:r>
      <w:r w:rsidR="00D66484">
        <w:rPr>
          <w:rFonts w:ascii="Arial" w:hAnsi="Arial" w:cs="Arial"/>
          <w:szCs w:val="22"/>
        </w:rPr>
        <w:t>500</w:t>
      </w:r>
      <w:r w:rsidRPr="00E62BC7">
        <w:rPr>
          <w:rFonts w:ascii="Arial" w:hAnsi="Arial" w:cs="Arial"/>
          <w:szCs w:val="22"/>
        </w:rPr>
        <w:t xml:space="preserve"> mg / </w:t>
      </w:r>
      <w:r w:rsidR="00D66484">
        <w:rPr>
          <w:rFonts w:ascii="Arial" w:hAnsi="Arial" w:cs="Arial"/>
          <w:szCs w:val="22"/>
        </w:rPr>
        <w:t>125</w:t>
      </w:r>
      <w:r w:rsidRPr="00E62BC7">
        <w:rPr>
          <w:rFonts w:ascii="Arial" w:hAnsi="Arial" w:cs="Arial"/>
          <w:szCs w:val="22"/>
        </w:rPr>
        <w:t xml:space="preserve"> mg </w:t>
      </w:r>
      <w:r w:rsidR="00A71149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psy</w:t>
      </w: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r w:rsidRPr="00E62BC7" w:rsidDel="00731BB9">
        <w:rPr>
          <w:rFonts w:ascii="Arial" w:hAnsi="Arial" w:cs="Arial"/>
          <w:szCs w:val="22"/>
        </w:rPr>
        <w:t xml:space="preserve"> 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1.</w:t>
      </w:r>
      <w:r w:rsidRPr="00E62BC7">
        <w:rPr>
          <w:rFonts w:ascii="Arial" w:hAnsi="Arial" w:cs="Arial"/>
          <w:b/>
          <w:szCs w:val="22"/>
        </w:rPr>
        <w:tab/>
        <w:t>JMÉNO A ADRESA DRŽITELE ROZHODNUTÍ O REGISTRACI A DRŽITELE POVOLENÍ K VÝROBĚ ODPOVĚDNÉHO ZA UVOLNĚNÍ ŠARŽE, POKUD SE NESHODUJE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063EEB" w:rsidRPr="00CF56D9" w:rsidTr="00CF56D9">
        <w:trPr>
          <w:trHeight w:val="520"/>
        </w:trPr>
        <w:tc>
          <w:tcPr>
            <w:tcW w:w="4068" w:type="dxa"/>
          </w:tcPr>
          <w:p w:rsidR="00063EEB" w:rsidRPr="00CF56D9" w:rsidRDefault="00063EEB" w:rsidP="00CF56D9">
            <w:pPr>
              <w:tabs>
                <w:tab w:val="left" w:pos="567"/>
              </w:tabs>
              <w:spacing w:line="260" w:lineRule="exact"/>
              <w:ind w:right="-318"/>
              <w:rPr>
                <w:rFonts w:ascii="Arial" w:hAnsi="Arial" w:cs="Arial"/>
                <w:szCs w:val="22"/>
              </w:rPr>
            </w:pPr>
            <w:r w:rsidRPr="00CF56D9">
              <w:rPr>
                <w:rFonts w:ascii="Arial" w:hAnsi="Arial" w:cs="Arial"/>
                <w:iCs/>
                <w:szCs w:val="22"/>
                <w:u w:val="single"/>
              </w:rPr>
              <w:t>Držitel rozhodnutí o registraci:</w:t>
            </w:r>
          </w:p>
        </w:tc>
      </w:tr>
      <w:tr w:rsidR="00063EEB" w:rsidRPr="00CF56D9" w:rsidTr="00CF56D9">
        <w:trPr>
          <w:trHeight w:val="520"/>
        </w:trPr>
        <w:tc>
          <w:tcPr>
            <w:tcW w:w="4068" w:type="dxa"/>
          </w:tcPr>
          <w:p w:rsidR="00194D5B" w:rsidRPr="00194D5B" w:rsidRDefault="00194D5B" w:rsidP="00194D5B">
            <w:pPr>
              <w:jc w:val="both"/>
              <w:rPr>
                <w:rFonts w:ascii="Arial" w:hAnsi="Arial" w:cs="Arial"/>
                <w:iCs/>
              </w:rPr>
            </w:pPr>
            <w:r w:rsidRPr="00194D5B">
              <w:rPr>
                <w:rFonts w:ascii="Arial" w:hAnsi="Arial" w:cs="Arial"/>
                <w:iCs/>
              </w:rPr>
              <w:t>Ceva Santé Animale</w:t>
            </w:r>
          </w:p>
          <w:p w:rsidR="00194D5B" w:rsidRPr="00194D5B" w:rsidRDefault="00194D5B" w:rsidP="00194D5B">
            <w:pPr>
              <w:jc w:val="both"/>
              <w:rPr>
                <w:rFonts w:ascii="Arial" w:hAnsi="Arial" w:cs="Arial"/>
                <w:iCs/>
              </w:rPr>
            </w:pPr>
            <w:r w:rsidRPr="00194D5B">
              <w:rPr>
                <w:rFonts w:ascii="Arial" w:hAnsi="Arial" w:cs="Arial"/>
                <w:iCs/>
              </w:rPr>
              <w:t>10 Avenue de La Ballastière</w:t>
            </w:r>
          </w:p>
          <w:p w:rsidR="00194D5B" w:rsidRPr="00194D5B" w:rsidRDefault="00194D5B" w:rsidP="00194D5B">
            <w:pPr>
              <w:jc w:val="both"/>
              <w:rPr>
                <w:rFonts w:ascii="Arial" w:hAnsi="Arial" w:cs="Arial"/>
                <w:iCs/>
              </w:rPr>
            </w:pPr>
            <w:r w:rsidRPr="00194D5B">
              <w:rPr>
                <w:rFonts w:ascii="Arial" w:hAnsi="Arial" w:cs="Arial"/>
                <w:iCs/>
              </w:rPr>
              <w:t>33500 Libourne</w:t>
            </w:r>
          </w:p>
          <w:p w:rsidR="00194D5B" w:rsidRPr="00194D5B" w:rsidRDefault="00194D5B" w:rsidP="00194D5B">
            <w:pPr>
              <w:jc w:val="both"/>
              <w:rPr>
                <w:rFonts w:ascii="Arial" w:hAnsi="Arial" w:cs="Arial"/>
              </w:rPr>
            </w:pPr>
            <w:r w:rsidRPr="00194D5B">
              <w:rPr>
                <w:rFonts w:ascii="Arial" w:hAnsi="Arial" w:cs="Arial"/>
                <w:iCs/>
              </w:rPr>
              <w:t>Francie</w:t>
            </w:r>
            <w:r w:rsidRPr="00194D5B" w:rsidDel="00CC45C7">
              <w:rPr>
                <w:rFonts w:ascii="Arial" w:hAnsi="Arial" w:cs="Arial"/>
              </w:rPr>
              <w:t xml:space="preserve"> </w:t>
            </w:r>
          </w:p>
          <w:p w:rsidR="00063EEB" w:rsidRPr="00CF56D9" w:rsidRDefault="00063EEB" w:rsidP="00CF56D9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</w:p>
        </w:tc>
      </w:tr>
    </w:tbl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Cs/>
          <w:szCs w:val="22"/>
          <w:u w:val="single"/>
        </w:rPr>
      </w:pPr>
      <w:r w:rsidRPr="00E62BC7">
        <w:rPr>
          <w:rFonts w:ascii="Arial" w:hAnsi="Arial" w:cs="Arial"/>
          <w:bCs/>
          <w:szCs w:val="22"/>
          <w:u w:val="single"/>
        </w:rPr>
        <w:t>Výrobce odpovědný za uvolnění šarže</w:t>
      </w:r>
      <w:r w:rsidRPr="00E62BC7">
        <w:rPr>
          <w:rFonts w:ascii="Arial" w:hAnsi="Arial" w:cs="Arial"/>
          <w:bCs/>
          <w:szCs w:val="22"/>
        </w:rPr>
        <w:t>: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803"/>
      </w:tblGrid>
      <w:tr w:rsidR="00063EEB" w:rsidRPr="00CF56D9" w:rsidTr="00CF56D9">
        <w:trPr>
          <w:trHeight w:val="520"/>
        </w:trPr>
        <w:tc>
          <w:tcPr>
            <w:tcW w:w="4068" w:type="dxa"/>
          </w:tcPr>
          <w:p w:rsidR="004C474F" w:rsidRDefault="004C474F" w:rsidP="004C474F">
            <w:pPr>
              <w:tabs>
                <w:tab w:val="left" w:pos="567"/>
              </w:tabs>
              <w:spacing w:line="260" w:lineRule="exact"/>
              <w:ind w:left="0" w:firstLine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Ceva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Santé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Animale</w:t>
            </w:r>
          </w:p>
          <w:p w:rsidR="004C474F" w:rsidRDefault="004C474F" w:rsidP="004C474F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Boulevard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Cs w:val="22"/>
              </w:rPr>
              <w:t>Communication</w:t>
            </w:r>
            <w:proofErr w:type="spellEnd"/>
          </w:p>
          <w:p w:rsidR="004C474F" w:rsidRDefault="004C474F" w:rsidP="004C474F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Zone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Autoroutière</w:t>
            </w:r>
            <w:proofErr w:type="spellEnd"/>
          </w:p>
          <w:p w:rsidR="004C474F" w:rsidRDefault="004C474F" w:rsidP="004C474F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53950 LOUVERNE</w:t>
            </w:r>
          </w:p>
          <w:p w:rsidR="000B72C1" w:rsidRDefault="004C474F" w:rsidP="004C474F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Francie</w:t>
            </w:r>
          </w:p>
          <w:p w:rsidR="004C474F" w:rsidRPr="00CF56D9" w:rsidRDefault="004C474F" w:rsidP="004C474F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4803" w:type="dxa"/>
          </w:tcPr>
          <w:p w:rsidR="00880431" w:rsidRPr="00CF56D9" w:rsidRDefault="00880431" w:rsidP="00B877B6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</w:p>
        </w:tc>
      </w:tr>
    </w:tbl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2.</w:t>
      </w:r>
      <w:r w:rsidRPr="00E62BC7">
        <w:rPr>
          <w:rFonts w:ascii="Arial" w:hAnsi="Arial" w:cs="Arial"/>
          <w:b/>
          <w:szCs w:val="22"/>
        </w:rPr>
        <w:tab/>
        <w:t>NÁZEV VETERINÁRNÍHO LÉČIVÉHO PŘÍPRAVKU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</w:p>
    <w:p w:rsidR="00063EEB" w:rsidRPr="00E62BC7" w:rsidRDefault="00063EEB" w:rsidP="0029059E">
      <w:pPr>
        <w:rPr>
          <w:rFonts w:ascii="Arial" w:hAnsi="Arial" w:cs="Arial"/>
          <w:szCs w:val="22"/>
        </w:rPr>
      </w:pPr>
      <w:r w:rsidRPr="0009270A">
        <w:rPr>
          <w:rFonts w:ascii="Arial" w:hAnsi="Arial" w:cs="Arial"/>
          <w:szCs w:val="22"/>
        </w:rPr>
        <w:t xml:space="preserve">Kesium </w:t>
      </w:r>
      <w:r w:rsidR="00D66484" w:rsidRPr="0009270A">
        <w:rPr>
          <w:rFonts w:ascii="Arial" w:hAnsi="Arial" w:cs="Arial"/>
          <w:szCs w:val="22"/>
        </w:rPr>
        <w:t>500</w:t>
      </w:r>
      <w:r w:rsidRPr="0009270A">
        <w:rPr>
          <w:rFonts w:ascii="Arial" w:hAnsi="Arial" w:cs="Arial"/>
          <w:szCs w:val="22"/>
        </w:rPr>
        <w:t xml:space="preserve"> mg / </w:t>
      </w:r>
      <w:r w:rsidR="00D66484" w:rsidRPr="0009270A">
        <w:rPr>
          <w:rFonts w:ascii="Arial" w:hAnsi="Arial" w:cs="Arial"/>
          <w:szCs w:val="22"/>
        </w:rPr>
        <w:t>125</w:t>
      </w:r>
      <w:r w:rsidRPr="0009270A">
        <w:rPr>
          <w:rFonts w:ascii="Arial" w:hAnsi="Arial" w:cs="Arial"/>
          <w:szCs w:val="22"/>
        </w:rPr>
        <w:t xml:space="preserve"> mg </w:t>
      </w:r>
      <w:r w:rsidR="00E442FD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psy</w:t>
      </w:r>
    </w:p>
    <w:p w:rsidR="00A71149" w:rsidRPr="00E62BC7" w:rsidRDefault="00A71149" w:rsidP="00A7114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B877B6">
        <w:rPr>
          <w:rFonts w:ascii="Arial" w:hAnsi="Arial" w:cs="Arial"/>
          <w:color w:val="000000"/>
          <w:lang w:eastAsia="cs-CZ"/>
        </w:rPr>
        <w:t>jako</w:t>
      </w:r>
      <w:r w:rsidR="00B877B6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B877B6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</w:p>
    <w:p w:rsidR="00A71149" w:rsidRPr="00E62BC7" w:rsidRDefault="00A71149" w:rsidP="00A7114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B877B6">
        <w:rPr>
          <w:rFonts w:ascii="Arial" w:hAnsi="Arial" w:cs="Arial"/>
          <w:color w:val="000000"/>
          <w:lang w:eastAsia="cs-CZ"/>
        </w:rPr>
        <w:t>jako</w:t>
      </w:r>
      <w:r w:rsidR="00B877B6" w:rsidRPr="00E62BC7">
        <w:rPr>
          <w:rFonts w:ascii="Arial" w:hAnsi="Arial" w:cs="Arial"/>
          <w:color w:val="000000"/>
          <w:lang w:eastAsia="cs-CZ"/>
        </w:rPr>
        <w:t xml:space="preserve"> </w:t>
      </w:r>
      <w:r w:rsidR="00B877B6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3.</w:t>
      </w:r>
      <w:r w:rsidRPr="00E62BC7">
        <w:rPr>
          <w:rFonts w:ascii="Arial" w:hAnsi="Arial" w:cs="Arial"/>
          <w:b/>
          <w:szCs w:val="22"/>
        </w:rPr>
        <w:tab/>
        <w:t>OBSAH LÉČIVÝCH A OSTATNÍCH LÁTEK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A71149" w:rsidRPr="00E62BC7" w:rsidRDefault="00A71149" w:rsidP="00A71149">
      <w:pPr>
        <w:tabs>
          <w:tab w:val="left" w:pos="5655"/>
        </w:tabs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Každá tableta obsahuje:</w:t>
      </w:r>
    </w:p>
    <w:p w:rsidR="00A71149" w:rsidRPr="00E62BC7" w:rsidRDefault="00A71149" w:rsidP="00A71149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Léčivá(é) látka(y):</w:t>
      </w:r>
    </w:p>
    <w:p w:rsidR="00A71149" w:rsidRPr="00E62BC7" w:rsidRDefault="00A71149" w:rsidP="00A7114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B877B6">
        <w:rPr>
          <w:rFonts w:ascii="Arial" w:hAnsi="Arial" w:cs="Arial"/>
          <w:color w:val="000000"/>
          <w:lang w:eastAsia="cs-CZ"/>
        </w:rPr>
        <w:t>jako</w:t>
      </w:r>
      <w:r w:rsidR="00B877B6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B877B6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  <w:r w:rsidRPr="00E62BC7">
        <w:rPr>
          <w:rFonts w:ascii="Arial" w:hAnsi="Arial" w:cs="Arial"/>
          <w:szCs w:val="22"/>
        </w:rPr>
        <w:tab/>
      </w:r>
      <w:r w:rsidR="00D66484">
        <w:rPr>
          <w:rFonts w:ascii="Arial" w:hAnsi="Arial" w:cs="Arial"/>
          <w:szCs w:val="22"/>
        </w:rPr>
        <w:t>500</w:t>
      </w:r>
      <w:r>
        <w:rPr>
          <w:rFonts w:ascii="Arial" w:hAnsi="Arial" w:cs="Arial"/>
          <w:szCs w:val="22"/>
        </w:rPr>
        <w:t>,00</w:t>
      </w:r>
      <w:r w:rsidRPr="00E62BC7">
        <w:rPr>
          <w:rFonts w:ascii="Arial" w:hAnsi="Arial" w:cs="Arial"/>
          <w:szCs w:val="22"/>
        </w:rPr>
        <w:t xml:space="preserve"> mg</w:t>
      </w:r>
    </w:p>
    <w:p w:rsidR="00A71149" w:rsidRPr="00E62BC7" w:rsidRDefault="00A71149" w:rsidP="00A7114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B877B6">
        <w:rPr>
          <w:rFonts w:ascii="Arial" w:hAnsi="Arial" w:cs="Arial"/>
          <w:color w:val="000000"/>
          <w:lang w:eastAsia="cs-CZ"/>
        </w:rPr>
        <w:t>jako</w:t>
      </w:r>
      <w:r w:rsidR="00B877B6" w:rsidRPr="00E62BC7">
        <w:rPr>
          <w:rFonts w:ascii="Arial" w:hAnsi="Arial" w:cs="Arial"/>
          <w:color w:val="000000"/>
          <w:lang w:eastAsia="cs-CZ"/>
        </w:rPr>
        <w:t xml:space="preserve"> </w:t>
      </w:r>
      <w:r w:rsidR="00B877B6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ab/>
      </w:r>
      <w:r w:rsidR="00D66484">
        <w:rPr>
          <w:rFonts w:ascii="Arial" w:hAnsi="Arial" w:cs="Arial"/>
          <w:szCs w:val="22"/>
        </w:rPr>
        <w:t>125</w:t>
      </w:r>
      <w:r>
        <w:rPr>
          <w:rFonts w:ascii="Arial" w:hAnsi="Arial" w:cs="Arial"/>
          <w:szCs w:val="22"/>
        </w:rPr>
        <w:t>,00</w:t>
      </w:r>
      <w:r w:rsidRPr="00E62BC7">
        <w:rPr>
          <w:rFonts w:ascii="Arial" w:hAnsi="Arial" w:cs="Arial"/>
          <w:szCs w:val="22"/>
        </w:rPr>
        <w:t xml:space="preserve"> mg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  <w:lang w:eastAsia="fr-FR"/>
        </w:rPr>
        <w:t>Žvýkací tableta</w:t>
      </w:r>
    </w:p>
    <w:p w:rsidR="0074182B" w:rsidRPr="00410077" w:rsidRDefault="0074182B" w:rsidP="0074182B">
      <w:pPr>
        <w:ind w:left="0" w:firstLine="0"/>
        <w:rPr>
          <w:rFonts w:ascii="Arial" w:hAnsi="Arial" w:cs="Arial"/>
        </w:rPr>
      </w:pPr>
      <w:r w:rsidRPr="00410077">
        <w:rPr>
          <w:rFonts w:ascii="Arial" w:hAnsi="Arial" w:cs="Arial"/>
        </w:rPr>
        <w:t>Béžová tableta ve tvaru čtyřlístku s dělící rýhou</w:t>
      </w:r>
      <w:r w:rsidR="006C7543">
        <w:rPr>
          <w:rFonts w:ascii="Arial" w:hAnsi="Arial" w:cs="Arial"/>
        </w:rPr>
        <w:t>.</w:t>
      </w:r>
      <w:r w:rsidR="00B877B6">
        <w:rPr>
          <w:rFonts w:ascii="Arial" w:hAnsi="Arial" w:cs="Arial"/>
        </w:rPr>
        <w:t xml:space="preserve"> </w:t>
      </w:r>
      <w:r w:rsidRPr="00410077">
        <w:rPr>
          <w:rFonts w:ascii="Arial" w:hAnsi="Arial" w:cs="Arial"/>
        </w:rPr>
        <w:t xml:space="preserve">Tabletu lze dělit na čtyři stejné </w:t>
      </w:r>
      <w:r w:rsidR="006C7543">
        <w:rPr>
          <w:rFonts w:ascii="Arial" w:hAnsi="Arial" w:cs="Arial"/>
        </w:rPr>
        <w:t>čtvrtiny</w:t>
      </w:r>
      <w:r w:rsidRPr="00410077">
        <w:rPr>
          <w:rFonts w:ascii="Arial" w:hAnsi="Arial" w:cs="Arial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4.</w:t>
      </w:r>
      <w:r w:rsidRPr="00E62BC7">
        <w:rPr>
          <w:rFonts w:ascii="Arial" w:hAnsi="Arial" w:cs="Arial"/>
          <w:b/>
          <w:szCs w:val="22"/>
        </w:rPr>
        <w:tab/>
        <w:t>INDIKACE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B443B3" w:rsidRPr="00E62BC7" w:rsidRDefault="00B443B3" w:rsidP="00B443B3">
      <w:pPr>
        <w:ind w:left="0" w:firstLine="0"/>
        <w:rPr>
          <w:rFonts w:ascii="Arial" w:hAnsi="Arial" w:cs="Arial"/>
          <w:iCs/>
          <w:szCs w:val="22"/>
        </w:rPr>
      </w:pPr>
      <w:r>
        <w:rPr>
          <w:rFonts w:ascii="Arial" w:hAnsi="Arial" w:cs="Arial"/>
          <w:color w:val="000000"/>
          <w:lang w:eastAsia="cs-CZ"/>
        </w:rPr>
        <w:t>L</w:t>
      </w:r>
      <w:r w:rsidRPr="00E62BC7">
        <w:rPr>
          <w:rFonts w:ascii="Arial" w:hAnsi="Arial" w:cs="Arial"/>
          <w:color w:val="000000"/>
          <w:lang w:eastAsia="cs-CZ"/>
        </w:rPr>
        <w:t>éčb</w:t>
      </w:r>
      <w:r>
        <w:rPr>
          <w:rFonts w:ascii="Arial" w:hAnsi="Arial" w:cs="Arial"/>
          <w:color w:val="000000"/>
          <w:lang w:eastAsia="cs-CZ"/>
        </w:rPr>
        <w:t>a</w:t>
      </w:r>
      <w:r w:rsidRPr="00E62BC7">
        <w:rPr>
          <w:rFonts w:ascii="Arial" w:hAnsi="Arial" w:cs="Arial"/>
          <w:color w:val="000000"/>
          <w:lang w:eastAsia="cs-CZ"/>
        </w:rPr>
        <w:t xml:space="preserve"> níže uvedených infekcí </w:t>
      </w:r>
      <w:r w:rsidR="00C309D7">
        <w:rPr>
          <w:rFonts w:ascii="Arial" w:hAnsi="Arial" w:cs="Arial"/>
          <w:color w:val="000000"/>
          <w:lang w:eastAsia="cs-CZ"/>
        </w:rPr>
        <w:t>vyvolaných</w:t>
      </w:r>
      <w:r w:rsidR="00C309D7" w:rsidRPr="00E62BC7">
        <w:rPr>
          <w:color w:val="000000"/>
          <w:sz w:val="27"/>
          <w:lang w:eastAsia="cs-CZ"/>
        </w:rPr>
        <w:t> </w:t>
      </w:r>
      <w:r w:rsidRPr="00E62BC7">
        <w:rPr>
          <w:rFonts w:ascii="Arial" w:hAnsi="Arial" w:cs="Arial"/>
          <w:color w:val="000000"/>
          <w:lang w:eastAsia="cs-CZ"/>
        </w:rPr>
        <w:t>kmeny bakterií</w:t>
      </w:r>
      <w:r w:rsidR="00C309D7">
        <w:rPr>
          <w:rFonts w:ascii="Arial" w:hAnsi="Arial" w:cs="Arial"/>
          <w:color w:val="000000"/>
          <w:lang w:eastAsia="cs-CZ"/>
        </w:rPr>
        <w:t xml:space="preserve"> produkujících </w:t>
      </w:r>
      <w:r w:rsidRPr="00E62BC7">
        <w:rPr>
          <w:rFonts w:ascii="Symbol" w:hAnsi="Symbol"/>
          <w:color w:val="000000"/>
          <w:lang w:eastAsia="cs-CZ"/>
        </w:rPr>
        <w:t></w:t>
      </w:r>
      <w:r w:rsidR="00A402E6" w:rsidRPr="002727B9">
        <w:rPr>
          <w:rFonts w:ascii="Arial" w:hAnsi="Arial" w:cs="Arial"/>
          <w:color w:val="000000"/>
          <w:lang w:eastAsia="cs-CZ"/>
        </w:rPr>
        <w:t>beta-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laktamázu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 </w:t>
      </w:r>
      <w:r w:rsidR="00C309D7">
        <w:rPr>
          <w:rFonts w:ascii="Arial" w:hAnsi="Arial" w:cs="Arial"/>
          <w:color w:val="000000"/>
          <w:lang w:eastAsia="cs-CZ"/>
        </w:rPr>
        <w:t>citlivých k</w:t>
      </w:r>
      <w:r w:rsidRPr="00E62BC7">
        <w:rPr>
          <w:rFonts w:ascii="Arial" w:hAnsi="Arial" w:cs="Arial"/>
          <w:color w:val="000000"/>
          <w:lang w:eastAsia="cs-CZ"/>
        </w:rPr>
        <w:t xml:space="preserve"> amoxicilin</w:t>
      </w:r>
      <w:r w:rsidR="00C309D7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v kombinaci s kyselinou klavulanovou, a dále v případech, kdy klinické zkušenosti a/nebo testování citlivosti indikují tento p</w:t>
      </w:r>
      <w:r w:rsidR="00A402E6">
        <w:rPr>
          <w:rFonts w:ascii="Arial" w:hAnsi="Arial" w:cs="Arial"/>
          <w:color w:val="000000"/>
          <w:lang w:eastAsia="cs-CZ"/>
        </w:rPr>
        <w:t>řípravek</w:t>
      </w:r>
      <w:r w:rsidRPr="00E62BC7">
        <w:rPr>
          <w:rFonts w:ascii="Arial" w:hAnsi="Arial" w:cs="Arial"/>
          <w:color w:val="000000"/>
          <w:lang w:eastAsia="cs-CZ"/>
        </w:rPr>
        <w:t xml:space="preserve"> jako lék</w:t>
      </w:r>
      <w:r>
        <w:rPr>
          <w:rFonts w:ascii="Arial" w:hAnsi="Arial" w:cs="Arial"/>
          <w:color w:val="000000"/>
          <w:lang w:eastAsia="cs-CZ"/>
        </w:rPr>
        <w:t xml:space="preserve"> volby</w:t>
      </w:r>
      <w:r w:rsidRPr="00E62BC7">
        <w:rPr>
          <w:rFonts w:ascii="Arial" w:hAnsi="Arial" w:cs="Arial"/>
          <w:iCs/>
          <w:szCs w:val="22"/>
        </w:rPr>
        <w:t>:</w:t>
      </w:r>
    </w:p>
    <w:p w:rsidR="00B443B3" w:rsidRPr="00E62BC7" w:rsidRDefault="00B443B3" w:rsidP="00B443B3">
      <w:pPr>
        <w:rPr>
          <w:rFonts w:ascii="Arial" w:hAnsi="Arial" w:cs="Arial"/>
          <w:szCs w:val="22"/>
        </w:rPr>
      </w:pPr>
    </w:p>
    <w:p w:rsidR="00B443B3" w:rsidRPr="00E62BC7" w:rsidRDefault="00B443B3" w:rsidP="00B443B3">
      <w:pPr>
        <w:numPr>
          <w:ilvl w:val="0"/>
          <w:numId w:val="39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ožní infekce (včetně povrchové a hluboké pyodermie) </w:t>
      </w:r>
      <w:r>
        <w:rPr>
          <w:rFonts w:ascii="Arial" w:hAnsi="Arial" w:cs="Arial"/>
          <w:szCs w:val="22"/>
        </w:rPr>
        <w:t xml:space="preserve">vyvolané kmeny </w:t>
      </w:r>
      <w:r w:rsidRPr="00E62BC7">
        <w:rPr>
          <w:rFonts w:ascii="Arial" w:hAnsi="Arial" w:cs="Arial"/>
          <w:i/>
          <w:szCs w:val="22"/>
        </w:rPr>
        <w:t>Staphylococcus</w:t>
      </w:r>
      <w:r w:rsidRPr="00E62BC7">
        <w:rPr>
          <w:rFonts w:ascii="Arial" w:hAnsi="Arial" w:cs="Arial"/>
          <w:szCs w:val="22"/>
        </w:rPr>
        <w:t xml:space="preserve"> spp.</w:t>
      </w:r>
      <w:r>
        <w:rPr>
          <w:rFonts w:ascii="Arial" w:hAnsi="Arial" w:cs="Arial"/>
          <w:szCs w:val="22"/>
        </w:rPr>
        <w:t>,</w:t>
      </w:r>
    </w:p>
    <w:p w:rsidR="00B443B3" w:rsidRPr="00A25EC6" w:rsidRDefault="00B443B3" w:rsidP="00B443B3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močových cest </w:t>
      </w:r>
      <w:r>
        <w:rPr>
          <w:rFonts w:ascii="Arial" w:hAnsi="Arial" w:cs="Arial"/>
          <w:color w:val="000000"/>
          <w:lang w:eastAsia="cs-CZ"/>
        </w:rPr>
        <w:t xml:space="preserve">vyvolané kmeny </w:t>
      </w:r>
      <w:r w:rsidRPr="00A25EC6">
        <w:rPr>
          <w:rFonts w:ascii="Arial" w:hAnsi="Arial" w:cs="Arial"/>
          <w:i/>
          <w:szCs w:val="22"/>
        </w:rPr>
        <w:t>Staphylococcus</w:t>
      </w:r>
      <w:r w:rsidRPr="00A25EC6">
        <w:rPr>
          <w:rFonts w:ascii="Arial" w:hAnsi="Arial" w:cs="Arial"/>
          <w:szCs w:val="22"/>
        </w:rPr>
        <w:t xml:space="preserve"> spp., </w:t>
      </w:r>
      <w:r w:rsidRPr="00A25EC6">
        <w:rPr>
          <w:rFonts w:ascii="Arial" w:hAnsi="Arial" w:cs="Arial"/>
          <w:i/>
          <w:szCs w:val="22"/>
        </w:rPr>
        <w:t xml:space="preserve">Streptococcus </w:t>
      </w:r>
      <w:r w:rsidRPr="00A25EC6">
        <w:rPr>
          <w:rFonts w:ascii="Arial" w:hAnsi="Arial" w:cs="Arial"/>
          <w:szCs w:val="22"/>
        </w:rPr>
        <w:t>spp</w:t>
      </w:r>
      <w:r>
        <w:rPr>
          <w:rFonts w:ascii="Arial" w:hAnsi="Arial" w:cs="Arial"/>
          <w:szCs w:val="22"/>
        </w:rPr>
        <w:t>.</w:t>
      </w:r>
      <w:r w:rsidRPr="00A25EC6">
        <w:rPr>
          <w:rFonts w:ascii="Arial" w:hAnsi="Arial" w:cs="Arial"/>
          <w:i/>
          <w:szCs w:val="22"/>
        </w:rPr>
        <w:t>, Escherichia</w:t>
      </w:r>
      <w:r w:rsidRPr="00A25EC6">
        <w:rPr>
          <w:rFonts w:ascii="Arial" w:hAnsi="Arial" w:cs="Arial"/>
          <w:i/>
          <w:iCs/>
          <w:szCs w:val="22"/>
        </w:rPr>
        <w:t xml:space="preserve"> coli</w:t>
      </w:r>
      <w:r w:rsidRPr="00A25EC6">
        <w:rPr>
          <w:rFonts w:ascii="Arial" w:hAnsi="Arial" w:cs="Arial"/>
          <w:szCs w:val="22"/>
        </w:rPr>
        <w:t xml:space="preserve"> a </w:t>
      </w:r>
      <w:r w:rsidRPr="00A25EC6">
        <w:rPr>
          <w:rFonts w:ascii="Arial" w:hAnsi="Arial" w:cs="Arial"/>
          <w:i/>
          <w:iCs/>
          <w:szCs w:val="22"/>
        </w:rPr>
        <w:t>Proteus mirabilis</w:t>
      </w:r>
      <w:r w:rsidRPr="00A25EC6">
        <w:rPr>
          <w:rFonts w:ascii="Arial" w:hAnsi="Arial" w:cs="Arial"/>
          <w:szCs w:val="22"/>
        </w:rPr>
        <w:t>.</w:t>
      </w:r>
    </w:p>
    <w:p w:rsidR="00B443B3" w:rsidRPr="00A25EC6" w:rsidRDefault="00B443B3" w:rsidP="00B443B3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E62BC7">
        <w:rPr>
          <w:rFonts w:ascii="Arial" w:hAnsi="Arial" w:cs="Arial"/>
          <w:szCs w:val="22"/>
        </w:rPr>
        <w:t>nfekce dýchacího traktu</w:t>
      </w:r>
      <w:r>
        <w:rPr>
          <w:rFonts w:ascii="Arial" w:hAnsi="Arial" w:cs="Arial"/>
          <w:color w:val="000000"/>
          <w:lang w:eastAsia="cs-CZ"/>
        </w:rPr>
        <w:t xml:space="preserve"> vyvolané </w:t>
      </w:r>
      <w:r w:rsidRPr="00E62BC7">
        <w:rPr>
          <w:rFonts w:ascii="Arial" w:hAnsi="Arial" w:cs="Arial"/>
          <w:color w:val="000000"/>
          <w:lang w:eastAsia="cs-CZ"/>
        </w:rPr>
        <w:t xml:space="preserve">kmeny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Streptococcus </w:t>
      </w:r>
      <w:r w:rsidRPr="00A25EC6">
        <w:rPr>
          <w:rFonts w:ascii="Arial" w:hAnsi="Arial" w:cs="Arial"/>
          <w:iCs/>
          <w:szCs w:val="22"/>
        </w:rPr>
        <w:t>spp</w:t>
      </w:r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 </w:t>
      </w:r>
      <w:r w:rsidRPr="00A25EC6">
        <w:rPr>
          <w:rFonts w:ascii="Arial" w:hAnsi="Arial" w:cs="Arial"/>
          <w:iCs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Pasteurella </w:t>
      </w:r>
      <w:r w:rsidRPr="00A25EC6">
        <w:rPr>
          <w:rFonts w:ascii="Arial" w:hAnsi="Arial" w:cs="Arial"/>
          <w:iCs/>
          <w:szCs w:val="22"/>
        </w:rPr>
        <w:t>spp.</w:t>
      </w:r>
      <w:r>
        <w:rPr>
          <w:rFonts w:ascii="Arial" w:hAnsi="Arial" w:cs="Arial"/>
          <w:iCs/>
          <w:szCs w:val="22"/>
        </w:rPr>
        <w:t>,</w:t>
      </w:r>
    </w:p>
    <w:p w:rsidR="00B443B3" w:rsidRPr="00A25EC6" w:rsidRDefault="00B443B3" w:rsidP="00B443B3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E62BC7">
        <w:rPr>
          <w:rFonts w:ascii="Arial" w:hAnsi="Arial" w:cs="Arial"/>
          <w:szCs w:val="22"/>
        </w:rPr>
        <w:t>nfekce zažívacího traktu</w:t>
      </w:r>
      <w:bookmarkStart w:id="0" w:name="_GoBack"/>
      <w:bookmarkEnd w:id="0"/>
      <w:r>
        <w:rPr>
          <w:rFonts w:ascii="Arial" w:hAnsi="Arial" w:cs="Arial"/>
          <w:color w:val="000000"/>
          <w:lang w:eastAsia="cs-CZ"/>
        </w:rPr>
        <w:t xml:space="preserve"> vyvolané kmeny </w:t>
      </w:r>
      <w:r w:rsidRPr="00A25EC6">
        <w:rPr>
          <w:rFonts w:ascii="Arial" w:hAnsi="Arial" w:cs="Arial"/>
          <w:i/>
          <w:iCs/>
          <w:szCs w:val="22"/>
        </w:rPr>
        <w:t>Escherichia coli</w:t>
      </w:r>
      <w:r>
        <w:rPr>
          <w:rFonts w:ascii="Arial" w:hAnsi="Arial" w:cs="Arial"/>
          <w:szCs w:val="22"/>
        </w:rPr>
        <w:t>,</w:t>
      </w:r>
    </w:p>
    <w:p w:rsidR="00B443B3" w:rsidRPr="00A25EC6" w:rsidRDefault="00B443B3" w:rsidP="00B443B3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dutiny ústní (sliznice) spojené s kmeny </w:t>
      </w:r>
      <w:r w:rsidRPr="00A25EC6">
        <w:rPr>
          <w:rFonts w:ascii="Arial" w:hAnsi="Arial" w:cs="Arial"/>
          <w:i/>
          <w:iCs/>
          <w:szCs w:val="22"/>
        </w:rPr>
        <w:t xml:space="preserve">Pasteurella </w:t>
      </w:r>
      <w:r w:rsidRPr="00A25EC6">
        <w:rPr>
          <w:rFonts w:ascii="Arial" w:hAnsi="Arial" w:cs="Arial"/>
          <w:iCs/>
          <w:szCs w:val="22"/>
        </w:rPr>
        <w:t>spp</w:t>
      </w:r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r w:rsidRPr="00A25EC6">
        <w:rPr>
          <w:rFonts w:ascii="Arial" w:hAnsi="Arial" w:cs="Arial"/>
          <w:i/>
          <w:iCs/>
          <w:szCs w:val="22"/>
        </w:rPr>
        <w:t>Streptococcus</w:t>
      </w:r>
      <w:r w:rsidRPr="00A25EC6">
        <w:rPr>
          <w:rFonts w:ascii="Arial" w:hAnsi="Arial" w:cs="Arial"/>
          <w:i/>
          <w:szCs w:val="22"/>
        </w:rPr>
        <w:t xml:space="preserve"> </w:t>
      </w:r>
      <w:r w:rsidRPr="00A25EC6">
        <w:rPr>
          <w:rFonts w:ascii="Arial" w:hAnsi="Arial" w:cs="Arial"/>
          <w:iCs/>
          <w:szCs w:val="22"/>
        </w:rPr>
        <w:t>spp</w:t>
      </w:r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r w:rsidRPr="00A25EC6">
        <w:rPr>
          <w:rFonts w:ascii="Arial" w:hAnsi="Arial" w:cs="Arial"/>
          <w:i/>
          <w:iCs/>
          <w:szCs w:val="22"/>
        </w:rPr>
        <w:t>Escherichia coli.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lastRenderedPageBreak/>
        <w:t xml:space="preserve">5. </w:t>
      </w:r>
      <w:r w:rsidRPr="00E62BC7">
        <w:rPr>
          <w:rFonts w:ascii="Arial" w:hAnsi="Arial" w:cs="Arial"/>
          <w:b/>
          <w:szCs w:val="22"/>
        </w:rPr>
        <w:tab/>
        <w:t>KONTRAINDIKACE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B443B3" w:rsidRPr="00A25EC6" w:rsidRDefault="00B443B3" w:rsidP="00B443B3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 u zvířat s</w:t>
      </w:r>
      <w:r w:rsidR="00166FE0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přecitlivělostí </w:t>
      </w:r>
      <w:r w:rsidRPr="00E62BC7">
        <w:rPr>
          <w:rFonts w:ascii="Arial" w:hAnsi="Arial" w:cs="Arial"/>
          <w:color w:val="000000"/>
          <w:lang w:eastAsia="cs-CZ"/>
        </w:rPr>
        <w:t xml:space="preserve">na penicilin či jiné látky </w:t>
      </w:r>
      <w:r>
        <w:rPr>
          <w:rFonts w:ascii="Arial" w:hAnsi="Arial" w:cs="Arial"/>
          <w:color w:val="000000"/>
          <w:lang w:eastAsia="cs-CZ"/>
        </w:rPr>
        <w:t xml:space="preserve">skupiny </w:t>
      </w:r>
      <w:r w:rsidR="00A402E6">
        <w:rPr>
          <w:rFonts w:ascii="Arial" w:hAnsi="Arial" w:cs="Arial"/>
          <w:color w:val="000000"/>
          <w:lang w:eastAsia="cs-CZ"/>
        </w:rPr>
        <w:t>beta-</w:t>
      </w:r>
      <w:r w:rsidRPr="00E62BC7">
        <w:rPr>
          <w:rFonts w:ascii="Arial" w:hAnsi="Arial" w:cs="Arial"/>
          <w:color w:val="000000"/>
          <w:lang w:eastAsia="cs-CZ"/>
        </w:rPr>
        <w:t>laktamov</w:t>
      </w:r>
      <w:r>
        <w:rPr>
          <w:rFonts w:ascii="Arial" w:hAnsi="Arial" w:cs="Arial"/>
          <w:color w:val="000000"/>
          <w:lang w:eastAsia="cs-CZ"/>
        </w:rPr>
        <w:t>ých</w:t>
      </w:r>
      <w:r w:rsidRPr="00E62BC7">
        <w:rPr>
          <w:rFonts w:ascii="Arial" w:hAnsi="Arial" w:cs="Arial"/>
          <w:color w:val="000000"/>
          <w:lang w:eastAsia="cs-CZ"/>
        </w:rPr>
        <w:t xml:space="preserve"> antibiotik anebo na kteroukoliv pomocnou látku</w:t>
      </w:r>
      <w:r w:rsidRPr="00A25EC6">
        <w:rPr>
          <w:rFonts w:ascii="Arial" w:hAnsi="Arial" w:cs="Arial"/>
          <w:szCs w:val="22"/>
        </w:rPr>
        <w:t>.</w:t>
      </w:r>
    </w:p>
    <w:p w:rsidR="00B443B3" w:rsidRPr="00E62BC7" w:rsidRDefault="00B443B3" w:rsidP="00B443B3">
      <w:pPr>
        <w:pStyle w:val="Zkladntextodsazen2"/>
        <w:ind w:left="0" w:firstLine="0"/>
        <w:rPr>
          <w:rFonts w:ascii="Arial" w:hAnsi="Arial" w:cs="Arial"/>
          <w:b w:val="0"/>
          <w:szCs w:val="22"/>
        </w:rPr>
      </w:pPr>
      <w:r w:rsidRPr="00E62BC7">
        <w:rPr>
          <w:rFonts w:ascii="Arial" w:hAnsi="Arial" w:cs="Arial"/>
          <w:b w:val="0"/>
          <w:color w:val="000000"/>
          <w:lang w:eastAsia="cs-CZ"/>
        </w:rPr>
        <w:t>Nepoužívat u zvířat se závažnou dysfunkcí ledvin doprovázenou anurií a oligurií</w:t>
      </w:r>
      <w:r w:rsidRPr="00E62BC7">
        <w:rPr>
          <w:rFonts w:ascii="Arial" w:hAnsi="Arial" w:cs="Arial"/>
          <w:b w:val="0"/>
          <w:szCs w:val="22"/>
        </w:rPr>
        <w:t>.</w:t>
      </w:r>
    </w:p>
    <w:p w:rsidR="00B443B3" w:rsidRDefault="00B443B3" w:rsidP="00B443B3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Nepodávat </w:t>
      </w:r>
      <w:r>
        <w:rPr>
          <w:rFonts w:ascii="Arial" w:hAnsi="Arial" w:cs="Arial"/>
          <w:color w:val="000000"/>
          <w:lang w:eastAsia="cs-CZ"/>
        </w:rPr>
        <w:t>pískomil</w:t>
      </w:r>
      <w:r w:rsidRPr="00E62BC7">
        <w:rPr>
          <w:rFonts w:ascii="Arial" w:hAnsi="Arial" w:cs="Arial"/>
          <w:color w:val="000000"/>
          <w:lang w:eastAsia="cs-CZ"/>
        </w:rPr>
        <w:t>ům, morčatům, křečkům, králíkům a činčilám. </w:t>
      </w:r>
    </w:p>
    <w:p w:rsidR="00B443B3" w:rsidRPr="00E62BC7" w:rsidRDefault="00B443B3" w:rsidP="00B443B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 u koní a přežvýkavců</w:t>
      </w:r>
      <w:r w:rsidRPr="00E62BC7">
        <w:rPr>
          <w:rFonts w:ascii="Arial" w:hAnsi="Arial" w:cs="Arial"/>
          <w:szCs w:val="22"/>
        </w:rPr>
        <w:t xml:space="preserve">. </w:t>
      </w:r>
    </w:p>
    <w:p w:rsidR="00B443B3" w:rsidRPr="00E62BC7" w:rsidRDefault="00B443B3" w:rsidP="00B443B3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</w:t>
      </w:r>
      <w:r>
        <w:rPr>
          <w:rFonts w:ascii="Arial" w:hAnsi="Arial" w:cs="Arial"/>
          <w:color w:val="000000"/>
          <w:lang w:eastAsia="cs-CZ"/>
        </w:rPr>
        <w:t xml:space="preserve"> v případě potvrzené rezistence na </w:t>
      </w:r>
      <w:r w:rsidRPr="00E62BC7">
        <w:rPr>
          <w:rFonts w:ascii="Arial" w:hAnsi="Arial" w:cs="Arial"/>
          <w:color w:val="000000"/>
          <w:lang w:eastAsia="cs-CZ"/>
        </w:rPr>
        <w:t>t</w:t>
      </w:r>
      <w:r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>to kombinaci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6.</w:t>
      </w:r>
      <w:r w:rsidRPr="00E62BC7">
        <w:rPr>
          <w:rFonts w:ascii="Arial" w:hAnsi="Arial" w:cs="Arial"/>
          <w:b/>
          <w:szCs w:val="22"/>
        </w:rPr>
        <w:tab/>
        <w:t>NEŽÁDOUCÍ ÚČINKY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Podání přípravku může vyvolat mírné gastrointestinální p</w:t>
      </w:r>
      <w:r w:rsidR="00A402E6">
        <w:rPr>
          <w:rFonts w:ascii="Arial" w:hAnsi="Arial" w:cs="Arial"/>
          <w:color w:val="000000"/>
          <w:lang w:eastAsia="cs-CZ"/>
        </w:rPr>
        <w:t>otíže</w:t>
      </w:r>
      <w:r w:rsidRPr="00E62BC7">
        <w:rPr>
          <w:rFonts w:ascii="Arial" w:hAnsi="Arial" w:cs="Arial"/>
          <w:color w:val="000000"/>
          <w:lang w:eastAsia="cs-CZ"/>
        </w:rPr>
        <w:t xml:space="preserve"> (průjem a zvracení). Léčbu lze ukončit v závislosti na závažnosti nežádoucích účinků a na základě vyhodnocení </w:t>
      </w:r>
      <w:r w:rsidR="00166FE0">
        <w:rPr>
          <w:rFonts w:ascii="Arial" w:hAnsi="Arial" w:cs="Arial"/>
          <w:color w:val="000000"/>
          <w:lang w:eastAsia="cs-CZ"/>
        </w:rPr>
        <w:t xml:space="preserve">poměru terapeutického poměru a </w:t>
      </w:r>
      <w:r w:rsidRPr="00E62BC7">
        <w:rPr>
          <w:rFonts w:ascii="Arial" w:hAnsi="Arial" w:cs="Arial"/>
          <w:color w:val="000000"/>
          <w:lang w:eastAsia="cs-CZ"/>
        </w:rPr>
        <w:t>rizik</w:t>
      </w:r>
      <w:r w:rsidR="00166FE0">
        <w:rPr>
          <w:rFonts w:ascii="Arial" w:hAnsi="Arial" w:cs="Arial"/>
          <w:color w:val="000000"/>
          <w:lang w:eastAsia="cs-CZ"/>
        </w:rPr>
        <w:t>a</w:t>
      </w:r>
      <w:r w:rsidRPr="00E62BC7">
        <w:rPr>
          <w:rFonts w:ascii="Arial" w:hAnsi="Arial" w:cs="Arial"/>
          <w:color w:val="000000"/>
          <w:lang w:eastAsia="cs-CZ"/>
        </w:rPr>
        <w:t xml:space="preserve"> veterinárním lékařem</w:t>
      </w:r>
      <w:r w:rsidRPr="00E62BC7">
        <w:rPr>
          <w:rFonts w:ascii="Arial" w:hAnsi="Arial" w:cs="Arial"/>
          <w:szCs w:val="22"/>
        </w:rPr>
        <w:t xml:space="preserve">. </w:t>
      </w:r>
    </w:p>
    <w:p w:rsidR="00063EEB" w:rsidRPr="00E62BC7" w:rsidRDefault="00063EEB" w:rsidP="00063EEB">
      <w:pPr>
        <w:ind w:left="0" w:firstLine="0"/>
        <w:jc w:val="both"/>
        <w:rPr>
          <w:rFonts w:ascii="Arial" w:hAnsi="Arial" w:cs="Arial"/>
          <w:szCs w:val="22"/>
        </w:rPr>
      </w:pPr>
    </w:p>
    <w:p w:rsidR="00063EEB" w:rsidRDefault="00063EEB" w:rsidP="00063EEB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Občas se mohou vyskytnout alergické reakce (kožní reakce, anafylaxe). V těchto případech musí být podávání přerušeno a </w:t>
      </w:r>
      <w:r w:rsidR="00324DA9">
        <w:rPr>
          <w:rFonts w:ascii="Arial" w:hAnsi="Arial" w:cs="Arial"/>
          <w:color w:val="000000"/>
          <w:lang w:eastAsia="cs-CZ"/>
        </w:rPr>
        <w:t>zahájena</w:t>
      </w:r>
      <w:r w:rsidRPr="00E62BC7">
        <w:rPr>
          <w:rFonts w:ascii="Arial" w:hAnsi="Arial" w:cs="Arial"/>
          <w:color w:val="000000"/>
          <w:lang w:eastAsia="cs-CZ"/>
        </w:rPr>
        <w:t xml:space="preserve"> symptomatická léčba</w:t>
      </w:r>
      <w:r w:rsidRPr="00E62BC7">
        <w:rPr>
          <w:rFonts w:ascii="Arial" w:hAnsi="Arial" w:cs="Arial"/>
          <w:szCs w:val="22"/>
        </w:rPr>
        <w:t>.</w:t>
      </w:r>
    </w:p>
    <w:p w:rsidR="00855B9A" w:rsidRPr="00731AF3" w:rsidRDefault="00855B9A" w:rsidP="00855B9A">
      <w:pPr>
        <w:ind w:left="0" w:firstLine="0"/>
        <w:rPr>
          <w:rFonts w:ascii="Arial" w:hAnsi="Arial" w:cs="Arial"/>
          <w:szCs w:val="22"/>
        </w:rPr>
      </w:pPr>
      <w:r w:rsidRPr="00731AF3">
        <w:rPr>
          <w:rFonts w:ascii="Arial" w:hAnsi="Arial" w:cs="Arial"/>
          <w:szCs w:val="22"/>
        </w:rPr>
        <w:t>Četnost nežádoucích účinků je charakterizována podle následujících pravidel:</w:t>
      </w:r>
    </w:p>
    <w:p w:rsidR="00855B9A" w:rsidRPr="00731AF3" w:rsidRDefault="00855B9A" w:rsidP="00855B9A">
      <w:pPr>
        <w:ind w:left="0" w:firstLine="0"/>
        <w:rPr>
          <w:rFonts w:ascii="Arial" w:hAnsi="Arial" w:cs="Arial"/>
          <w:szCs w:val="22"/>
        </w:rPr>
      </w:pPr>
      <w:r w:rsidRPr="00731AF3">
        <w:rPr>
          <w:rFonts w:ascii="Arial" w:hAnsi="Arial" w:cs="Arial"/>
          <w:szCs w:val="22"/>
        </w:rPr>
        <w:t>- velmi časté (nežádoucí účinek(</w:t>
      </w:r>
      <w:proofErr w:type="spellStart"/>
      <w:r w:rsidRPr="00731AF3">
        <w:rPr>
          <w:rFonts w:ascii="Arial" w:hAnsi="Arial" w:cs="Arial"/>
          <w:szCs w:val="22"/>
        </w:rPr>
        <w:t>nky</w:t>
      </w:r>
      <w:proofErr w:type="spellEnd"/>
      <w:r w:rsidRPr="00731AF3">
        <w:rPr>
          <w:rFonts w:ascii="Arial" w:hAnsi="Arial" w:cs="Arial"/>
          <w:szCs w:val="22"/>
        </w:rPr>
        <w:t>) se projevil(y) u více než 1 z 10 ošetřených zvířat)</w:t>
      </w:r>
    </w:p>
    <w:p w:rsidR="00855B9A" w:rsidRPr="00731AF3" w:rsidRDefault="00855B9A" w:rsidP="00855B9A">
      <w:pPr>
        <w:rPr>
          <w:rFonts w:ascii="Arial" w:hAnsi="Arial" w:cs="Arial"/>
          <w:szCs w:val="22"/>
        </w:rPr>
      </w:pPr>
      <w:r w:rsidRPr="00731AF3">
        <w:rPr>
          <w:rFonts w:ascii="Arial" w:hAnsi="Arial" w:cs="Arial"/>
          <w:szCs w:val="22"/>
        </w:rPr>
        <w:t>- časté (u více než 1, ale méně než 10 ze 100 ošetřených zvířat)</w:t>
      </w:r>
    </w:p>
    <w:p w:rsidR="00855B9A" w:rsidRPr="00731AF3" w:rsidRDefault="00855B9A" w:rsidP="00855B9A">
      <w:pPr>
        <w:rPr>
          <w:rFonts w:ascii="Arial" w:hAnsi="Arial" w:cs="Arial"/>
          <w:szCs w:val="22"/>
        </w:rPr>
      </w:pPr>
      <w:r w:rsidRPr="00731AF3">
        <w:rPr>
          <w:rFonts w:ascii="Arial" w:hAnsi="Arial" w:cs="Arial"/>
          <w:szCs w:val="22"/>
        </w:rPr>
        <w:t>- neobvyklé (u více než 1, ale méně než 10 z 1000 ošetřených zvířat)</w:t>
      </w:r>
    </w:p>
    <w:p w:rsidR="00855B9A" w:rsidRPr="00731AF3" w:rsidRDefault="00855B9A" w:rsidP="00855B9A">
      <w:pPr>
        <w:rPr>
          <w:rFonts w:ascii="Arial" w:hAnsi="Arial" w:cs="Arial"/>
          <w:szCs w:val="22"/>
        </w:rPr>
      </w:pPr>
      <w:r w:rsidRPr="00731AF3">
        <w:rPr>
          <w:rFonts w:ascii="Arial" w:hAnsi="Arial" w:cs="Arial"/>
          <w:szCs w:val="22"/>
        </w:rPr>
        <w:t>- vzácné (u více než 1, ale méně než 10 z 10000 ošetřených zvířat)</w:t>
      </w:r>
    </w:p>
    <w:p w:rsidR="00855B9A" w:rsidRPr="00731AF3" w:rsidRDefault="00855B9A" w:rsidP="00855B9A">
      <w:pPr>
        <w:rPr>
          <w:rFonts w:ascii="Arial" w:hAnsi="Arial" w:cs="Arial"/>
          <w:szCs w:val="22"/>
        </w:rPr>
      </w:pPr>
      <w:r w:rsidRPr="00731AF3">
        <w:rPr>
          <w:rFonts w:ascii="Arial" w:hAnsi="Arial" w:cs="Arial"/>
          <w:szCs w:val="22"/>
        </w:rPr>
        <w:t>- velmi vzácné (u méně než 1 z 10000 ošetřených zvířat, včetně ojedinělých hlášení).</w:t>
      </w:r>
    </w:p>
    <w:p w:rsidR="00855B9A" w:rsidRPr="00E62BC7" w:rsidRDefault="00855B9A" w:rsidP="00063EEB">
      <w:pPr>
        <w:ind w:left="0" w:firstLine="0"/>
        <w:jc w:val="both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</w:p>
    <w:p w:rsidR="00993B49" w:rsidRDefault="00855B9A" w:rsidP="009B23D5">
      <w:pPr>
        <w:tabs>
          <w:tab w:val="left" w:pos="0"/>
        </w:tabs>
        <w:ind w:left="0" w:firstLine="0"/>
        <w:rPr>
          <w:rFonts w:ascii="Arial" w:hAnsi="Arial" w:cs="Arial"/>
          <w:szCs w:val="22"/>
        </w:rPr>
      </w:pPr>
      <w:r w:rsidRPr="00855B9A">
        <w:rPr>
          <w:rFonts w:ascii="Arial" w:hAnsi="Arial" w:cs="Arial"/>
          <w:szCs w:val="22"/>
        </w:rPr>
        <w:t xml:space="preserve">Jestliže zaznamenáte </w:t>
      </w:r>
      <w:r w:rsidR="00166FE0">
        <w:rPr>
          <w:rFonts w:ascii="Arial" w:hAnsi="Arial" w:cs="Arial"/>
          <w:szCs w:val="22"/>
        </w:rPr>
        <w:t>jakékoliv</w:t>
      </w:r>
      <w:r w:rsidRPr="00855B9A">
        <w:rPr>
          <w:rFonts w:ascii="Arial" w:hAnsi="Arial" w:cs="Arial"/>
          <w:szCs w:val="22"/>
        </w:rPr>
        <w:t xml:space="preserve"> nežádoucí účink</w:t>
      </w:r>
      <w:r w:rsidR="00166FE0">
        <w:rPr>
          <w:rFonts w:ascii="Arial" w:hAnsi="Arial" w:cs="Arial"/>
          <w:szCs w:val="22"/>
        </w:rPr>
        <w:t>y,</w:t>
      </w:r>
      <w:r w:rsidRPr="00855B9A">
        <w:rPr>
          <w:rFonts w:ascii="Arial" w:hAnsi="Arial" w:cs="Arial"/>
          <w:szCs w:val="22"/>
        </w:rPr>
        <w:t xml:space="preserve"> a to i takové, které nejsou uvedeny v této příbalové informaci, nebo si myslíte, že </w:t>
      </w:r>
      <w:r w:rsidR="00166FE0">
        <w:rPr>
          <w:rFonts w:ascii="Arial" w:hAnsi="Arial" w:cs="Arial"/>
          <w:szCs w:val="22"/>
        </w:rPr>
        <w:t>léčivý přípravek není účinný</w:t>
      </w:r>
      <w:r w:rsidRPr="00855B9A">
        <w:rPr>
          <w:rFonts w:ascii="Arial" w:hAnsi="Arial" w:cs="Arial"/>
          <w:szCs w:val="22"/>
        </w:rPr>
        <w:t>, oznamte to, prosím, vašemu veterinárnímu lékaři.</w:t>
      </w:r>
    </w:p>
    <w:p w:rsidR="00993B49" w:rsidRPr="00993B49" w:rsidRDefault="00993B49" w:rsidP="009B23D5">
      <w:pPr>
        <w:ind w:left="0" w:firstLine="0"/>
        <w:rPr>
          <w:rFonts w:ascii="Arial" w:hAnsi="Arial" w:cs="Arial"/>
          <w:szCs w:val="22"/>
        </w:rPr>
      </w:pPr>
      <w:r w:rsidRPr="00993B49">
        <w:rPr>
          <w:rFonts w:ascii="Arial" w:hAnsi="Arial" w:cs="Arial"/>
          <w:szCs w:val="22"/>
        </w:rPr>
        <w:t xml:space="preserve">Nežádoucí účinky můžete </w:t>
      </w:r>
      <w:r>
        <w:rPr>
          <w:rFonts w:ascii="Arial" w:hAnsi="Arial" w:cs="Arial"/>
          <w:szCs w:val="22"/>
        </w:rPr>
        <w:t xml:space="preserve">také </w:t>
      </w:r>
      <w:r w:rsidRPr="00993B49">
        <w:rPr>
          <w:rFonts w:ascii="Arial" w:hAnsi="Arial" w:cs="Arial"/>
          <w:szCs w:val="22"/>
        </w:rPr>
        <w:t xml:space="preserve">hlásit prostřednictvím formuláře na webových stránkách ÚSKVBL elektronicky, nebo také přímo na adresu: </w:t>
      </w:r>
    </w:p>
    <w:p w:rsidR="00993B49" w:rsidRPr="00993B49" w:rsidRDefault="00993B49" w:rsidP="00993B49">
      <w:pPr>
        <w:rPr>
          <w:rFonts w:ascii="Arial" w:hAnsi="Arial" w:cs="Arial"/>
          <w:szCs w:val="22"/>
        </w:rPr>
      </w:pPr>
      <w:r w:rsidRPr="00993B49">
        <w:rPr>
          <w:rFonts w:ascii="Arial" w:hAnsi="Arial" w:cs="Arial"/>
          <w:szCs w:val="22"/>
        </w:rPr>
        <w:t xml:space="preserve">Ústav pro státní kontrolu veterinárních biopreparátů a léčiv </w:t>
      </w:r>
    </w:p>
    <w:p w:rsidR="00993B49" w:rsidRPr="00993B49" w:rsidRDefault="00993B49" w:rsidP="00993B49">
      <w:pPr>
        <w:rPr>
          <w:rFonts w:ascii="Arial" w:hAnsi="Arial" w:cs="Arial"/>
          <w:szCs w:val="22"/>
        </w:rPr>
      </w:pPr>
      <w:r w:rsidRPr="00993B49">
        <w:rPr>
          <w:rFonts w:ascii="Arial" w:hAnsi="Arial" w:cs="Arial"/>
          <w:szCs w:val="22"/>
        </w:rPr>
        <w:t xml:space="preserve">Hudcova </w:t>
      </w:r>
      <w:proofErr w:type="gramStart"/>
      <w:r w:rsidRPr="00993B49">
        <w:rPr>
          <w:rFonts w:ascii="Arial" w:hAnsi="Arial" w:cs="Arial"/>
          <w:szCs w:val="22"/>
        </w:rPr>
        <w:t>56a</w:t>
      </w:r>
      <w:proofErr w:type="gramEnd"/>
    </w:p>
    <w:p w:rsidR="00993B49" w:rsidRPr="00993B49" w:rsidRDefault="00993B49" w:rsidP="00993B49">
      <w:pPr>
        <w:rPr>
          <w:rFonts w:ascii="Arial" w:hAnsi="Arial" w:cs="Arial"/>
          <w:szCs w:val="22"/>
        </w:rPr>
      </w:pPr>
      <w:r w:rsidRPr="00993B49">
        <w:rPr>
          <w:rFonts w:ascii="Arial" w:hAnsi="Arial" w:cs="Arial"/>
          <w:szCs w:val="22"/>
        </w:rPr>
        <w:t>621 00 Brno</w:t>
      </w:r>
    </w:p>
    <w:p w:rsidR="00993B49" w:rsidRPr="00993B49" w:rsidRDefault="00993B49" w:rsidP="00993B49">
      <w:pPr>
        <w:rPr>
          <w:rFonts w:ascii="Arial" w:hAnsi="Arial" w:cs="Arial"/>
          <w:szCs w:val="22"/>
        </w:rPr>
      </w:pPr>
      <w:r w:rsidRPr="00993B49">
        <w:rPr>
          <w:rFonts w:ascii="Arial" w:hAnsi="Arial" w:cs="Arial"/>
          <w:szCs w:val="22"/>
        </w:rPr>
        <w:t>Mail: adr@uskvbl.cz</w:t>
      </w:r>
    </w:p>
    <w:p w:rsidR="00993B49" w:rsidRDefault="00993B49" w:rsidP="00993B49">
      <w:pPr>
        <w:rPr>
          <w:rFonts w:ascii="Arial" w:hAnsi="Arial" w:cs="Arial"/>
          <w:szCs w:val="22"/>
        </w:rPr>
      </w:pPr>
      <w:r w:rsidRPr="00993B49">
        <w:rPr>
          <w:rFonts w:ascii="Arial" w:hAnsi="Arial" w:cs="Arial"/>
          <w:szCs w:val="22"/>
        </w:rPr>
        <w:t>Webové stránky: http://www.uskvbl.cz/cs/farmakovigilance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7.</w:t>
      </w:r>
      <w:r w:rsidRPr="00E62BC7">
        <w:rPr>
          <w:rFonts w:ascii="Arial" w:hAnsi="Arial" w:cs="Arial"/>
          <w:b/>
          <w:szCs w:val="22"/>
        </w:rPr>
        <w:tab/>
        <w:t>CÍLOVÝ DRUH ZVÍŘAT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750CCE" w:rsidP="00B443B3">
      <w:pPr>
        <w:rPr>
          <w:rFonts w:ascii="Arial" w:hAnsi="Arial" w:cs="Arial"/>
          <w:szCs w:val="22"/>
          <w:lang w:eastAsia="fr-FR"/>
        </w:rPr>
      </w:pPr>
      <w:r w:rsidRPr="00E62BC7">
        <w:rPr>
          <w:rFonts w:ascii="Arial" w:hAnsi="Arial" w:cs="Arial"/>
          <w:szCs w:val="22"/>
          <w:lang w:eastAsia="fr-FR"/>
        </w:rPr>
        <w:t>P</w:t>
      </w:r>
      <w:r w:rsidR="00063EEB" w:rsidRPr="00E62BC7">
        <w:rPr>
          <w:rFonts w:ascii="Arial" w:hAnsi="Arial" w:cs="Arial"/>
          <w:szCs w:val="22"/>
          <w:lang w:eastAsia="fr-FR"/>
        </w:rPr>
        <w:t>s</w:t>
      </w:r>
      <w:r w:rsidR="00B443B3">
        <w:rPr>
          <w:rFonts w:ascii="Arial" w:hAnsi="Arial" w:cs="Arial"/>
          <w:szCs w:val="22"/>
          <w:lang w:eastAsia="fr-FR"/>
        </w:rPr>
        <w:t>i</w:t>
      </w:r>
      <w:r>
        <w:rPr>
          <w:rFonts w:ascii="Arial" w:hAnsi="Arial" w:cs="Arial"/>
          <w:szCs w:val="22"/>
          <w:lang w:eastAsia="fr-FR"/>
        </w:rPr>
        <w:t xml:space="preserve"> 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8.</w:t>
      </w:r>
      <w:r w:rsidRPr="00E62BC7">
        <w:rPr>
          <w:rFonts w:ascii="Arial" w:hAnsi="Arial" w:cs="Arial"/>
          <w:b/>
          <w:szCs w:val="22"/>
        </w:rPr>
        <w:tab/>
        <w:t>DÁVKOVÁNÍ PRO KAŽDÝ DRUH, CESTA(Y) A ZPŮSOB PODÁNÍ</w:t>
      </w:r>
    </w:p>
    <w:p w:rsidR="00890DE0" w:rsidRPr="00E62BC7" w:rsidRDefault="00890DE0" w:rsidP="00063EEB">
      <w:pPr>
        <w:rPr>
          <w:rFonts w:ascii="Arial" w:hAnsi="Arial" w:cs="Arial"/>
          <w:szCs w:val="22"/>
        </w:rPr>
      </w:pPr>
    </w:p>
    <w:p w:rsidR="0074182B" w:rsidRPr="00DD762A" w:rsidRDefault="0074182B" w:rsidP="0074182B">
      <w:pPr>
        <w:ind w:left="0" w:firstLine="0"/>
        <w:rPr>
          <w:rFonts w:ascii="Arial" w:hAnsi="Arial" w:cs="Arial"/>
        </w:rPr>
      </w:pPr>
      <w:r w:rsidRPr="00DD762A">
        <w:rPr>
          <w:rFonts w:ascii="Arial" w:hAnsi="Arial" w:cs="Arial"/>
        </w:rPr>
        <w:t>Perorální podání</w:t>
      </w:r>
    </w:p>
    <w:p w:rsidR="00B443B3" w:rsidRPr="00E62BC7" w:rsidRDefault="00B443B3" w:rsidP="00B443B3">
      <w:pPr>
        <w:pStyle w:val="Zpa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Doporučen</w:t>
      </w:r>
      <w:r w:rsidR="00993B49">
        <w:rPr>
          <w:rFonts w:ascii="Arial" w:hAnsi="Arial" w:cs="Arial"/>
          <w:color w:val="000000"/>
          <w:sz w:val="22"/>
          <w:szCs w:val="22"/>
          <w:lang w:eastAsia="cs-CZ"/>
        </w:rPr>
        <w:t>á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dávka přípravku u psů při perorálním podání je 10 mg amoxicilinu / 2,5 mg kyseliny klavulanové na jeden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é hmotnosti dvakrát denně, tj. 1 tableta na </w:t>
      </w:r>
      <w:r w:rsidR="00440D7A">
        <w:rPr>
          <w:rFonts w:ascii="Arial" w:hAnsi="Arial" w:cs="Arial"/>
          <w:color w:val="000000"/>
          <w:sz w:val="22"/>
          <w:szCs w:val="22"/>
          <w:lang w:eastAsia="cs-CZ"/>
        </w:rPr>
        <w:t>50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každých 12 hodin – viz následující tabulk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a</w:t>
      </w:r>
      <w:r w:rsidRPr="00E62BC7">
        <w:rPr>
          <w:rFonts w:ascii="Arial" w:hAnsi="Arial" w:cs="Arial"/>
          <w:bCs/>
          <w:sz w:val="22"/>
          <w:szCs w:val="22"/>
        </w:rPr>
        <w:t>:</w:t>
      </w:r>
    </w:p>
    <w:p w:rsidR="0009270A" w:rsidRDefault="00B443B3" w:rsidP="0009270A">
      <w:pPr>
        <w:tabs>
          <w:tab w:val="left" w:pos="344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ab/>
      </w:r>
    </w:p>
    <w:tbl>
      <w:tblPr>
        <w:tblW w:w="0" w:type="auto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673"/>
      </w:tblGrid>
      <w:tr w:rsidR="0009270A" w:rsidRPr="0074182B" w:rsidTr="002727B9">
        <w:trPr>
          <w:trHeight w:val="649"/>
        </w:trPr>
        <w:tc>
          <w:tcPr>
            <w:tcW w:w="1939" w:type="dxa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</w:rPr>
            </w:pPr>
            <w:r w:rsidRPr="00410077">
              <w:rPr>
                <w:rFonts w:ascii="Arial" w:hAnsi="Arial" w:cs="Arial"/>
                <w:szCs w:val="22"/>
              </w:rPr>
              <w:t>Hmotnost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410077">
              <w:rPr>
                <w:rFonts w:ascii="Arial" w:hAnsi="Arial" w:cs="Arial"/>
                <w:szCs w:val="22"/>
              </w:rPr>
              <w:t>(kg)</w:t>
            </w:r>
          </w:p>
        </w:tc>
        <w:tc>
          <w:tcPr>
            <w:tcW w:w="4673" w:type="dxa"/>
          </w:tcPr>
          <w:p w:rsidR="0009270A" w:rsidRPr="0074182B" w:rsidRDefault="0009270A" w:rsidP="00A402E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hps"/>
                <w:rFonts w:ascii="Arial" w:hAnsi="Arial" w:cs="Arial"/>
                <w:color w:val="333333"/>
              </w:rPr>
              <w:t>Počet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E442FD">
              <w:rPr>
                <w:rStyle w:val="hps"/>
                <w:rFonts w:ascii="Arial" w:hAnsi="Arial" w:cs="Arial"/>
                <w:color w:val="333333"/>
                <w:szCs w:val="22"/>
              </w:rPr>
              <w:t>tablet</w:t>
            </w:r>
            <w:r w:rsidR="00E442FD" w:rsidRPr="002727B9">
              <w:rPr>
                <w:rFonts w:ascii="Arial" w:hAnsi="Arial" w:cs="Arial"/>
                <w:bCs/>
                <w:szCs w:val="22"/>
                <w:lang w:eastAsia="cs-CZ"/>
              </w:rPr>
              <w:t xml:space="preserve"> </w:t>
            </w:r>
            <w:r w:rsidR="00A402E6">
              <w:rPr>
                <w:rFonts w:ascii="Arial" w:hAnsi="Arial" w:cs="Arial"/>
                <w:bCs/>
                <w:szCs w:val="22"/>
                <w:lang w:eastAsia="cs-CZ"/>
              </w:rPr>
              <w:t>podávaných</w:t>
            </w:r>
            <w:r w:rsidR="00E442FD" w:rsidRPr="002727B9">
              <w:rPr>
                <w:rFonts w:ascii="Arial" w:hAnsi="Arial" w:cs="Arial"/>
                <w:bCs/>
                <w:szCs w:val="22"/>
                <w:lang w:eastAsia="cs-CZ"/>
              </w:rPr>
              <w:t xml:space="preserve"> </w:t>
            </w:r>
            <w:r w:rsidRPr="00E442FD">
              <w:rPr>
                <w:rStyle w:val="hps"/>
                <w:rFonts w:ascii="Arial" w:hAnsi="Arial" w:cs="Arial"/>
                <w:color w:val="333333"/>
                <w:szCs w:val="22"/>
              </w:rPr>
              <w:t>dvakrát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hps"/>
                <w:rFonts w:ascii="Arial" w:hAnsi="Arial" w:cs="Arial"/>
                <w:color w:val="333333"/>
              </w:rPr>
              <w:t>denně</w:t>
            </w:r>
          </w:p>
        </w:tc>
      </w:tr>
      <w:tr w:rsidR="0009270A" w:rsidRPr="00470D8A" w:rsidTr="002727B9">
        <w:tc>
          <w:tcPr>
            <w:tcW w:w="1939" w:type="dxa"/>
            <w:tcBorders>
              <w:bottom w:val="single" w:sz="4" w:space="0" w:color="auto"/>
            </w:tcBorders>
          </w:tcPr>
          <w:p w:rsidR="0009270A" w:rsidRPr="00470D8A" w:rsidRDefault="0009270A" w:rsidP="00141303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 xml:space="preserve">&gt; 9 </w:t>
            </w:r>
            <w:r>
              <w:rPr>
                <w:rFonts w:ascii="Arial" w:hAnsi="Arial" w:cs="Arial"/>
                <w:szCs w:val="22"/>
                <w:lang w:val="en-GB"/>
              </w:rPr>
              <w:t>do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12</w:t>
            </w:r>
            <w:r w:rsidR="00E442FD">
              <w:rPr>
                <w:rFonts w:ascii="Arial" w:hAnsi="Arial" w:cs="Arial"/>
                <w:szCs w:val="22"/>
                <w:lang w:val="en-GB"/>
              </w:rPr>
              <w:t>,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5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¼</w:t>
            </w:r>
          </w:p>
        </w:tc>
      </w:tr>
      <w:tr w:rsidR="0009270A" w:rsidRPr="00470D8A" w:rsidTr="002727B9">
        <w:tc>
          <w:tcPr>
            <w:tcW w:w="1939" w:type="dxa"/>
            <w:shd w:val="pct25" w:color="auto" w:fill="auto"/>
          </w:tcPr>
          <w:p w:rsidR="0009270A" w:rsidRPr="00470D8A" w:rsidRDefault="0009270A" w:rsidP="00141303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12</w:t>
            </w:r>
            <w:r w:rsidR="00E442FD">
              <w:rPr>
                <w:rFonts w:ascii="Arial" w:hAnsi="Arial" w:cs="Arial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Cs w:val="22"/>
                <w:lang w:val="en-GB"/>
              </w:rPr>
              <w:t>6 do 20</w:t>
            </w:r>
          </w:p>
        </w:tc>
        <w:tc>
          <w:tcPr>
            <w:tcW w:w="4673" w:type="dxa"/>
            <w:shd w:val="pct25" w:color="auto" w:fill="auto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Style w:val="hps"/>
                <w:rFonts w:ascii="Arial" w:hAnsi="Arial" w:cs="Arial"/>
                <w:color w:val="333333"/>
              </w:rPr>
              <w:t>použití</w:t>
            </w:r>
            <w:r>
              <w:rPr>
                <w:rStyle w:val="shorttext"/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szCs w:val="22"/>
                <w:lang w:val="en-GB"/>
              </w:rPr>
              <w:t>250 mg</w:t>
            </w:r>
          </w:p>
        </w:tc>
      </w:tr>
      <w:tr w:rsidR="0009270A" w:rsidRPr="00470D8A" w:rsidTr="002727B9">
        <w:tc>
          <w:tcPr>
            <w:tcW w:w="1939" w:type="dxa"/>
          </w:tcPr>
          <w:p w:rsidR="0009270A" w:rsidRPr="00470D8A" w:rsidRDefault="0009270A" w:rsidP="00141303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20</w:t>
            </w:r>
            <w:r w:rsidR="00E442FD">
              <w:rPr>
                <w:rFonts w:ascii="Arial" w:hAnsi="Arial" w:cs="Arial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Cs w:val="22"/>
                <w:lang w:val="en-GB"/>
              </w:rPr>
              <w:t>1 do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25</w:t>
            </w:r>
          </w:p>
        </w:tc>
        <w:tc>
          <w:tcPr>
            <w:tcW w:w="4673" w:type="dxa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½</w:t>
            </w:r>
          </w:p>
        </w:tc>
      </w:tr>
      <w:tr w:rsidR="0009270A" w:rsidRPr="00470D8A" w:rsidTr="002727B9">
        <w:tc>
          <w:tcPr>
            <w:tcW w:w="1939" w:type="dxa"/>
          </w:tcPr>
          <w:p w:rsidR="0009270A" w:rsidRPr="00470D8A" w:rsidRDefault="0009270A" w:rsidP="00141303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25</w:t>
            </w:r>
            <w:r w:rsidR="00E442FD">
              <w:rPr>
                <w:rFonts w:ascii="Arial" w:hAnsi="Arial" w:cs="Arial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Cs w:val="22"/>
                <w:lang w:val="en-GB"/>
              </w:rPr>
              <w:t>1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Cs w:val="22"/>
                <w:lang w:val="en-GB"/>
              </w:rPr>
              <w:t>do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37</w:t>
            </w:r>
            <w:r w:rsidR="00E442FD">
              <w:rPr>
                <w:rFonts w:ascii="Arial" w:hAnsi="Arial" w:cs="Arial"/>
                <w:szCs w:val="22"/>
                <w:lang w:val="en-GB"/>
              </w:rPr>
              <w:t>,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5 </w:t>
            </w:r>
          </w:p>
        </w:tc>
        <w:tc>
          <w:tcPr>
            <w:tcW w:w="4673" w:type="dxa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¾</w:t>
            </w:r>
          </w:p>
        </w:tc>
      </w:tr>
      <w:tr w:rsidR="0009270A" w:rsidRPr="00470D8A" w:rsidTr="002727B9">
        <w:tc>
          <w:tcPr>
            <w:tcW w:w="1939" w:type="dxa"/>
          </w:tcPr>
          <w:p w:rsidR="0009270A" w:rsidRPr="00470D8A" w:rsidRDefault="0009270A" w:rsidP="00141303">
            <w:pPr>
              <w:tabs>
                <w:tab w:val="left" w:pos="240"/>
                <w:tab w:val="left" w:pos="708"/>
                <w:tab w:val="center" w:pos="750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>37</w:t>
            </w:r>
            <w:r w:rsidR="00E442FD">
              <w:rPr>
                <w:rFonts w:ascii="Arial" w:hAnsi="Arial" w:cs="Arial"/>
                <w:color w:val="000000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color w:val="000000"/>
                <w:szCs w:val="22"/>
                <w:lang w:val="en-GB"/>
              </w:rPr>
              <w:t>6</w:t>
            </w: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Cs w:val="22"/>
                <w:lang w:val="en-GB"/>
              </w:rPr>
              <w:t>do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>50</w:t>
            </w:r>
          </w:p>
        </w:tc>
        <w:tc>
          <w:tcPr>
            <w:tcW w:w="4673" w:type="dxa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1</w:t>
            </w:r>
          </w:p>
        </w:tc>
      </w:tr>
      <w:tr w:rsidR="0009270A" w:rsidRPr="00470D8A" w:rsidTr="002727B9">
        <w:tc>
          <w:tcPr>
            <w:tcW w:w="1939" w:type="dxa"/>
          </w:tcPr>
          <w:p w:rsidR="0009270A" w:rsidRPr="00470D8A" w:rsidRDefault="0009270A" w:rsidP="00141303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>50</w:t>
            </w:r>
            <w:r w:rsidR="00E442FD">
              <w:rPr>
                <w:rFonts w:ascii="Arial" w:hAnsi="Arial" w:cs="Arial"/>
                <w:color w:val="000000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color w:val="000000"/>
                <w:szCs w:val="22"/>
                <w:lang w:val="en-GB"/>
              </w:rPr>
              <w:t>1</w:t>
            </w: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Cs w:val="22"/>
                <w:lang w:val="en-GB"/>
              </w:rPr>
              <w:t>do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>62</w:t>
            </w:r>
            <w:r w:rsidR="00E442FD">
              <w:rPr>
                <w:rFonts w:ascii="Arial" w:hAnsi="Arial" w:cs="Arial"/>
                <w:color w:val="000000"/>
                <w:szCs w:val="22"/>
                <w:lang w:val="en-GB"/>
              </w:rPr>
              <w:t>,</w:t>
            </w:r>
            <w:r w:rsidRPr="00470D8A">
              <w:rPr>
                <w:rFonts w:ascii="Arial" w:hAnsi="Arial" w:cs="Arial"/>
                <w:color w:val="000000"/>
                <w:szCs w:val="22"/>
                <w:lang w:val="en-GB"/>
              </w:rPr>
              <w:t>5</w:t>
            </w:r>
          </w:p>
        </w:tc>
        <w:tc>
          <w:tcPr>
            <w:tcW w:w="4673" w:type="dxa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1¼</w:t>
            </w:r>
          </w:p>
        </w:tc>
      </w:tr>
      <w:tr w:rsidR="0009270A" w:rsidRPr="00470D8A" w:rsidTr="002727B9">
        <w:tc>
          <w:tcPr>
            <w:tcW w:w="1939" w:type="dxa"/>
          </w:tcPr>
          <w:p w:rsidR="0009270A" w:rsidRPr="00470D8A" w:rsidRDefault="0009270A" w:rsidP="00141303">
            <w:pPr>
              <w:tabs>
                <w:tab w:val="left" w:pos="708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62</w:t>
            </w:r>
            <w:r w:rsidR="00E442FD">
              <w:rPr>
                <w:rFonts w:ascii="Arial" w:hAnsi="Arial" w:cs="Arial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Cs w:val="22"/>
                <w:lang w:val="en-GB"/>
              </w:rPr>
              <w:t>6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Cs w:val="22"/>
                <w:lang w:val="en-GB"/>
              </w:rPr>
              <w:t>do</w:t>
            </w:r>
            <w:r w:rsidRPr="00470D8A">
              <w:rPr>
                <w:rFonts w:ascii="Arial" w:hAnsi="Arial" w:cs="Arial"/>
                <w:szCs w:val="22"/>
                <w:lang w:val="en-GB"/>
              </w:rPr>
              <w:t xml:space="preserve"> 75</w:t>
            </w:r>
          </w:p>
        </w:tc>
        <w:tc>
          <w:tcPr>
            <w:tcW w:w="4673" w:type="dxa"/>
          </w:tcPr>
          <w:p w:rsidR="0009270A" w:rsidRPr="00470D8A" w:rsidRDefault="0009270A" w:rsidP="00141303">
            <w:pPr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470D8A">
              <w:rPr>
                <w:rFonts w:ascii="Arial" w:hAnsi="Arial" w:cs="Arial"/>
                <w:szCs w:val="22"/>
                <w:lang w:val="en-GB"/>
              </w:rPr>
              <w:t>1½</w:t>
            </w:r>
          </w:p>
        </w:tc>
      </w:tr>
    </w:tbl>
    <w:p w:rsidR="0009270A" w:rsidRPr="00E62BC7" w:rsidRDefault="0009270A" w:rsidP="0009270A">
      <w:pPr>
        <w:ind w:left="0" w:firstLine="0"/>
        <w:jc w:val="both"/>
        <w:rPr>
          <w:rFonts w:ascii="Arial" w:hAnsi="Arial" w:cs="Arial"/>
          <w:color w:val="000000"/>
          <w:szCs w:val="22"/>
          <w:lang w:val="en-GB"/>
        </w:rPr>
      </w:pPr>
    </w:p>
    <w:p w:rsidR="00B443B3" w:rsidRPr="00E62BC7" w:rsidRDefault="00B443B3" w:rsidP="0009270A">
      <w:pPr>
        <w:tabs>
          <w:tab w:val="left" w:pos="3443"/>
        </w:tabs>
        <w:ind w:left="0" w:firstLine="0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</w:t>
      </w:r>
      <w:r>
        <w:rPr>
          <w:rFonts w:ascii="Arial" w:hAnsi="Arial" w:cs="Arial"/>
          <w:color w:val="000000"/>
          <w:lang w:eastAsia="cs-CZ"/>
        </w:rPr>
        <w:t xml:space="preserve">závažných </w:t>
      </w:r>
      <w:r w:rsidRPr="00E62BC7">
        <w:rPr>
          <w:rFonts w:ascii="Arial" w:hAnsi="Arial" w:cs="Arial"/>
          <w:color w:val="000000"/>
          <w:lang w:eastAsia="cs-CZ"/>
        </w:rPr>
        <w:t xml:space="preserve">případech může být dávka podle uvážení </w:t>
      </w:r>
      <w:r>
        <w:rPr>
          <w:rFonts w:ascii="Arial" w:hAnsi="Arial" w:cs="Arial"/>
          <w:color w:val="000000"/>
          <w:lang w:eastAsia="cs-CZ"/>
        </w:rPr>
        <w:t xml:space="preserve">ošetřujícího </w:t>
      </w:r>
      <w:r w:rsidRPr="00E62BC7">
        <w:rPr>
          <w:rFonts w:ascii="Arial" w:hAnsi="Arial" w:cs="Arial"/>
          <w:color w:val="000000"/>
          <w:lang w:eastAsia="cs-CZ"/>
        </w:rPr>
        <w:t xml:space="preserve">lékaře zdvojnásobena na 20 mg amoxicilinu / 5 mg kyseliny klavulanové / kg </w:t>
      </w:r>
      <w:r>
        <w:rPr>
          <w:rFonts w:ascii="Arial" w:hAnsi="Arial" w:cs="Arial"/>
          <w:color w:val="000000"/>
          <w:lang w:eastAsia="cs-CZ"/>
        </w:rPr>
        <w:t>živ</w:t>
      </w:r>
      <w:r w:rsidRPr="00E62BC7">
        <w:rPr>
          <w:rFonts w:ascii="Arial" w:hAnsi="Arial" w:cs="Arial"/>
          <w:color w:val="000000"/>
          <w:lang w:eastAsia="cs-CZ"/>
        </w:rPr>
        <w:t>é hmotnosti dvakrát denně.</w:t>
      </w:r>
    </w:p>
    <w:p w:rsidR="00B443B3" w:rsidRPr="0077740E" w:rsidRDefault="00B443B3" w:rsidP="00B443B3">
      <w:pPr>
        <w:ind w:left="0" w:firstLine="0"/>
        <w:jc w:val="both"/>
        <w:rPr>
          <w:rFonts w:ascii="Arial" w:hAnsi="Arial" w:cs="Arial"/>
          <w:color w:val="000000"/>
          <w:szCs w:val="22"/>
        </w:rPr>
      </w:pPr>
    </w:p>
    <w:p w:rsidR="00B443B3" w:rsidRPr="00E62BC7" w:rsidRDefault="00B443B3" w:rsidP="00B443B3">
      <w:pPr>
        <w:pStyle w:val="Zhlav"/>
        <w:tabs>
          <w:tab w:val="left" w:pos="0"/>
        </w:tabs>
        <w:ind w:left="0" w:firstLine="0"/>
        <w:rPr>
          <w:rFonts w:ascii="Arial" w:hAnsi="Arial" w:cs="Arial"/>
          <w:iCs/>
          <w:sz w:val="22"/>
          <w:szCs w:val="22"/>
          <w:u w:val="single"/>
        </w:rPr>
      </w:pPr>
      <w:r w:rsidRPr="00E62BC7">
        <w:rPr>
          <w:rFonts w:ascii="Arial" w:hAnsi="Arial" w:cs="Arial"/>
          <w:iCs/>
          <w:sz w:val="22"/>
          <w:szCs w:val="22"/>
          <w:u w:val="single"/>
        </w:rPr>
        <w:t>Délka léčby</w:t>
      </w:r>
    </w:p>
    <w:p w:rsidR="00C2087C" w:rsidRPr="00C2087C" w:rsidRDefault="00C2087C" w:rsidP="00B443B3">
      <w:pPr>
        <w:ind w:left="0" w:firstLine="0"/>
        <w:jc w:val="both"/>
        <w:rPr>
          <w:rFonts w:ascii="Arial" w:hAnsi="Arial" w:cs="Arial"/>
          <w:bCs/>
          <w:szCs w:val="22"/>
        </w:rPr>
      </w:pPr>
      <w:r w:rsidRPr="00C2087C">
        <w:rPr>
          <w:rFonts w:ascii="Arial" w:hAnsi="Arial" w:cs="Arial"/>
          <w:bCs/>
          <w:szCs w:val="22"/>
        </w:rPr>
        <w:t>Většina běžných případů odpovídá na 5-</w:t>
      </w:r>
      <w:proofErr w:type="gramStart"/>
      <w:r w:rsidRPr="00C2087C">
        <w:rPr>
          <w:rFonts w:ascii="Arial" w:hAnsi="Arial" w:cs="Arial"/>
          <w:bCs/>
          <w:szCs w:val="22"/>
        </w:rPr>
        <w:t>7</w:t>
      </w:r>
      <w:r w:rsidR="001E657E">
        <w:rPr>
          <w:rFonts w:ascii="Arial" w:hAnsi="Arial" w:cs="Arial"/>
          <w:bCs/>
          <w:szCs w:val="22"/>
        </w:rPr>
        <w:t xml:space="preserve"> </w:t>
      </w:r>
      <w:r w:rsidRPr="00C2087C">
        <w:rPr>
          <w:rFonts w:ascii="Arial" w:hAnsi="Arial" w:cs="Arial"/>
          <w:bCs/>
          <w:szCs w:val="22"/>
        </w:rPr>
        <w:t>denní</w:t>
      </w:r>
      <w:proofErr w:type="gramEnd"/>
      <w:r w:rsidRPr="00C2087C">
        <w:rPr>
          <w:rFonts w:ascii="Arial" w:hAnsi="Arial" w:cs="Arial"/>
          <w:bCs/>
          <w:szCs w:val="22"/>
        </w:rPr>
        <w:t xml:space="preserve"> léčbu.</w:t>
      </w:r>
    </w:p>
    <w:p w:rsidR="00B443B3" w:rsidRPr="00E62BC7" w:rsidRDefault="00B443B3" w:rsidP="00B443B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chronických případech je doporučována delší léčba. Za těchto okolností musí být celková délka léčby stanovena </w:t>
      </w:r>
      <w:r>
        <w:rPr>
          <w:rFonts w:ascii="Arial" w:hAnsi="Arial" w:cs="Arial"/>
          <w:color w:val="000000"/>
          <w:lang w:eastAsia="cs-CZ"/>
        </w:rPr>
        <w:t xml:space="preserve">ošetřujícím </w:t>
      </w:r>
      <w:r w:rsidRPr="00E62BC7">
        <w:rPr>
          <w:rFonts w:ascii="Arial" w:hAnsi="Arial" w:cs="Arial"/>
          <w:color w:val="000000"/>
          <w:lang w:eastAsia="cs-CZ"/>
        </w:rPr>
        <w:t>lékařem, avšak měla by být dostatečně dlouhá, aby zajistila úplné vy</w:t>
      </w:r>
      <w:r>
        <w:rPr>
          <w:rFonts w:ascii="Arial" w:hAnsi="Arial" w:cs="Arial"/>
          <w:color w:val="000000"/>
          <w:lang w:eastAsia="cs-CZ"/>
        </w:rPr>
        <w:t>léčení</w:t>
      </w:r>
      <w:r w:rsidRPr="00E62BC7">
        <w:rPr>
          <w:rFonts w:ascii="Arial" w:hAnsi="Arial" w:cs="Arial"/>
          <w:color w:val="000000"/>
          <w:lang w:eastAsia="cs-CZ"/>
        </w:rPr>
        <w:t xml:space="preserve"> bakteriálního onemocnění</w:t>
      </w:r>
      <w:r w:rsidRPr="00E62BC7">
        <w:rPr>
          <w:rFonts w:ascii="Arial" w:hAnsi="Arial" w:cs="Arial"/>
          <w:szCs w:val="22"/>
        </w:rPr>
        <w:t>.</w:t>
      </w:r>
    </w:p>
    <w:p w:rsidR="00B443B3" w:rsidRPr="00E62BC7" w:rsidRDefault="00B443B3" w:rsidP="00B443B3">
      <w:pPr>
        <w:ind w:left="0" w:firstLine="0"/>
        <w:rPr>
          <w:rFonts w:ascii="Arial" w:hAnsi="Arial" w:cs="Arial"/>
          <w:szCs w:val="22"/>
        </w:rPr>
      </w:pPr>
    </w:p>
    <w:p w:rsidR="00B443B3" w:rsidRPr="00E62BC7" w:rsidRDefault="00B443B3" w:rsidP="00B443B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Pro zajištění správného dávkování je nezbytné zjistit co nejpřesněji </w:t>
      </w:r>
      <w:r>
        <w:rPr>
          <w:rFonts w:ascii="Arial" w:hAnsi="Arial" w:cs="Arial"/>
          <w:color w:val="000000"/>
          <w:lang w:eastAsia="cs-CZ"/>
        </w:rPr>
        <w:t>živ</w:t>
      </w:r>
      <w:r w:rsidRPr="00E62BC7">
        <w:rPr>
          <w:rFonts w:ascii="Arial" w:hAnsi="Arial" w:cs="Arial"/>
          <w:color w:val="000000"/>
          <w:lang w:eastAsia="cs-CZ"/>
        </w:rPr>
        <w:t>ou hmotnost zvířete, aby nedošlo k poddávkování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9.</w:t>
      </w:r>
      <w:r w:rsidRPr="00E62BC7">
        <w:rPr>
          <w:rFonts w:ascii="Arial" w:hAnsi="Arial" w:cs="Arial"/>
          <w:b/>
          <w:szCs w:val="22"/>
        </w:rPr>
        <w:tab/>
        <w:t>POKYNY PRO SPRÁVNÉ PODÁNÍ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Default="00063EEB" w:rsidP="00750CCE">
      <w:pPr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Žvýkací tablety jsou ochucené a jsou přijímány většinou psů. Žvýkací tablety mohou být podávány přímo do ústní dutiny zvířete nebo přidávány do malého množství jídla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B410EC" w:rsidRPr="00406FC2" w:rsidRDefault="00B410EC" w:rsidP="00B410EC">
      <w:pPr>
        <w:tabs>
          <w:tab w:val="left" w:pos="1970"/>
        </w:tabs>
        <w:ind w:left="0" w:firstLine="0"/>
        <w:jc w:val="both"/>
        <w:rPr>
          <w:rFonts w:ascii="Arial" w:hAnsi="Arial" w:cs="Arial"/>
          <w:szCs w:val="22"/>
        </w:rPr>
      </w:pPr>
      <w:r w:rsidRPr="003D5563">
        <w:rPr>
          <w:rFonts w:ascii="Arial" w:hAnsi="Arial" w:cs="Arial"/>
          <w:szCs w:val="22"/>
        </w:rPr>
        <w:t>Pokyny k dělení tablet: Položte tabletu na rovný povrch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na dvě části.</w:t>
      </w:r>
    </w:p>
    <w:p w:rsidR="00EC5C9D" w:rsidRPr="00E62BC7" w:rsidRDefault="00EC5C9D" w:rsidP="00750CCE">
      <w:pPr>
        <w:ind w:left="0" w:firstLine="0"/>
        <w:jc w:val="both"/>
        <w:rPr>
          <w:rFonts w:ascii="Arial" w:hAnsi="Arial" w:cs="Arial"/>
          <w:color w:val="000000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10.</w:t>
      </w:r>
      <w:r w:rsidRPr="00E62BC7">
        <w:rPr>
          <w:rFonts w:ascii="Arial" w:hAnsi="Arial" w:cs="Arial"/>
          <w:b/>
          <w:szCs w:val="22"/>
        </w:rPr>
        <w:tab/>
        <w:t>OCHRANNÁ</w:t>
      </w:r>
      <w:r w:rsidR="006474E1">
        <w:rPr>
          <w:rFonts w:ascii="Arial" w:hAnsi="Arial" w:cs="Arial"/>
          <w:b/>
          <w:szCs w:val="22"/>
        </w:rPr>
        <w:t>(É)</w:t>
      </w:r>
      <w:r w:rsidRPr="00E62BC7">
        <w:rPr>
          <w:rFonts w:ascii="Arial" w:hAnsi="Arial" w:cs="Arial"/>
          <w:b/>
          <w:szCs w:val="22"/>
        </w:rPr>
        <w:t xml:space="preserve"> LHŮTA</w:t>
      </w:r>
      <w:r w:rsidR="006474E1">
        <w:rPr>
          <w:rFonts w:ascii="Arial" w:hAnsi="Arial" w:cs="Arial"/>
          <w:b/>
          <w:szCs w:val="22"/>
        </w:rPr>
        <w:t>(Y)</w:t>
      </w:r>
      <w:r w:rsidRPr="00E62BC7">
        <w:rPr>
          <w:rFonts w:ascii="Arial" w:hAnsi="Arial" w:cs="Arial"/>
          <w:b/>
          <w:szCs w:val="22"/>
        </w:rPr>
        <w:t xml:space="preserve"> </w:t>
      </w: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F04419" w:rsidP="00063EEB">
      <w:pPr>
        <w:rPr>
          <w:rFonts w:ascii="Arial" w:hAnsi="Arial" w:cs="Arial"/>
          <w:szCs w:val="22"/>
        </w:rPr>
      </w:pPr>
      <w:r w:rsidRPr="003216C3">
        <w:rPr>
          <w:rFonts w:ascii="Arial" w:hAnsi="Arial" w:cs="Arial"/>
          <w:szCs w:val="22"/>
        </w:rPr>
        <w:t>Není určeno pro potravinová zvířata.</w:t>
      </w: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11.</w:t>
      </w:r>
      <w:r w:rsidRPr="00E62BC7">
        <w:rPr>
          <w:rFonts w:ascii="Arial" w:hAnsi="Arial" w:cs="Arial"/>
          <w:b/>
          <w:szCs w:val="22"/>
        </w:rPr>
        <w:tab/>
        <w:t>ZVLÁŠTNÍ OPATŘENÍ PRO UCHOVÁVÁNÍ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9270A" w:rsidRPr="003917BA" w:rsidRDefault="0009270A" w:rsidP="0009270A">
      <w:pPr>
        <w:rPr>
          <w:rFonts w:ascii="Arial" w:hAnsi="Arial" w:cs="Arial"/>
          <w:szCs w:val="22"/>
        </w:rPr>
      </w:pPr>
      <w:r w:rsidRPr="003917BA">
        <w:rPr>
          <w:rFonts w:ascii="Arial" w:hAnsi="Arial" w:cs="Arial"/>
          <w:szCs w:val="22"/>
        </w:rPr>
        <w:t xml:space="preserve">Uchovávat mimo </w:t>
      </w:r>
      <w:r w:rsidR="00855B9A">
        <w:rPr>
          <w:rFonts w:ascii="Arial" w:hAnsi="Arial" w:cs="Arial"/>
          <w:szCs w:val="22"/>
        </w:rPr>
        <w:t xml:space="preserve">dohled a </w:t>
      </w:r>
      <w:r w:rsidRPr="003917BA">
        <w:rPr>
          <w:rFonts w:ascii="Arial" w:hAnsi="Arial" w:cs="Arial"/>
          <w:szCs w:val="22"/>
        </w:rPr>
        <w:t>dosah dětí.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Uchovávejte při teplotě do 25</w:t>
      </w:r>
      <w:r w:rsidR="006C7543">
        <w:rPr>
          <w:rFonts w:ascii="Arial" w:hAnsi="Arial" w:cs="Arial"/>
          <w:szCs w:val="22"/>
        </w:rPr>
        <w:t> °</w:t>
      </w:r>
      <w:r w:rsidRPr="00E62BC7">
        <w:rPr>
          <w:rFonts w:ascii="Arial" w:hAnsi="Arial" w:cs="Arial"/>
          <w:szCs w:val="22"/>
        </w:rPr>
        <w:t>C.</w:t>
      </w:r>
    </w:p>
    <w:p w:rsidR="006C7543" w:rsidRPr="004E4CC9" w:rsidRDefault="006C7543" w:rsidP="006C7543">
      <w:pPr>
        <w:rPr>
          <w:rFonts w:ascii="Arial" w:hAnsi="Arial" w:cs="Arial"/>
        </w:rPr>
      </w:pPr>
      <w:r w:rsidRPr="00123826">
        <w:rPr>
          <w:rFonts w:ascii="Arial" w:hAnsi="Arial" w:cs="Arial"/>
        </w:rPr>
        <w:t>Zbylé nepoužité části tablet vraťte zpět do blistru</w:t>
      </w:r>
      <w:r w:rsidRPr="004E4CC9">
        <w:rPr>
          <w:rFonts w:ascii="Arial" w:hAnsi="Arial" w:cs="Arial"/>
        </w:rPr>
        <w:t>.</w:t>
      </w:r>
    </w:p>
    <w:p w:rsidR="006C7543" w:rsidRPr="00E62BC7" w:rsidRDefault="006C7543" w:rsidP="006C7543">
      <w:pPr>
        <w:ind w:right="-31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Doba použitelnosti zbylých částí</w:t>
      </w:r>
      <w:r w:rsidRPr="00E62BC7">
        <w:rPr>
          <w:rFonts w:ascii="Arial" w:hAnsi="Arial" w:cs="Arial"/>
          <w:szCs w:val="22"/>
        </w:rPr>
        <w:t xml:space="preserve"> tablet</w:t>
      </w:r>
      <w:r>
        <w:rPr>
          <w:rFonts w:ascii="Arial" w:hAnsi="Arial" w:cs="Arial"/>
          <w:szCs w:val="22"/>
        </w:rPr>
        <w:t>: 36 hodin</w:t>
      </w:r>
      <w:r w:rsidRPr="00E62BC7">
        <w:rPr>
          <w:rFonts w:ascii="Arial" w:hAnsi="Arial" w:cs="Arial"/>
          <w:szCs w:val="22"/>
        </w:rPr>
        <w:t>.</w:t>
      </w:r>
    </w:p>
    <w:p w:rsidR="00A71149" w:rsidRPr="00E62BC7" w:rsidRDefault="00A71149" w:rsidP="00A71149">
      <w:pPr>
        <w:ind w:left="0" w:right="-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Nepoužívejte </w:t>
      </w:r>
      <w:r w:rsidR="006C7543">
        <w:rPr>
          <w:rFonts w:ascii="Arial" w:hAnsi="Arial" w:cs="Arial"/>
        </w:rPr>
        <w:t xml:space="preserve">tento veterinární léčivý přípravek </w:t>
      </w:r>
      <w:r>
        <w:rPr>
          <w:rFonts w:ascii="Arial" w:hAnsi="Arial" w:cs="Arial"/>
        </w:rPr>
        <w:t xml:space="preserve">po uplynutí doby použitelnosti uvedené na </w:t>
      </w:r>
      <w:r w:rsidR="006C7543">
        <w:rPr>
          <w:rFonts w:ascii="Arial" w:hAnsi="Arial" w:cs="Arial"/>
        </w:rPr>
        <w:t xml:space="preserve">blistru </w:t>
      </w:r>
      <w:r>
        <w:rPr>
          <w:rFonts w:ascii="Arial" w:hAnsi="Arial" w:cs="Arial"/>
        </w:rPr>
        <w:t xml:space="preserve">a </w:t>
      </w:r>
      <w:r w:rsidR="006C7543">
        <w:rPr>
          <w:rFonts w:ascii="Arial" w:hAnsi="Arial" w:cs="Arial"/>
        </w:rPr>
        <w:t>krabičce</w:t>
      </w:r>
      <w:r>
        <w:rPr>
          <w:rFonts w:ascii="Arial" w:hAnsi="Arial" w:cs="Arial"/>
        </w:rPr>
        <w:t>.</w:t>
      </w: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12.</w:t>
      </w:r>
      <w:r w:rsidRPr="00E62BC7">
        <w:rPr>
          <w:rFonts w:ascii="Arial" w:hAnsi="Arial" w:cs="Arial"/>
          <w:b/>
          <w:szCs w:val="22"/>
        </w:rPr>
        <w:tab/>
        <w:t>ZVLÁŠTNÍ UPOZORNĚNÍ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9B23D5" w:rsidRDefault="00063EEB" w:rsidP="00063EEB">
      <w:pPr>
        <w:rPr>
          <w:rFonts w:ascii="Arial" w:hAnsi="Arial" w:cs="Arial"/>
          <w:szCs w:val="22"/>
          <w:u w:val="single"/>
        </w:rPr>
      </w:pPr>
      <w:r w:rsidRPr="009B23D5">
        <w:rPr>
          <w:rFonts w:ascii="Arial" w:hAnsi="Arial" w:cs="Arial"/>
          <w:szCs w:val="22"/>
          <w:u w:val="single"/>
        </w:rPr>
        <w:t>Zvláštní opatření pro použití u zvířat</w:t>
      </w:r>
      <w:r w:rsidR="004279A4">
        <w:rPr>
          <w:rFonts w:ascii="Arial" w:hAnsi="Arial" w:cs="Arial"/>
          <w:szCs w:val="22"/>
          <w:u w:val="single"/>
        </w:rPr>
        <w:t>:</w:t>
      </w:r>
    </w:p>
    <w:p w:rsidR="00B443B3" w:rsidRPr="00E62BC7" w:rsidRDefault="00B443B3" w:rsidP="00B443B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Musí být respektována oficiální, národní a regionální </w:t>
      </w:r>
      <w:r>
        <w:rPr>
          <w:rFonts w:ascii="Arial" w:hAnsi="Arial" w:cs="Arial"/>
          <w:color w:val="000000"/>
          <w:lang w:eastAsia="cs-CZ"/>
        </w:rPr>
        <w:t xml:space="preserve">antibiotická </w:t>
      </w:r>
      <w:r w:rsidRPr="00E62BC7">
        <w:rPr>
          <w:rFonts w:ascii="Arial" w:hAnsi="Arial" w:cs="Arial"/>
          <w:color w:val="000000"/>
          <w:lang w:eastAsia="cs-CZ"/>
        </w:rPr>
        <w:t>politika s ohledem na používání širokospektrých antibiotik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B443B3" w:rsidRPr="00E62BC7" w:rsidRDefault="00B443B3" w:rsidP="00B443B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Nepoužívat v případě bakterií </w:t>
      </w:r>
      <w:r>
        <w:rPr>
          <w:rFonts w:ascii="Arial" w:hAnsi="Arial" w:cs="Arial"/>
          <w:color w:val="000000"/>
          <w:lang w:eastAsia="cs-CZ"/>
        </w:rPr>
        <w:t xml:space="preserve">s prokázanou </w:t>
      </w:r>
      <w:r w:rsidRPr="00E62BC7">
        <w:rPr>
          <w:rFonts w:ascii="Arial" w:hAnsi="Arial" w:cs="Arial"/>
          <w:color w:val="000000"/>
          <w:lang w:eastAsia="cs-CZ"/>
        </w:rPr>
        <w:t>citliv</w:t>
      </w:r>
      <w:r>
        <w:rPr>
          <w:rFonts w:ascii="Arial" w:hAnsi="Arial" w:cs="Arial"/>
          <w:color w:val="000000"/>
          <w:lang w:eastAsia="cs-CZ"/>
        </w:rPr>
        <w:t>ostí</w:t>
      </w:r>
      <w:r w:rsidRPr="00E62BC7">
        <w:rPr>
          <w:rFonts w:ascii="Arial" w:hAnsi="Arial" w:cs="Arial"/>
          <w:color w:val="000000"/>
          <w:lang w:eastAsia="cs-CZ"/>
        </w:rPr>
        <w:t xml:space="preserve"> na peniciliny s úzkým spektrem účinku nebo </w:t>
      </w:r>
      <w:r>
        <w:rPr>
          <w:rFonts w:ascii="Arial" w:hAnsi="Arial" w:cs="Arial"/>
          <w:color w:val="000000"/>
          <w:lang w:eastAsia="cs-CZ"/>
        </w:rPr>
        <w:t xml:space="preserve">samotný </w:t>
      </w:r>
      <w:r w:rsidRPr="00E62BC7">
        <w:rPr>
          <w:rFonts w:ascii="Arial" w:hAnsi="Arial" w:cs="Arial"/>
          <w:color w:val="000000"/>
          <w:lang w:eastAsia="cs-CZ"/>
        </w:rPr>
        <w:t>amoxicilin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B443B3" w:rsidRDefault="00B443B3" w:rsidP="00B443B3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125DA2">
        <w:rPr>
          <w:rFonts w:ascii="Arial" w:hAnsi="Arial" w:cs="Arial"/>
          <w:szCs w:val="22"/>
        </w:rPr>
        <w:t xml:space="preserve">Před zahájením iniciální terapie by měl být odebrán vzorek na kultivaci a stanovení </w:t>
      </w:r>
      <w:r>
        <w:rPr>
          <w:rFonts w:ascii="Arial" w:hAnsi="Arial" w:cs="Arial"/>
          <w:szCs w:val="22"/>
        </w:rPr>
        <w:t>citlivosti</w:t>
      </w:r>
    </w:p>
    <w:p w:rsidR="00B443B3" w:rsidRDefault="00B443B3" w:rsidP="00B443B3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125DA2">
        <w:rPr>
          <w:rFonts w:ascii="Arial" w:hAnsi="Arial" w:cs="Arial"/>
          <w:szCs w:val="22"/>
        </w:rPr>
        <w:t>a v léčbě by se mělo pokračovat, pouze pokud se prokázala citlivost k dané kombinaci</w:t>
      </w:r>
    </w:p>
    <w:p w:rsidR="00B443B3" w:rsidRPr="00125DA2" w:rsidRDefault="00B443B3" w:rsidP="00B443B3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 w:rsidRPr="00125DA2">
        <w:rPr>
          <w:rFonts w:ascii="Arial" w:hAnsi="Arial" w:cs="Arial"/>
          <w:szCs w:val="22"/>
        </w:rPr>
        <w:t xml:space="preserve">účinných látek. </w:t>
      </w:r>
    </w:p>
    <w:p w:rsidR="00B443B3" w:rsidRPr="00E62BC7" w:rsidRDefault="00B443B3" w:rsidP="00B443B3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>Používání přípravku způsobem, kter</w:t>
      </w:r>
      <w:r w:rsidR="00993B49">
        <w:rPr>
          <w:rFonts w:ascii="Arial" w:hAnsi="Arial" w:cs="Arial"/>
          <w:color w:val="000000"/>
          <w:lang w:eastAsia="cs-CZ"/>
        </w:rPr>
        <w:t>ý</w:t>
      </w:r>
      <w:r>
        <w:rPr>
          <w:rFonts w:ascii="Arial" w:hAnsi="Arial" w:cs="Arial"/>
          <w:color w:val="000000"/>
          <w:lang w:eastAsia="cs-CZ"/>
        </w:rPr>
        <w:t xml:space="preserve"> je odlišn</w:t>
      </w:r>
      <w:r w:rsidR="00993B49">
        <w:rPr>
          <w:rFonts w:ascii="Arial" w:hAnsi="Arial" w:cs="Arial"/>
          <w:color w:val="000000"/>
          <w:lang w:eastAsia="cs-CZ"/>
        </w:rPr>
        <w:t>ý</w:t>
      </w:r>
      <w:r w:rsidRPr="00E62BC7">
        <w:rPr>
          <w:rFonts w:ascii="Arial" w:hAnsi="Arial" w:cs="Arial"/>
          <w:color w:val="000000"/>
          <w:lang w:eastAsia="cs-CZ"/>
        </w:rPr>
        <w:t xml:space="preserve"> od pokynů uvedených v</w:t>
      </w:r>
      <w:r w:rsidR="00DA5D77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t</w:t>
      </w:r>
      <w:r w:rsidR="00DA5D77">
        <w:rPr>
          <w:rFonts w:ascii="Arial" w:hAnsi="Arial" w:cs="Arial"/>
          <w:color w:val="000000"/>
          <w:lang w:eastAsia="cs-CZ"/>
        </w:rPr>
        <w:t>éto příbalové informaci</w:t>
      </w:r>
      <w:r w:rsidRPr="00E62BC7">
        <w:rPr>
          <w:rFonts w:ascii="Arial" w:hAnsi="Arial" w:cs="Arial"/>
          <w:color w:val="000000"/>
          <w:lang w:eastAsia="cs-CZ"/>
        </w:rPr>
        <w:t xml:space="preserve">, může zvýšit výskyt bakterií rezistentních na </w:t>
      </w:r>
      <w:r>
        <w:rPr>
          <w:rFonts w:ascii="Arial" w:hAnsi="Arial" w:cs="Arial"/>
          <w:color w:val="000000"/>
          <w:lang w:eastAsia="cs-CZ"/>
        </w:rPr>
        <w:t xml:space="preserve">kombinaci </w:t>
      </w:r>
      <w:r w:rsidRPr="00E62BC7">
        <w:rPr>
          <w:rFonts w:ascii="Arial" w:hAnsi="Arial" w:cs="Arial"/>
          <w:color w:val="000000"/>
          <w:lang w:eastAsia="cs-CZ"/>
        </w:rPr>
        <w:t>amoxicilin/ klavulanát a snížit účinnost léčby beta-laktamovými antibiotiky.</w:t>
      </w:r>
    </w:p>
    <w:p w:rsidR="00B443B3" w:rsidRPr="00E62BC7" w:rsidRDefault="00B443B3" w:rsidP="00B443B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zvířat s dysfunkcí jater a ledvin musí být režim dávkování pečlivě zvážen a použití </w:t>
      </w:r>
      <w:r>
        <w:rPr>
          <w:rFonts w:ascii="Arial" w:hAnsi="Arial" w:cs="Arial"/>
          <w:color w:val="000000"/>
          <w:lang w:eastAsia="cs-CZ"/>
        </w:rPr>
        <w:t>přípravku</w:t>
      </w:r>
      <w:r w:rsidRPr="00E62BC7">
        <w:rPr>
          <w:rFonts w:ascii="Arial" w:hAnsi="Arial" w:cs="Arial"/>
          <w:color w:val="000000"/>
          <w:lang w:eastAsia="cs-CZ"/>
        </w:rPr>
        <w:t xml:space="preserve"> založeno na vyhodnocení </w:t>
      </w:r>
      <w:r w:rsidR="00993B49">
        <w:rPr>
          <w:rFonts w:ascii="Arial" w:hAnsi="Arial" w:cs="Arial"/>
          <w:color w:val="000000"/>
          <w:lang w:eastAsia="cs-CZ"/>
        </w:rPr>
        <w:t xml:space="preserve">poměru </w:t>
      </w:r>
      <w:r w:rsidRPr="00E62BC7">
        <w:rPr>
          <w:rFonts w:ascii="Arial" w:hAnsi="Arial" w:cs="Arial"/>
          <w:color w:val="000000"/>
          <w:lang w:eastAsia="cs-CZ"/>
        </w:rPr>
        <w:t>rizik</w:t>
      </w:r>
      <w:r w:rsidR="00993B49">
        <w:rPr>
          <w:rFonts w:ascii="Arial" w:hAnsi="Arial" w:cs="Arial"/>
          <w:color w:val="000000"/>
          <w:lang w:eastAsia="cs-CZ"/>
        </w:rPr>
        <w:t xml:space="preserve">a </w:t>
      </w:r>
      <w:r w:rsidR="00A24320">
        <w:rPr>
          <w:rFonts w:ascii="Arial" w:hAnsi="Arial" w:cs="Arial"/>
          <w:color w:val="000000"/>
          <w:lang w:eastAsia="cs-CZ"/>
        </w:rPr>
        <w:t xml:space="preserve">a </w:t>
      </w:r>
      <w:r w:rsidR="00993B49">
        <w:rPr>
          <w:rFonts w:ascii="Arial" w:hAnsi="Arial" w:cs="Arial"/>
          <w:color w:val="000000"/>
          <w:lang w:eastAsia="cs-CZ"/>
        </w:rPr>
        <w:t>terapeutického prospěchu</w:t>
      </w:r>
      <w:r w:rsidRPr="00E62BC7">
        <w:rPr>
          <w:rFonts w:ascii="Arial" w:hAnsi="Arial" w:cs="Arial"/>
          <w:color w:val="000000"/>
          <w:lang w:eastAsia="cs-CZ"/>
        </w:rPr>
        <w:t xml:space="preserve"> veterinárním lékařem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B443B3" w:rsidRPr="00E62BC7" w:rsidRDefault="00B443B3" w:rsidP="00B443B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V případě používání u malých býložravců, kteří nejsou uvedeni v části 4.3, je doporučována zvýšená opatrnost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B443B3" w:rsidRPr="00E62BC7" w:rsidRDefault="00B443B3" w:rsidP="00B443B3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B443B3" w:rsidRDefault="00B443B3" w:rsidP="00B443B3">
      <w:pPr>
        <w:ind w:left="0" w:firstLine="0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Je nezbytné zvážit možnost </w:t>
      </w:r>
      <w:r>
        <w:rPr>
          <w:rFonts w:ascii="Arial" w:hAnsi="Arial" w:cs="Arial"/>
          <w:color w:val="000000"/>
          <w:lang w:eastAsia="cs-CZ"/>
        </w:rPr>
        <w:t>z</w:t>
      </w:r>
      <w:r w:rsidRPr="00E62BC7">
        <w:rPr>
          <w:rFonts w:ascii="Arial" w:hAnsi="Arial" w:cs="Arial"/>
          <w:color w:val="000000"/>
          <w:lang w:eastAsia="cs-CZ"/>
        </w:rPr>
        <w:t>kříž</w:t>
      </w:r>
      <w:r>
        <w:rPr>
          <w:rFonts w:ascii="Arial" w:hAnsi="Arial" w:cs="Arial"/>
          <w:color w:val="000000"/>
          <w:lang w:eastAsia="cs-CZ"/>
        </w:rPr>
        <w:t>ené</w:t>
      </w:r>
      <w:r w:rsidRPr="00E62BC7">
        <w:rPr>
          <w:rFonts w:ascii="Arial" w:hAnsi="Arial" w:cs="Arial"/>
          <w:color w:val="000000"/>
          <w:lang w:eastAsia="cs-CZ"/>
        </w:rPr>
        <w:t xml:space="preserve"> alergické reakce s jinými penicilinovými deriváty a cefalosporiny.</w:t>
      </w:r>
    </w:p>
    <w:p w:rsidR="00993B49" w:rsidRDefault="00993B49" w:rsidP="00B443B3">
      <w:pPr>
        <w:ind w:left="0" w:firstLine="0"/>
        <w:rPr>
          <w:rFonts w:ascii="Arial" w:hAnsi="Arial" w:cs="Arial"/>
          <w:color w:val="000000"/>
          <w:lang w:eastAsia="cs-CZ"/>
        </w:rPr>
      </w:pPr>
    </w:p>
    <w:p w:rsidR="00855B9A" w:rsidRDefault="00855B9A" w:rsidP="00855B9A">
      <w:pPr>
        <w:ind w:left="0" w:firstLine="0"/>
        <w:rPr>
          <w:rFonts w:ascii="Arial" w:hAnsi="Arial" w:cs="Arial"/>
          <w:szCs w:val="22"/>
        </w:rPr>
      </w:pPr>
      <w:r w:rsidRPr="00BA7AB6">
        <w:rPr>
          <w:rFonts w:ascii="Arial" w:hAnsi="Arial" w:cs="Arial"/>
          <w:szCs w:val="22"/>
        </w:rPr>
        <w:lastRenderedPageBreak/>
        <w:t>Žvýkací tablety jsou ochucené. Aby se před</w:t>
      </w:r>
      <w:r>
        <w:rPr>
          <w:rFonts w:ascii="Arial" w:hAnsi="Arial" w:cs="Arial"/>
          <w:szCs w:val="22"/>
        </w:rPr>
        <w:t>e</w:t>
      </w:r>
      <w:r w:rsidRPr="00BA7AB6">
        <w:rPr>
          <w:rFonts w:ascii="Arial" w:hAnsi="Arial" w:cs="Arial"/>
          <w:szCs w:val="22"/>
        </w:rPr>
        <w:t>šl</w:t>
      </w:r>
      <w:r>
        <w:rPr>
          <w:rFonts w:ascii="Arial" w:hAnsi="Arial" w:cs="Arial"/>
          <w:szCs w:val="22"/>
        </w:rPr>
        <w:t>o</w:t>
      </w:r>
      <w:r w:rsidRPr="00BA7AB6">
        <w:rPr>
          <w:rFonts w:ascii="Arial" w:hAnsi="Arial" w:cs="Arial"/>
          <w:szCs w:val="22"/>
        </w:rPr>
        <w:t xml:space="preserve"> náhodnému požití, uchovávejte tablety mimo dosah zvířat.</w:t>
      </w:r>
    </w:p>
    <w:p w:rsidR="00855B9A" w:rsidRPr="00E62BC7" w:rsidRDefault="00855B9A" w:rsidP="00B443B3">
      <w:pPr>
        <w:ind w:left="0" w:firstLine="0"/>
        <w:rPr>
          <w:rFonts w:ascii="Arial" w:hAnsi="Arial" w:cs="Arial"/>
          <w:color w:val="000000"/>
          <w:lang w:eastAsia="cs-CZ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9B23D5" w:rsidRDefault="00063EEB" w:rsidP="00063EEB">
      <w:pPr>
        <w:rPr>
          <w:rFonts w:ascii="Arial" w:hAnsi="Arial" w:cs="Arial"/>
          <w:szCs w:val="22"/>
          <w:u w:val="single"/>
        </w:rPr>
      </w:pPr>
      <w:r w:rsidRPr="009B23D5">
        <w:rPr>
          <w:rFonts w:ascii="Arial" w:hAnsi="Arial" w:cs="Arial"/>
          <w:szCs w:val="22"/>
          <w:u w:val="single"/>
        </w:rPr>
        <w:t>Zvláštní opatření určené osobám, které podávají veterinární léčivý přípravek zvířatům</w:t>
      </w:r>
      <w:r w:rsidR="004279A4">
        <w:rPr>
          <w:rFonts w:ascii="Arial" w:hAnsi="Arial" w:cs="Arial"/>
          <w:szCs w:val="22"/>
          <w:u w:val="single"/>
        </w:rPr>
        <w:t>:</w:t>
      </w: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bCs/>
          <w:szCs w:val="22"/>
        </w:rPr>
      </w:pPr>
      <w:r w:rsidRPr="00406FC2">
        <w:rPr>
          <w:rFonts w:ascii="Arial" w:hAnsi="Arial" w:cs="Arial"/>
          <w:bCs/>
          <w:szCs w:val="22"/>
        </w:rPr>
        <w:t xml:space="preserve">Peniciliny a cefalosporiny mohou po injekci, inhalaci, požití nebo po kontaktu </w:t>
      </w:r>
      <w:r>
        <w:rPr>
          <w:rFonts w:ascii="Arial" w:hAnsi="Arial" w:cs="Arial"/>
          <w:bCs/>
          <w:szCs w:val="22"/>
        </w:rPr>
        <w:t xml:space="preserve">s </w:t>
      </w:r>
      <w:r w:rsidRPr="00406FC2">
        <w:rPr>
          <w:rFonts w:ascii="Arial" w:hAnsi="Arial" w:cs="Arial"/>
          <w:bCs/>
          <w:szCs w:val="22"/>
        </w:rPr>
        <w:t>k</w:t>
      </w:r>
      <w:r>
        <w:rPr>
          <w:rFonts w:ascii="Arial" w:hAnsi="Arial" w:cs="Arial"/>
          <w:bCs/>
          <w:szCs w:val="22"/>
        </w:rPr>
        <w:t>ůží</w:t>
      </w:r>
      <w:r w:rsidRPr="00406FC2">
        <w:rPr>
          <w:rFonts w:ascii="Arial" w:hAnsi="Arial" w:cs="Arial"/>
          <w:bCs/>
          <w:szCs w:val="22"/>
        </w:rPr>
        <w:t xml:space="preserve"> vyvolat hypersensitivitu (alergii). Hypersensitivita na peniciliny může vést ke zkříženým reakcím </w:t>
      </w:r>
      <w:r w:rsidRPr="00406FC2">
        <w:rPr>
          <w:rFonts w:ascii="Arial" w:hAnsi="Arial" w:cs="Arial"/>
          <w:bCs/>
          <w:szCs w:val="22"/>
        </w:rPr>
        <w:br/>
        <w:t xml:space="preserve">s cefalosporiny a naopak. </w:t>
      </w:r>
      <w:r>
        <w:rPr>
          <w:rFonts w:ascii="Arial" w:hAnsi="Arial" w:cs="Arial"/>
          <w:bCs/>
          <w:szCs w:val="22"/>
        </w:rPr>
        <w:t>A</w:t>
      </w:r>
      <w:r w:rsidRPr="00406FC2">
        <w:rPr>
          <w:rFonts w:ascii="Arial" w:hAnsi="Arial" w:cs="Arial"/>
          <w:bCs/>
          <w:szCs w:val="22"/>
        </w:rPr>
        <w:t xml:space="preserve">lergické reakce na tyto látky mohou být </w:t>
      </w:r>
      <w:r>
        <w:rPr>
          <w:rFonts w:ascii="Arial" w:hAnsi="Arial" w:cs="Arial"/>
          <w:bCs/>
          <w:szCs w:val="22"/>
        </w:rPr>
        <w:t xml:space="preserve">v některých případech </w:t>
      </w:r>
      <w:r w:rsidRPr="00406FC2">
        <w:rPr>
          <w:rFonts w:ascii="Arial" w:hAnsi="Arial" w:cs="Arial"/>
          <w:bCs/>
          <w:szCs w:val="22"/>
        </w:rPr>
        <w:t>vážné.</w:t>
      </w: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6460E0" w:rsidRPr="00420E98" w:rsidRDefault="006460E0" w:rsidP="006460E0">
      <w:pPr>
        <w:ind w:left="0" w:firstLine="0"/>
        <w:jc w:val="both"/>
        <w:rPr>
          <w:rFonts w:ascii="Arial" w:hAnsi="Arial" w:cs="Arial"/>
          <w:bCs/>
          <w:szCs w:val="22"/>
        </w:rPr>
      </w:pPr>
      <w:r w:rsidRPr="007879B0">
        <w:rPr>
          <w:rFonts w:ascii="Arial" w:hAnsi="Arial" w:cs="Arial"/>
          <w:bCs/>
          <w:szCs w:val="22"/>
        </w:rPr>
        <w:t>Nemanipulujte s přípravkem, pokud víte, že jste přecitlivělí, nebo pokud vám bylo doporučeno s přípravky tohoto typu nepracovat</w:t>
      </w:r>
      <w:r w:rsidRPr="00420E98">
        <w:rPr>
          <w:rFonts w:ascii="Arial" w:hAnsi="Arial" w:cs="Arial"/>
          <w:bCs/>
          <w:szCs w:val="22"/>
        </w:rPr>
        <w:t>.</w:t>
      </w: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 xml:space="preserve">Při manipulaci s veterinárním léčivým </w:t>
      </w:r>
      <w:r w:rsidRPr="00406FC2">
        <w:rPr>
          <w:rFonts w:ascii="Arial" w:hAnsi="Arial" w:cs="Arial"/>
          <w:color w:val="000000"/>
          <w:lang w:eastAsia="cs-CZ"/>
        </w:rPr>
        <w:t xml:space="preserve">přípravkem </w:t>
      </w:r>
      <w:r>
        <w:rPr>
          <w:rFonts w:ascii="Arial" w:hAnsi="Arial" w:cs="Arial"/>
          <w:color w:val="000000"/>
          <w:lang w:eastAsia="cs-CZ"/>
        </w:rPr>
        <w:t>buďte maximálně</w:t>
      </w:r>
      <w:r w:rsidRPr="00406FC2">
        <w:rPr>
          <w:rFonts w:ascii="Arial" w:hAnsi="Arial" w:cs="Arial"/>
          <w:color w:val="000000"/>
          <w:lang w:eastAsia="cs-CZ"/>
        </w:rPr>
        <w:t xml:space="preserve"> obezřetn</w:t>
      </w:r>
      <w:r>
        <w:rPr>
          <w:rFonts w:ascii="Arial" w:hAnsi="Arial" w:cs="Arial"/>
          <w:color w:val="000000"/>
          <w:lang w:eastAsia="cs-CZ"/>
        </w:rPr>
        <w:t xml:space="preserve">í, aby nedošlo k expozici a </w:t>
      </w:r>
      <w:r w:rsidRPr="00406FC2">
        <w:rPr>
          <w:rFonts w:ascii="Arial" w:hAnsi="Arial" w:cs="Arial"/>
          <w:color w:val="000000"/>
          <w:lang w:eastAsia="cs-CZ"/>
        </w:rPr>
        <w:t>dodržujte vš</w:t>
      </w:r>
      <w:r>
        <w:rPr>
          <w:rFonts w:ascii="Arial" w:hAnsi="Arial" w:cs="Arial"/>
          <w:color w:val="000000"/>
          <w:lang w:eastAsia="cs-CZ"/>
        </w:rPr>
        <w:t>echna doporučená bezpečnostní opatření</w:t>
      </w:r>
      <w:r w:rsidRPr="00406FC2">
        <w:rPr>
          <w:rFonts w:ascii="Arial" w:hAnsi="Arial" w:cs="Arial"/>
          <w:color w:val="000000"/>
          <w:lang w:eastAsia="cs-CZ"/>
        </w:rPr>
        <w:t>.</w:t>
      </w: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szCs w:val="22"/>
        </w:rPr>
      </w:pP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bCs/>
          <w:szCs w:val="22"/>
        </w:rPr>
      </w:pPr>
      <w:r w:rsidRPr="00406FC2">
        <w:rPr>
          <w:rFonts w:ascii="Arial" w:hAnsi="Arial" w:cs="Arial"/>
          <w:bCs/>
          <w:szCs w:val="22"/>
        </w:rPr>
        <w:t xml:space="preserve">Pokud se </w:t>
      </w:r>
      <w:r>
        <w:rPr>
          <w:rFonts w:ascii="Arial" w:hAnsi="Arial" w:cs="Arial"/>
          <w:bCs/>
          <w:szCs w:val="22"/>
        </w:rPr>
        <w:t xml:space="preserve">po přímém kontaktu s přípravkem objeví </w:t>
      </w:r>
      <w:r w:rsidRPr="00406FC2">
        <w:rPr>
          <w:rFonts w:ascii="Arial" w:hAnsi="Arial" w:cs="Arial"/>
          <w:bCs/>
          <w:szCs w:val="22"/>
        </w:rPr>
        <w:t>příznaky</w:t>
      </w:r>
      <w:r>
        <w:rPr>
          <w:rFonts w:ascii="Arial" w:hAnsi="Arial" w:cs="Arial"/>
          <w:bCs/>
          <w:szCs w:val="22"/>
        </w:rPr>
        <w:t>,</w:t>
      </w:r>
      <w:r w:rsidRPr="00406FC2">
        <w:rPr>
          <w:rFonts w:ascii="Arial" w:hAnsi="Arial" w:cs="Arial"/>
          <w:bCs/>
          <w:szCs w:val="22"/>
        </w:rPr>
        <w:t xml:space="preserve"> jako </w:t>
      </w:r>
      <w:r>
        <w:rPr>
          <w:rFonts w:ascii="Arial" w:hAnsi="Arial" w:cs="Arial"/>
          <w:bCs/>
          <w:szCs w:val="22"/>
        </w:rPr>
        <w:t xml:space="preserve">například </w:t>
      </w:r>
      <w:r w:rsidRPr="00406FC2">
        <w:rPr>
          <w:rFonts w:ascii="Arial" w:hAnsi="Arial" w:cs="Arial"/>
          <w:bCs/>
          <w:szCs w:val="22"/>
        </w:rPr>
        <w:t xml:space="preserve">kožní vyrážka, vyhledejte lékařskou pomoc a ukažte </w:t>
      </w:r>
      <w:r>
        <w:rPr>
          <w:rFonts w:ascii="Arial" w:hAnsi="Arial" w:cs="Arial"/>
          <w:bCs/>
          <w:szCs w:val="22"/>
        </w:rPr>
        <w:t>lékaři toto upozornění</w:t>
      </w:r>
      <w:r w:rsidRPr="00406FC2">
        <w:rPr>
          <w:rFonts w:ascii="Arial" w:hAnsi="Arial" w:cs="Arial"/>
          <w:bCs/>
          <w:szCs w:val="22"/>
        </w:rPr>
        <w:t xml:space="preserve">. Otok obličeje, rtů, očí nebo potíže s dýcháním jsou vážné </w:t>
      </w:r>
      <w:r>
        <w:rPr>
          <w:rFonts w:ascii="Arial" w:hAnsi="Arial" w:cs="Arial"/>
          <w:bCs/>
          <w:szCs w:val="22"/>
        </w:rPr>
        <w:t>příznaky</w:t>
      </w:r>
      <w:r w:rsidRPr="00406FC2">
        <w:rPr>
          <w:rFonts w:ascii="Arial" w:hAnsi="Arial" w:cs="Arial"/>
          <w:bCs/>
          <w:szCs w:val="22"/>
        </w:rPr>
        <w:t xml:space="preserve"> a </w:t>
      </w:r>
      <w:r>
        <w:rPr>
          <w:rFonts w:ascii="Arial" w:hAnsi="Arial" w:cs="Arial"/>
          <w:bCs/>
          <w:szCs w:val="22"/>
        </w:rPr>
        <w:t>vyžadují okamžité lékařské ošetření</w:t>
      </w:r>
      <w:r w:rsidRPr="00406FC2">
        <w:rPr>
          <w:rFonts w:ascii="Arial" w:hAnsi="Arial" w:cs="Arial"/>
          <w:bCs/>
          <w:szCs w:val="22"/>
        </w:rPr>
        <w:t>.</w:t>
      </w:r>
    </w:p>
    <w:p w:rsidR="006460E0" w:rsidRPr="00406FC2" w:rsidRDefault="006460E0" w:rsidP="006460E0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6460E0" w:rsidRPr="00E62BC7" w:rsidRDefault="006460E0" w:rsidP="006460E0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  <w:r w:rsidRPr="00420E98">
        <w:rPr>
          <w:rFonts w:ascii="Arial" w:hAnsi="Arial" w:cs="Arial"/>
          <w:color w:val="000000"/>
          <w:lang w:eastAsia="cs-CZ"/>
        </w:rPr>
        <w:t>Po</w:t>
      </w:r>
      <w:r>
        <w:rPr>
          <w:rFonts w:ascii="Arial" w:hAnsi="Arial" w:cs="Arial"/>
          <w:color w:val="000000"/>
          <w:lang w:eastAsia="cs-CZ"/>
        </w:rPr>
        <w:t xml:space="preserve"> použití</w:t>
      </w:r>
      <w:r w:rsidRPr="00420E98">
        <w:rPr>
          <w:rFonts w:ascii="Arial" w:hAnsi="Arial" w:cs="Arial"/>
          <w:color w:val="000000"/>
          <w:lang w:eastAsia="cs-CZ"/>
        </w:rPr>
        <w:t xml:space="preserve"> si umyjte ruce</w:t>
      </w:r>
      <w:r w:rsidRPr="00420E98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</w:p>
    <w:p w:rsidR="004279A4" w:rsidRPr="009B23D5" w:rsidRDefault="001E4711" w:rsidP="0009270A">
      <w:pPr>
        <w:ind w:left="0" w:firstLine="0"/>
        <w:jc w:val="both"/>
        <w:rPr>
          <w:rFonts w:ascii="Arial" w:hAnsi="Arial" w:cs="Arial"/>
          <w:szCs w:val="22"/>
          <w:u w:val="single"/>
        </w:rPr>
      </w:pPr>
      <w:r w:rsidRPr="009B23D5">
        <w:rPr>
          <w:rFonts w:ascii="Arial" w:hAnsi="Arial" w:cs="Arial"/>
          <w:szCs w:val="22"/>
          <w:u w:val="single"/>
        </w:rPr>
        <w:t>Březost a laktace</w:t>
      </w:r>
      <w:r w:rsidR="004279A4">
        <w:rPr>
          <w:rFonts w:ascii="Arial" w:hAnsi="Arial" w:cs="Arial"/>
          <w:szCs w:val="22"/>
          <w:u w:val="single"/>
        </w:rPr>
        <w:t>:</w:t>
      </w:r>
      <w:r w:rsidR="00173CB7" w:rsidRPr="009B23D5">
        <w:rPr>
          <w:rFonts w:ascii="Arial" w:hAnsi="Arial" w:cs="Arial"/>
          <w:szCs w:val="22"/>
          <w:u w:val="single"/>
        </w:rPr>
        <w:t xml:space="preserve"> </w:t>
      </w:r>
    </w:p>
    <w:p w:rsidR="00063EEB" w:rsidRDefault="00063EEB" w:rsidP="0009270A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Laboratorní studie na potkanech a myších neprokázaly teratogenní,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fetotoxické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</w:t>
      </w:r>
      <w:r w:rsidR="00173CB7">
        <w:rPr>
          <w:rFonts w:ascii="Arial" w:hAnsi="Arial" w:cs="Arial"/>
          <w:color w:val="000000"/>
          <w:lang w:eastAsia="cs-CZ"/>
        </w:rPr>
        <w:t>ni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maternotoxické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účinky</w:t>
      </w:r>
      <w:r w:rsidRPr="00E62BC7">
        <w:rPr>
          <w:rFonts w:ascii="Arial" w:hAnsi="Arial" w:cs="Arial"/>
          <w:szCs w:val="22"/>
        </w:rPr>
        <w:t xml:space="preserve">.  </w:t>
      </w:r>
    </w:p>
    <w:p w:rsidR="0009270A" w:rsidRPr="00410077" w:rsidRDefault="0009270A" w:rsidP="0009270A">
      <w:pPr>
        <w:rPr>
          <w:rFonts w:ascii="Arial" w:hAnsi="Arial" w:cs="Arial"/>
          <w:szCs w:val="22"/>
        </w:rPr>
      </w:pPr>
      <w:r w:rsidRPr="00410077">
        <w:rPr>
          <w:rFonts w:ascii="Arial" w:hAnsi="Arial" w:cs="Arial"/>
          <w:szCs w:val="22"/>
        </w:rPr>
        <w:t xml:space="preserve">Nebyla stanovena bezpečnost </w:t>
      </w:r>
      <w:r w:rsidR="00855B9A" w:rsidRPr="00855B9A">
        <w:rPr>
          <w:rFonts w:ascii="Arial" w:hAnsi="Arial" w:cs="Arial"/>
          <w:szCs w:val="22"/>
        </w:rPr>
        <w:t xml:space="preserve">veterinárního léčivého </w:t>
      </w:r>
      <w:r w:rsidRPr="00410077">
        <w:rPr>
          <w:rFonts w:ascii="Arial" w:hAnsi="Arial" w:cs="Arial"/>
          <w:szCs w:val="22"/>
        </w:rPr>
        <w:t>přípravku pro březí a laktující feny.</w:t>
      </w:r>
    </w:p>
    <w:p w:rsidR="00063EEB" w:rsidRPr="00E62BC7" w:rsidRDefault="00063EEB" w:rsidP="00855B9A">
      <w:pPr>
        <w:tabs>
          <w:tab w:val="left" w:pos="563"/>
        </w:tabs>
        <w:ind w:left="0" w:firstLine="0"/>
        <w:jc w:val="both"/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březích a kojících zvířat použít </w:t>
      </w:r>
      <w:r w:rsidR="00855B9A" w:rsidRPr="00855B9A">
        <w:rPr>
          <w:rFonts w:ascii="Arial" w:hAnsi="Arial" w:cs="Arial"/>
          <w:color w:val="000000"/>
          <w:lang w:eastAsia="cs-CZ"/>
        </w:rPr>
        <w:t xml:space="preserve">pouze po zvážení </w:t>
      </w:r>
      <w:r w:rsidR="00BC112F">
        <w:rPr>
          <w:rFonts w:ascii="Arial" w:hAnsi="Arial" w:cs="Arial"/>
          <w:color w:val="000000"/>
          <w:lang w:eastAsia="cs-CZ"/>
        </w:rPr>
        <w:t xml:space="preserve">poměru </w:t>
      </w:r>
      <w:r w:rsidR="00855B9A" w:rsidRPr="00855B9A">
        <w:rPr>
          <w:rFonts w:ascii="Arial" w:hAnsi="Arial" w:cs="Arial"/>
          <w:color w:val="000000"/>
          <w:lang w:eastAsia="cs-CZ"/>
        </w:rPr>
        <w:t>terapeutického prospěchu a rizika příslušným veterinárním lékařem</w:t>
      </w:r>
      <w:r w:rsidR="00855B9A" w:rsidRPr="00855B9A" w:rsidDel="00855B9A">
        <w:rPr>
          <w:rFonts w:ascii="Arial" w:hAnsi="Arial" w:cs="Arial"/>
          <w:color w:val="000000"/>
          <w:lang w:eastAsia="cs-CZ"/>
        </w:rPr>
        <w:t xml:space="preserve"> </w:t>
      </w:r>
    </w:p>
    <w:p w:rsidR="004279A4" w:rsidRDefault="004279A4" w:rsidP="00063EEB">
      <w:pPr>
        <w:ind w:left="0" w:firstLine="0"/>
        <w:rPr>
          <w:rFonts w:ascii="Arial" w:hAnsi="Arial" w:cs="Arial"/>
          <w:b/>
          <w:szCs w:val="22"/>
        </w:rPr>
      </w:pPr>
    </w:p>
    <w:p w:rsidR="00063EEB" w:rsidRPr="009B23D5" w:rsidRDefault="00063EEB" w:rsidP="00063EEB">
      <w:pPr>
        <w:ind w:left="0" w:firstLine="0"/>
        <w:rPr>
          <w:rFonts w:ascii="Arial" w:hAnsi="Arial" w:cs="Arial"/>
          <w:szCs w:val="22"/>
          <w:u w:val="single"/>
          <w:lang w:val="en-GB"/>
        </w:rPr>
      </w:pPr>
      <w:r w:rsidRPr="009B23D5">
        <w:rPr>
          <w:rFonts w:ascii="Arial" w:hAnsi="Arial" w:cs="Arial"/>
          <w:szCs w:val="22"/>
          <w:u w:val="single"/>
        </w:rPr>
        <w:t>Interakce s dalšími léčivými přípravky a další formy interakce</w:t>
      </w:r>
      <w:r w:rsidR="004279A4">
        <w:rPr>
          <w:rFonts w:ascii="Arial" w:hAnsi="Arial" w:cs="Arial"/>
          <w:szCs w:val="22"/>
          <w:u w:val="single"/>
        </w:rPr>
        <w:t>:</w:t>
      </w:r>
    </w:p>
    <w:p w:rsidR="00063EEB" w:rsidRPr="00E62BC7" w:rsidRDefault="00063EEB" w:rsidP="00063EEB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>Chloramfenikol, makrolidy, sulfonamidy a tetracykliny mohou inhibovat antibakteriální účinek penicilinů z důvodu rychlého nástupu bakteriostatického účinku.</w:t>
      </w:r>
    </w:p>
    <w:p w:rsidR="00063EEB" w:rsidRPr="00E62BC7" w:rsidRDefault="00063EEB" w:rsidP="00063EEB">
      <w:pPr>
        <w:autoSpaceDE w:val="0"/>
        <w:autoSpaceDN w:val="0"/>
        <w:adjustRightInd w:val="0"/>
        <w:ind w:left="-16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Peniciliny mohou zvyšovat účinek aminoglykosidů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Cs w:val="22"/>
        </w:rPr>
      </w:pPr>
    </w:p>
    <w:p w:rsidR="00063EEB" w:rsidRPr="009B23D5" w:rsidRDefault="00063EEB" w:rsidP="00063EEB">
      <w:pPr>
        <w:tabs>
          <w:tab w:val="left" w:pos="563"/>
        </w:tabs>
        <w:ind w:left="0" w:firstLine="0"/>
        <w:rPr>
          <w:rFonts w:ascii="Arial" w:hAnsi="Arial" w:cs="Arial"/>
          <w:szCs w:val="22"/>
          <w:u w:val="single"/>
        </w:rPr>
      </w:pPr>
      <w:r w:rsidRPr="009B23D5">
        <w:rPr>
          <w:rFonts w:ascii="Arial" w:hAnsi="Arial" w:cs="Arial"/>
          <w:szCs w:val="22"/>
          <w:u w:val="single"/>
        </w:rPr>
        <w:t>Předávkování (symptomy, první pomoc, antidota), pokud je to nutné</w:t>
      </w:r>
      <w:r w:rsidR="004279A4">
        <w:rPr>
          <w:rFonts w:ascii="Arial" w:hAnsi="Arial" w:cs="Arial"/>
          <w:szCs w:val="22"/>
          <w:u w:val="single"/>
        </w:rPr>
        <w:t>:</w:t>
      </w:r>
      <w:r w:rsidRPr="009B23D5">
        <w:rPr>
          <w:rFonts w:ascii="Arial" w:hAnsi="Arial" w:cs="Arial"/>
          <w:szCs w:val="22"/>
          <w:u w:val="single"/>
        </w:rPr>
        <w:t xml:space="preserve"> 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V případě předávkování se může objevit průjem, alergická reakce či jiné příznaky, jako jsou projevy podráždění centrálního nervového systému nebo křeče. V případě potřeby by měla být zahájena symptomatická léčba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13.</w:t>
      </w:r>
      <w:r w:rsidRPr="00E62BC7">
        <w:rPr>
          <w:rFonts w:ascii="Arial" w:hAnsi="Arial" w:cs="Arial"/>
          <w:b/>
          <w:szCs w:val="22"/>
        </w:rPr>
        <w:tab/>
        <w:t>ZVLÁŠTNÍ OPATŘENÍ PRO ZNEŠKODŇOVÁNÍ NEPOUŽITÝCH PŘÍPRAVKŮ NEBO ODPADU, POKUD JE JICH TŘEBA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</w:p>
    <w:p w:rsidR="008F7226" w:rsidRPr="00E62BC7" w:rsidRDefault="008F7226" w:rsidP="008F7226">
      <w:pPr>
        <w:ind w:left="0" w:right="-318" w:firstLine="0"/>
        <w:rPr>
          <w:rFonts w:ascii="Arial" w:hAnsi="Arial" w:cs="Arial"/>
          <w:i/>
          <w:szCs w:val="22"/>
        </w:rPr>
      </w:pPr>
      <w:r w:rsidRPr="00E62BC7">
        <w:rPr>
          <w:rFonts w:ascii="Arial" w:hAnsi="Arial" w:cs="Arial"/>
          <w:szCs w:val="22"/>
        </w:rPr>
        <w:t>Všechen nepoužitý veterinární léčivý přípravek nebo odpad, který pochází z tohoto přípravku, musí být likvidován podle místních právních předpisů.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14.</w:t>
      </w:r>
      <w:r w:rsidRPr="00E62BC7">
        <w:rPr>
          <w:rFonts w:ascii="Arial" w:hAnsi="Arial" w:cs="Arial"/>
          <w:b/>
          <w:szCs w:val="22"/>
        </w:rPr>
        <w:tab/>
        <w:t>DATUM POSLEDNÍ REVIZE PŘÍBALOVÉ INFORMACE</w:t>
      </w:r>
    </w:p>
    <w:p w:rsidR="009C2873" w:rsidRDefault="009C2873" w:rsidP="00B443B3">
      <w:pPr>
        <w:ind w:right="-318"/>
        <w:rPr>
          <w:rFonts w:ascii="Arial" w:hAnsi="Arial" w:cs="Arial"/>
          <w:szCs w:val="22"/>
        </w:rPr>
      </w:pPr>
    </w:p>
    <w:p w:rsidR="00B443B3" w:rsidRPr="000B72C1" w:rsidRDefault="00DB3413" w:rsidP="00B443B3">
      <w:pPr>
        <w:ind w:right="-31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Květen</w:t>
      </w:r>
      <w:proofErr w:type="gramEnd"/>
      <w:r>
        <w:rPr>
          <w:rFonts w:ascii="Arial" w:hAnsi="Arial" w:cs="Arial"/>
          <w:szCs w:val="22"/>
        </w:rPr>
        <w:t xml:space="preserve"> 202</w:t>
      </w:r>
      <w:r w:rsidR="00735179">
        <w:rPr>
          <w:rFonts w:ascii="Arial" w:hAnsi="Arial" w:cs="Arial"/>
          <w:szCs w:val="22"/>
        </w:rPr>
        <w:t>3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</w:p>
    <w:p w:rsidR="00063EEB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15.</w:t>
      </w:r>
      <w:r w:rsidRPr="00E62BC7">
        <w:rPr>
          <w:rFonts w:ascii="Arial" w:hAnsi="Arial" w:cs="Arial"/>
          <w:b/>
          <w:szCs w:val="22"/>
        </w:rPr>
        <w:tab/>
        <w:t>DALŠÍ INFORMACE</w:t>
      </w:r>
    </w:p>
    <w:p w:rsidR="00DA5D77" w:rsidRDefault="00DA5D77" w:rsidP="00063EEB">
      <w:pPr>
        <w:rPr>
          <w:rFonts w:ascii="Arial" w:hAnsi="Arial" w:cs="Arial"/>
          <w:b/>
          <w:szCs w:val="22"/>
        </w:rPr>
      </w:pPr>
    </w:p>
    <w:p w:rsidR="00DA5D77" w:rsidRPr="009B23D5" w:rsidRDefault="00DA5D77" w:rsidP="00063EEB">
      <w:pPr>
        <w:rPr>
          <w:rFonts w:ascii="Arial" w:hAnsi="Arial" w:cs="Arial"/>
          <w:szCs w:val="22"/>
        </w:rPr>
      </w:pPr>
      <w:r w:rsidRPr="009B23D5">
        <w:rPr>
          <w:rFonts w:ascii="Arial" w:hAnsi="Arial" w:cs="Arial"/>
          <w:szCs w:val="22"/>
        </w:rPr>
        <w:t>Pouze pro zvířata.</w:t>
      </w:r>
    </w:p>
    <w:p w:rsidR="00063EEB" w:rsidRDefault="00DA5D77" w:rsidP="00063EEB">
      <w:pPr>
        <w:rPr>
          <w:rFonts w:ascii="Arial" w:hAnsi="Arial" w:cs="Arial"/>
        </w:rPr>
      </w:pPr>
      <w:r w:rsidRPr="00A61E93">
        <w:rPr>
          <w:rFonts w:ascii="Arial" w:hAnsi="Arial" w:cs="Arial"/>
        </w:rPr>
        <w:t>Veterinární léčivý přípravek je vydáván pouze na předpis.</w:t>
      </w:r>
    </w:p>
    <w:p w:rsidR="00DA5D77" w:rsidRPr="00E62BC7" w:rsidRDefault="00DA5D77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u w:val="single"/>
        </w:rPr>
      </w:pPr>
      <w:r w:rsidRPr="00E62BC7">
        <w:rPr>
          <w:rFonts w:ascii="Arial" w:hAnsi="Arial" w:cs="Arial"/>
          <w:u w:val="single"/>
        </w:rPr>
        <w:t>Velikosti balení:</w:t>
      </w:r>
    </w:p>
    <w:p w:rsidR="0009270A" w:rsidRPr="00410077" w:rsidRDefault="001E4711" w:rsidP="0009270A">
      <w:pPr>
        <w:rPr>
          <w:rFonts w:ascii="Arial" w:hAnsi="Arial" w:cs="Arial"/>
          <w:szCs w:val="22"/>
        </w:rPr>
      </w:pPr>
      <w:r w:rsidRPr="001E4711">
        <w:rPr>
          <w:rFonts w:ascii="Arial" w:hAnsi="Arial" w:cs="Arial"/>
          <w:szCs w:val="22"/>
        </w:rPr>
        <w:t xml:space="preserve">Papírová krabička </w:t>
      </w:r>
      <w:r w:rsidR="00D81490">
        <w:rPr>
          <w:rFonts w:ascii="Arial" w:hAnsi="Arial" w:cs="Arial"/>
          <w:szCs w:val="22"/>
        </w:rPr>
        <w:t>se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09270A">
        <w:rPr>
          <w:rFonts w:ascii="Arial" w:hAnsi="Arial" w:cs="Arial"/>
          <w:szCs w:val="22"/>
        </w:rPr>
        <w:t>6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 w:rsidRPr="00410077">
        <w:rPr>
          <w:rFonts w:ascii="Arial" w:hAnsi="Arial" w:cs="Arial"/>
          <w:szCs w:val="22"/>
        </w:rPr>
        <w:t>tablet</w:t>
      </w:r>
      <w:r w:rsidR="00D81490">
        <w:rPr>
          <w:rFonts w:ascii="Arial" w:hAnsi="Arial" w:cs="Arial"/>
          <w:szCs w:val="22"/>
        </w:rPr>
        <w:t>ami</w:t>
      </w:r>
    </w:p>
    <w:p w:rsidR="0009270A" w:rsidRPr="00410077" w:rsidRDefault="001E4711" w:rsidP="0009270A">
      <w:pPr>
        <w:rPr>
          <w:rFonts w:ascii="Arial" w:hAnsi="Arial" w:cs="Arial"/>
          <w:szCs w:val="22"/>
        </w:rPr>
      </w:pPr>
      <w:r w:rsidRPr="001E4711">
        <w:rPr>
          <w:rFonts w:ascii="Arial" w:hAnsi="Arial" w:cs="Arial"/>
          <w:szCs w:val="22"/>
        </w:rPr>
        <w:t>Papírová krabička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>
        <w:rPr>
          <w:rFonts w:ascii="Arial" w:hAnsi="Arial" w:cs="Arial"/>
          <w:szCs w:val="22"/>
        </w:rPr>
        <w:t>s</w:t>
      </w:r>
      <w:r w:rsidR="00D81490" w:rsidRPr="00410077">
        <w:rPr>
          <w:rFonts w:ascii="Arial" w:hAnsi="Arial" w:cs="Arial"/>
          <w:szCs w:val="22"/>
        </w:rPr>
        <w:t xml:space="preserve"> </w:t>
      </w:r>
      <w:r w:rsidR="0009270A">
        <w:rPr>
          <w:rFonts w:ascii="Arial" w:hAnsi="Arial" w:cs="Arial"/>
          <w:szCs w:val="22"/>
        </w:rPr>
        <w:t>12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 w:rsidRPr="00410077">
        <w:rPr>
          <w:rFonts w:ascii="Arial" w:hAnsi="Arial" w:cs="Arial"/>
          <w:szCs w:val="22"/>
        </w:rPr>
        <w:t>tablet</w:t>
      </w:r>
      <w:r w:rsidR="00D81490">
        <w:rPr>
          <w:rFonts w:ascii="Arial" w:hAnsi="Arial" w:cs="Arial"/>
          <w:szCs w:val="22"/>
        </w:rPr>
        <w:t>ami</w:t>
      </w:r>
    </w:p>
    <w:p w:rsidR="0009270A" w:rsidRPr="00410077" w:rsidRDefault="001E4711" w:rsidP="0009270A">
      <w:pPr>
        <w:rPr>
          <w:rFonts w:ascii="Arial" w:hAnsi="Arial" w:cs="Arial"/>
          <w:szCs w:val="22"/>
        </w:rPr>
      </w:pPr>
      <w:r w:rsidRPr="001E4711">
        <w:rPr>
          <w:rFonts w:ascii="Arial" w:hAnsi="Arial" w:cs="Arial"/>
          <w:szCs w:val="22"/>
        </w:rPr>
        <w:lastRenderedPageBreak/>
        <w:t>Papírová krabička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>
        <w:rPr>
          <w:rFonts w:ascii="Arial" w:hAnsi="Arial" w:cs="Arial"/>
          <w:szCs w:val="22"/>
        </w:rPr>
        <w:t>s</w:t>
      </w:r>
      <w:r w:rsidR="00D81490" w:rsidRPr="00410077">
        <w:rPr>
          <w:rFonts w:ascii="Arial" w:hAnsi="Arial" w:cs="Arial"/>
          <w:szCs w:val="22"/>
        </w:rPr>
        <w:t xml:space="preserve"> </w:t>
      </w:r>
      <w:r w:rsidR="0009270A">
        <w:rPr>
          <w:rFonts w:ascii="Arial" w:hAnsi="Arial" w:cs="Arial"/>
          <w:szCs w:val="22"/>
        </w:rPr>
        <w:t>96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 w:rsidRPr="00410077">
        <w:rPr>
          <w:rFonts w:ascii="Arial" w:hAnsi="Arial" w:cs="Arial"/>
          <w:szCs w:val="22"/>
        </w:rPr>
        <w:t>tablet</w:t>
      </w:r>
      <w:r w:rsidR="00D81490">
        <w:rPr>
          <w:rFonts w:ascii="Arial" w:hAnsi="Arial" w:cs="Arial"/>
          <w:szCs w:val="22"/>
        </w:rPr>
        <w:t>ami</w:t>
      </w:r>
    </w:p>
    <w:p w:rsidR="0009270A" w:rsidRPr="00410077" w:rsidRDefault="001E4711" w:rsidP="0009270A">
      <w:pPr>
        <w:rPr>
          <w:rFonts w:ascii="Arial" w:hAnsi="Arial" w:cs="Arial"/>
          <w:szCs w:val="22"/>
        </w:rPr>
      </w:pPr>
      <w:r w:rsidRPr="001E4711">
        <w:rPr>
          <w:rFonts w:ascii="Arial" w:hAnsi="Arial" w:cs="Arial"/>
          <w:szCs w:val="22"/>
        </w:rPr>
        <w:t>Papírová krabička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>
        <w:rPr>
          <w:rFonts w:ascii="Arial" w:hAnsi="Arial" w:cs="Arial"/>
          <w:szCs w:val="22"/>
        </w:rPr>
        <w:t>se</w:t>
      </w:r>
      <w:r w:rsidR="00D81490" w:rsidRPr="00410077">
        <w:rPr>
          <w:rFonts w:ascii="Arial" w:hAnsi="Arial" w:cs="Arial"/>
          <w:szCs w:val="22"/>
        </w:rPr>
        <w:t xml:space="preserve"> </w:t>
      </w:r>
      <w:r w:rsidR="0009270A">
        <w:rPr>
          <w:rFonts w:ascii="Arial" w:hAnsi="Arial" w:cs="Arial"/>
          <w:szCs w:val="22"/>
        </w:rPr>
        <w:t>144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 w:rsidRPr="00410077">
        <w:rPr>
          <w:rFonts w:ascii="Arial" w:hAnsi="Arial" w:cs="Arial"/>
          <w:szCs w:val="22"/>
        </w:rPr>
        <w:t>tablet</w:t>
      </w:r>
      <w:r w:rsidR="00D81490">
        <w:rPr>
          <w:rFonts w:ascii="Arial" w:hAnsi="Arial" w:cs="Arial"/>
          <w:szCs w:val="22"/>
        </w:rPr>
        <w:t>ami</w:t>
      </w:r>
    </w:p>
    <w:p w:rsidR="00063EEB" w:rsidRDefault="001E4711" w:rsidP="009B23D5">
      <w:pPr>
        <w:rPr>
          <w:rFonts w:ascii="Arial" w:hAnsi="Arial" w:cs="Arial"/>
          <w:szCs w:val="22"/>
        </w:rPr>
      </w:pPr>
      <w:r w:rsidRPr="001E4711">
        <w:rPr>
          <w:rFonts w:ascii="Arial" w:hAnsi="Arial" w:cs="Arial"/>
          <w:szCs w:val="22"/>
        </w:rPr>
        <w:t>Papírová krabička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>
        <w:rPr>
          <w:rFonts w:ascii="Arial" w:hAnsi="Arial" w:cs="Arial"/>
          <w:szCs w:val="22"/>
        </w:rPr>
        <w:t>s</w:t>
      </w:r>
      <w:r w:rsidR="00D81490" w:rsidRPr="00410077">
        <w:rPr>
          <w:rFonts w:ascii="Arial" w:hAnsi="Arial" w:cs="Arial"/>
          <w:szCs w:val="22"/>
        </w:rPr>
        <w:t xml:space="preserve"> </w:t>
      </w:r>
      <w:r w:rsidR="0009270A">
        <w:rPr>
          <w:rFonts w:ascii="Arial" w:hAnsi="Arial" w:cs="Arial"/>
          <w:szCs w:val="22"/>
        </w:rPr>
        <w:t>240</w:t>
      </w:r>
      <w:r w:rsidR="0009270A" w:rsidRPr="00410077">
        <w:rPr>
          <w:rFonts w:ascii="Arial" w:hAnsi="Arial" w:cs="Arial"/>
          <w:szCs w:val="22"/>
        </w:rPr>
        <w:t xml:space="preserve"> </w:t>
      </w:r>
      <w:r w:rsidR="00D81490" w:rsidRPr="00410077">
        <w:rPr>
          <w:rFonts w:ascii="Arial" w:hAnsi="Arial" w:cs="Arial"/>
          <w:szCs w:val="22"/>
        </w:rPr>
        <w:t>tablet</w:t>
      </w:r>
      <w:r w:rsidR="00D81490">
        <w:rPr>
          <w:rFonts w:ascii="Arial" w:hAnsi="Arial" w:cs="Arial"/>
          <w:szCs w:val="22"/>
        </w:rPr>
        <w:t>am</w:t>
      </w:r>
      <w:r w:rsidR="002B60D6">
        <w:rPr>
          <w:rFonts w:ascii="Arial" w:hAnsi="Arial" w:cs="Arial"/>
          <w:szCs w:val="22"/>
        </w:rPr>
        <w:t>i</w:t>
      </w:r>
    </w:p>
    <w:p w:rsidR="00735179" w:rsidRDefault="00735179" w:rsidP="009B23D5">
      <w:pPr>
        <w:rPr>
          <w:rFonts w:ascii="Arial" w:hAnsi="Arial" w:cs="Arial"/>
          <w:szCs w:val="22"/>
        </w:rPr>
      </w:pPr>
      <w:r w:rsidRPr="001E4711">
        <w:rPr>
          <w:rFonts w:ascii="Arial" w:hAnsi="Arial" w:cs="Arial"/>
          <w:szCs w:val="22"/>
        </w:rPr>
        <w:t>Papírová krabička</w:t>
      </w:r>
      <w:r w:rsidRPr="0041007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se</w:t>
      </w:r>
      <w:r w:rsidRPr="0041007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480</w:t>
      </w:r>
      <w:r w:rsidRPr="00410077">
        <w:rPr>
          <w:rFonts w:ascii="Arial" w:hAnsi="Arial" w:cs="Arial"/>
          <w:szCs w:val="22"/>
        </w:rPr>
        <w:t xml:space="preserve"> tablet</w:t>
      </w:r>
      <w:r>
        <w:rPr>
          <w:rFonts w:ascii="Arial" w:hAnsi="Arial" w:cs="Arial"/>
          <w:szCs w:val="22"/>
        </w:rPr>
        <w:t>ami</w:t>
      </w:r>
    </w:p>
    <w:p w:rsidR="00735179" w:rsidRPr="00E62BC7" w:rsidRDefault="00735179" w:rsidP="009B23D5">
      <w:pPr>
        <w:rPr>
          <w:rFonts w:ascii="Arial" w:hAnsi="Arial" w:cs="Arial"/>
          <w:szCs w:val="22"/>
        </w:rPr>
      </w:pPr>
    </w:p>
    <w:p w:rsidR="00063EEB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Na trhu nemusí být všechny velikosti balení.</w:t>
      </w:r>
    </w:p>
    <w:p w:rsidR="00B443B3" w:rsidRDefault="00B443B3" w:rsidP="00B443B3">
      <w:pPr>
        <w:rPr>
          <w:rFonts w:ascii="Arial" w:hAnsi="Arial" w:cs="Arial"/>
        </w:rPr>
      </w:pPr>
    </w:p>
    <w:p w:rsidR="00B443B3" w:rsidRPr="00A61E93" w:rsidRDefault="00B443B3" w:rsidP="00B443B3">
      <w:pPr>
        <w:rPr>
          <w:rFonts w:ascii="Arial" w:hAnsi="Arial" w:cs="Arial"/>
        </w:rPr>
      </w:pPr>
    </w:p>
    <w:p w:rsidR="00063EEB" w:rsidRDefault="00063EEB" w:rsidP="00063EEB">
      <w:pPr>
        <w:ind w:left="0" w:right="-2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Pokud chcete získat informace o tomto veterinárním léčivém přípravku, kontaktujte prosím příslušného místního zástupce držitele rozhodnutí o registraci.</w:t>
      </w:r>
    </w:p>
    <w:p w:rsidR="00F72837" w:rsidRDefault="00F72837" w:rsidP="00063EEB">
      <w:pPr>
        <w:ind w:left="0" w:right="-2" w:firstLine="0"/>
        <w:rPr>
          <w:rFonts w:ascii="Arial" w:hAnsi="Arial" w:cs="Arial"/>
          <w:szCs w:val="22"/>
        </w:rPr>
      </w:pPr>
    </w:p>
    <w:p w:rsidR="00F72837" w:rsidRPr="00E62BC7" w:rsidRDefault="00F72837" w:rsidP="00063EEB">
      <w:pPr>
        <w:ind w:left="0" w:right="-2" w:firstLine="0"/>
        <w:rPr>
          <w:rFonts w:ascii="Arial" w:hAnsi="Arial" w:cs="Arial"/>
          <w:szCs w:val="22"/>
        </w:rPr>
      </w:pPr>
    </w:p>
    <w:sectPr w:rsidR="00F72837" w:rsidRPr="00E62BC7">
      <w:footerReference w:type="default" r:id="rId7"/>
      <w:headerReference w:type="first" r:id="rId8"/>
      <w:footerReference w:type="first" r:id="rId9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BB" w:rsidRDefault="00DF4DBB">
      <w:r>
        <w:separator/>
      </w:r>
    </w:p>
  </w:endnote>
  <w:endnote w:type="continuationSeparator" w:id="0">
    <w:p w:rsidR="00DF4DBB" w:rsidRDefault="00DF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2B" w:rsidRDefault="0074182B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74182B" w:rsidRDefault="0074182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4C47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82B" w:rsidRDefault="0074182B">
    <w:pPr>
      <w:pStyle w:val="Zpat"/>
      <w:tabs>
        <w:tab w:val="clear" w:pos="8930"/>
        <w:tab w:val="right" w:pos="8931"/>
      </w:tabs>
    </w:pPr>
  </w:p>
  <w:p w:rsidR="0074182B" w:rsidRDefault="0074182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4C47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BB" w:rsidRDefault="00DF4DBB">
      <w:r>
        <w:separator/>
      </w:r>
    </w:p>
  </w:footnote>
  <w:footnote w:type="continuationSeparator" w:id="0">
    <w:p w:rsidR="00DF4DBB" w:rsidRDefault="00DF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B4" w:rsidRDefault="000D61B4" w:rsidP="000D61B4">
    <w:pPr>
      <w:pStyle w:val="Zhlav"/>
      <w:rPr>
        <w:lang w:val="cs-CZ"/>
      </w:rPr>
    </w:pPr>
    <w:r>
      <w:rPr>
        <w:lang w:val="cs-CZ"/>
      </w:rPr>
      <w:t xml:space="preserve">       </w:t>
    </w:r>
  </w:p>
  <w:p w:rsidR="0074182B" w:rsidRDefault="007418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5FA1834"/>
    <w:multiLevelType w:val="hybridMultilevel"/>
    <w:tmpl w:val="90EC3930"/>
    <w:lvl w:ilvl="0" w:tplc="19BCB1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D7C5D"/>
    <w:multiLevelType w:val="hybridMultilevel"/>
    <w:tmpl w:val="B3646F4C"/>
    <w:lvl w:ilvl="0" w:tplc="B58418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 w15:restartNumberingAfterBreak="0">
    <w:nsid w:val="7AD63500"/>
    <w:multiLevelType w:val="hybridMultilevel"/>
    <w:tmpl w:val="B0D0969A"/>
    <w:lvl w:ilvl="0" w:tplc="54C8F8B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7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8"/>
  </w:num>
  <w:num w:numId="39">
    <w:abstractNumId w:val="36"/>
  </w:num>
  <w:num w:numId="40">
    <w:abstractNumId w:val="39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41A65"/>
    <w:rsid w:val="00042087"/>
    <w:rsid w:val="00044181"/>
    <w:rsid w:val="00063EEB"/>
    <w:rsid w:val="00080229"/>
    <w:rsid w:val="000851DD"/>
    <w:rsid w:val="0009270A"/>
    <w:rsid w:val="000A7089"/>
    <w:rsid w:val="000B72C1"/>
    <w:rsid w:val="000C19D4"/>
    <w:rsid w:val="000D3DCD"/>
    <w:rsid w:val="000D61B4"/>
    <w:rsid w:val="00100B2A"/>
    <w:rsid w:val="00110A5E"/>
    <w:rsid w:val="00116F84"/>
    <w:rsid w:val="00117102"/>
    <w:rsid w:val="00120BD6"/>
    <w:rsid w:val="00141303"/>
    <w:rsid w:val="001443DA"/>
    <w:rsid w:val="001556FD"/>
    <w:rsid w:val="00155E9D"/>
    <w:rsid w:val="001607D9"/>
    <w:rsid w:val="00166FE0"/>
    <w:rsid w:val="00173CB7"/>
    <w:rsid w:val="0017642C"/>
    <w:rsid w:val="00194D5B"/>
    <w:rsid w:val="001A5535"/>
    <w:rsid w:val="001E4711"/>
    <w:rsid w:val="001E657E"/>
    <w:rsid w:val="001F6D5A"/>
    <w:rsid w:val="002129A7"/>
    <w:rsid w:val="00232221"/>
    <w:rsid w:val="00242FFD"/>
    <w:rsid w:val="0025105F"/>
    <w:rsid w:val="00251529"/>
    <w:rsid w:val="002616E2"/>
    <w:rsid w:val="0026481D"/>
    <w:rsid w:val="0026675D"/>
    <w:rsid w:val="002727B9"/>
    <w:rsid w:val="00287B65"/>
    <w:rsid w:val="0029059E"/>
    <w:rsid w:val="00291C6A"/>
    <w:rsid w:val="00296924"/>
    <w:rsid w:val="00297D18"/>
    <w:rsid w:val="002B10DF"/>
    <w:rsid w:val="002B3B05"/>
    <w:rsid w:val="002B60D6"/>
    <w:rsid w:val="002C4EAF"/>
    <w:rsid w:val="002C5615"/>
    <w:rsid w:val="002D25ED"/>
    <w:rsid w:val="002E6E8E"/>
    <w:rsid w:val="003207A5"/>
    <w:rsid w:val="00324DA9"/>
    <w:rsid w:val="00343A5F"/>
    <w:rsid w:val="00361367"/>
    <w:rsid w:val="00366DB9"/>
    <w:rsid w:val="003914E7"/>
    <w:rsid w:val="003B5038"/>
    <w:rsid w:val="003C024F"/>
    <w:rsid w:val="003E0D57"/>
    <w:rsid w:val="003E5B3E"/>
    <w:rsid w:val="00404C3A"/>
    <w:rsid w:val="004245C5"/>
    <w:rsid w:val="004279A4"/>
    <w:rsid w:val="00430822"/>
    <w:rsid w:val="00440D7A"/>
    <w:rsid w:val="00460312"/>
    <w:rsid w:val="00497915"/>
    <w:rsid w:val="004B742B"/>
    <w:rsid w:val="004C474F"/>
    <w:rsid w:val="00541EAC"/>
    <w:rsid w:val="00554D84"/>
    <w:rsid w:val="00564F76"/>
    <w:rsid w:val="00565D8C"/>
    <w:rsid w:val="00570A3D"/>
    <w:rsid w:val="005A7659"/>
    <w:rsid w:val="005C094C"/>
    <w:rsid w:val="005F2F32"/>
    <w:rsid w:val="00600016"/>
    <w:rsid w:val="00621310"/>
    <w:rsid w:val="006459F5"/>
    <w:rsid w:val="006460E0"/>
    <w:rsid w:val="006474E1"/>
    <w:rsid w:val="00670EA0"/>
    <w:rsid w:val="006832A3"/>
    <w:rsid w:val="006939FC"/>
    <w:rsid w:val="006C7543"/>
    <w:rsid w:val="006F02F6"/>
    <w:rsid w:val="006F09CF"/>
    <w:rsid w:val="006F1710"/>
    <w:rsid w:val="006F2790"/>
    <w:rsid w:val="006F3BC6"/>
    <w:rsid w:val="007023C2"/>
    <w:rsid w:val="00712DC2"/>
    <w:rsid w:val="00731BB9"/>
    <w:rsid w:val="00735179"/>
    <w:rsid w:val="0074182B"/>
    <w:rsid w:val="007473E0"/>
    <w:rsid w:val="00750CCE"/>
    <w:rsid w:val="00752B87"/>
    <w:rsid w:val="00754CB6"/>
    <w:rsid w:val="00776B9F"/>
    <w:rsid w:val="0077740E"/>
    <w:rsid w:val="007939EF"/>
    <w:rsid w:val="00794FEF"/>
    <w:rsid w:val="007B0777"/>
    <w:rsid w:val="007C2899"/>
    <w:rsid w:val="007D12E0"/>
    <w:rsid w:val="007D44C6"/>
    <w:rsid w:val="007F140D"/>
    <w:rsid w:val="007F2165"/>
    <w:rsid w:val="00825AC6"/>
    <w:rsid w:val="00843863"/>
    <w:rsid w:val="00851D09"/>
    <w:rsid w:val="008543EB"/>
    <w:rsid w:val="00855B9A"/>
    <w:rsid w:val="0087364B"/>
    <w:rsid w:val="00880431"/>
    <w:rsid w:val="00890DE0"/>
    <w:rsid w:val="008B1355"/>
    <w:rsid w:val="008C12CB"/>
    <w:rsid w:val="008F5158"/>
    <w:rsid w:val="008F7226"/>
    <w:rsid w:val="00921F46"/>
    <w:rsid w:val="00947F32"/>
    <w:rsid w:val="00993B49"/>
    <w:rsid w:val="009A28A9"/>
    <w:rsid w:val="009B23D5"/>
    <w:rsid w:val="009B68DF"/>
    <w:rsid w:val="009C2873"/>
    <w:rsid w:val="009D129C"/>
    <w:rsid w:val="00A02147"/>
    <w:rsid w:val="00A06651"/>
    <w:rsid w:val="00A10A40"/>
    <w:rsid w:val="00A219CA"/>
    <w:rsid w:val="00A24320"/>
    <w:rsid w:val="00A402E6"/>
    <w:rsid w:val="00A6615B"/>
    <w:rsid w:val="00A71149"/>
    <w:rsid w:val="00A73205"/>
    <w:rsid w:val="00A84A93"/>
    <w:rsid w:val="00A87DEA"/>
    <w:rsid w:val="00A91BCA"/>
    <w:rsid w:val="00A9572E"/>
    <w:rsid w:val="00AB7FB6"/>
    <w:rsid w:val="00AC2807"/>
    <w:rsid w:val="00AF44C4"/>
    <w:rsid w:val="00B410EC"/>
    <w:rsid w:val="00B443B3"/>
    <w:rsid w:val="00B62DA0"/>
    <w:rsid w:val="00B70439"/>
    <w:rsid w:val="00B71A6F"/>
    <w:rsid w:val="00B877B6"/>
    <w:rsid w:val="00BB3A99"/>
    <w:rsid w:val="00BC112F"/>
    <w:rsid w:val="00BC178E"/>
    <w:rsid w:val="00BD01DA"/>
    <w:rsid w:val="00BD2F35"/>
    <w:rsid w:val="00BD38E7"/>
    <w:rsid w:val="00C2087C"/>
    <w:rsid w:val="00C25D0C"/>
    <w:rsid w:val="00C274D0"/>
    <w:rsid w:val="00C309D7"/>
    <w:rsid w:val="00CC3F8E"/>
    <w:rsid w:val="00CD3ADA"/>
    <w:rsid w:val="00CF56D9"/>
    <w:rsid w:val="00D0101E"/>
    <w:rsid w:val="00D05B30"/>
    <w:rsid w:val="00D122F7"/>
    <w:rsid w:val="00D209EB"/>
    <w:rsid w:val="00D26FFF"/>
    <w:rsid w:val="00D61EC2"/>
    <w:rsid w:val="00D66484"/>
    <w:rsid w:val="00D66962"/>
    <w:rsid w:val="00D75F41"/>
    <w:rsid w:val="00D81490"/>
    <w:rsid w:val="00D835CB"/>
    <w:rsid w:val="00DA5D77"/>
    <w:rsid w:val="00DB3413"/>
    <w:rsid w:val="00DB6823"/>
    <w:rsid w:val="00DC3FC4"/>
    <w:rsid w:val="00DF4DBB"/>
    <w:rsid w:val="00E442FD"/>
    <w:rsid w:val="00E4703F"/>
    <w:rsid w:val="00E62BC7"/>
    <w:rsid w:val="00E83F36"/>
    <w:rsid w:val="00E86357"/>
    <w:rsid w:val="00E97387"/>
    <w:rsid w:val="00EA169C"/>
    <w:rsid w:val="00EA2C42"/>
    <w:rsid w:val="00EA553C"/>
    <w:rsid w:val="00EC5082"/>
    <w:rsid w:val="00EC5C9D"/>
    <w:rsid w:val="00ED158A"/>
    <w:rsid w:val="00EE7F78"/>
    <w:rsid w:val="00F04419"/>
    <w:rsid w:val="00F12F6D"/>
    <w:rsid w:val="00F138C1"/>
    <w:rsid w:val="00F324A0"/>
    <w:rsid w:val="00F568FF"/>
    <w:rsid w:val="00F72837"/>
    <w:rsid w:val="00F95F5F"/>
    <w:rsid w:val="00FA4628"/>
    <w:rsid w:val="00FC7927"/>
    <w:rsid w:val="00FD22BD"/>
    <w:rsid w:val="00FD7D7F"/>
    <w:rsid w:val="00FE31D7"/>
    <w:rsid w:val="00FE34AF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679E9"/>
  <w15:chartTrackingRefBased/>
  <w15:docId w15:val="{CA6D453D-36B4-42F1-9C14-FD4595F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  <w:lang w:val="x-none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155E9D"/>
    <w:pPr>
      <w:spacing w:after="120"/>
      <w:ind w:left="283"/>
    </w:pPr>
    <w:rPr>
      <w:lang w:val="x-none"/>
    </w:r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tableaux">
    <w:name w:val="texte tableaux"/>
    <w:basedOn w:val="Normln"/>
    <w:rsid w:val="000C19D4"/>
    <w:pPr>
      <w:spacing w:line="240" w:lineRule="exact"/>
      <w:ind w:left="214" w:hanging="142"/>
    </w:pPr>
    <w:rPr>
      <w:szCs w:val="22"/>
      <w:lang w:val="fr-FR" w:eastAsia="fr-FR"/>
    </w:rPr>
  </w:style>
  <w:style w:type="character" w:customStyle="1" w:styleId="ZhlavChar">
    <w:name w:val="Záhlaví Char"/>
    <w:link w:val="Zhlav"/>
    <w:rsid w:val="007B0777"/>
    <w:rPr>
      <w:rFonts w:ascii="Helvetica" w:hAnsi="Helvetica"/>
      <w:lang w:eastAsia="en-US"/>
    </w:rPr>
  </w:style>
  <w:style w:type="character" w:customStyle="1" w:styleId="ZkladntextodsazenChar">
    <w:name w:val="Základní text odsazený Char"/>
    <w:link w:val="Zkladntextodsazen"/>
    <w:rsid w:val="00FD7D7F"/>
    <w:rPr>
      <w:sz w:val="22"/>
      <w:lang w:eastAsia="en-US"/>
    </w:rPr>
  </w:style>
  <w:style w:type="paragraph" w:styleId="Revize">
    <w:name w:val="Revision"/>
    <w:hidden/>
    <w:uiPriority w:val="99"/>
    <w:semiHidden/>
    <w:rsid w:val="00890DE0"/>
    <w:rPr>
      <w:sz w:val="22"/>
      <w:lang w:eastAsia="en-US"/>
    </w:rPr>
  </w:style>
  <w:style w:type="character" w:customStyle="1" w:styleId="hps">
    <w:name w:val="hps"/>
    <w:basedOn w:val="Standardnpsmoodstavce"/>
    <w:rsid w:val="0074182B"/>
  </w:style>
  <w:style w:type="character" w:customStyle="1" w:styleId="shorttext">
    <w:name w:val="short_text"/>
    <w:basedOn w:val="Standardnpsmoodstavce"/>
    <w:rsid w:val="0074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1362</Words>
  <Characters>8037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1.110728-part1b-Kesium 50 mg-Czech Rep</vt:lpstr>
      <vt:lpstr>1.110728-part1b-Kesium 50 mg-Czech Rep</vt:lpstr>
      <vt:lpstr>1.110728-part1b-Kesium 50 mg-Czech Rep</vt:lpstr>
    </vt:vector>
  </TitlesOfParts>
  <Company>Hewlett-Packard Company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1.110728-part1b-Kesium 50 mg-Czech Rep</dc:title>
  <dc:subject>Sogeval</dc:subject>
  <dc:creator>Kubová Petra</dc:creator>
  <cp:keywords/>
  <cp:lastModifiedBy>Morávková Věra</cp:lastModifiedBy>
  <cp:revision>6</cp:revision>
  <cp:lastPrinted>2013-01-08T07:44:00Z</cp:lastPrinted>
  <dcterms:created xsi:type="dcterms:W3CDTF">2023-05-22T14:25:00Z</dcterms:created>
  <dcterms:modified xsi:type="dcterms:W3CDTF">2023-05-29T13:39:00Z</dcterms:modified>
</cp:coreProperties>
</file>