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5D23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1D16D5A5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100ECAD3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2287B6C1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4B7AC322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3F9CD1F5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7E2F7F57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7F35168D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32AF196F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026F74B2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08DC7B14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0D6A5A67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441AEB5D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57C42417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1AA96BA9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7093FC0C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78394766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751BC0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B66CCA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786BA2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C5EF0F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70D7AF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0F281F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82F50B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FF8148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7F03B4">
        <w:rPr>
          <w:b/>
          <w:bCs/>
          <w:szCs w:val="22"/>
          <w:lang w:val="cs-CZ"/>
        </w:rPr>
        <w:t>B. PŘÍBALOVÁ INFORMACE</w:t>
      </w:r>
    </w:p>
    <w:p w14:paraId="210FA2A4" w14:textId="77777777" w:rsidR="00C114FF" w:rsidRPr="007F03B4" w:rsidRDefault="00C114FF" w:rsidP="00775873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7F03B4">
        <w:rPr>
          <w:szCs w:val="22"/>
          <w:lang w:val="cs-CZ"/>
        </w:rPr>
        <w:br w:type="page"/>
      </w:r>
      <w:r w:rsidRPr="007F03B4">
        <w:rPr>
          <w:b/>
          <w:bCs/>
          <w:szCs w:val="22"/>
          <w:lang w:val="cs-CZ"/>
        </w:rPr>
        <w:lastRenderedPageBreak/>
        <w:t>PŘÍBALOVÁ INFORMACE:</w:t>
      </w:r>
    </w:p>
    <w:p w14:paraId="6FDF2E3D" w14:textId="77777777" w:rsidR="00C114FF" w:rsidRPr="007F03B4" w:rsidRDefault="00C114FF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15331D" w14:textId="32BB8B63" w:rsidR="00C114FF" w:rsidRPr="007F03B4" w:rsidRDefault="0090451C" w:rsidP="00775873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1</w:t>
      </w:r>
      <w:r w:rsidR="00C114FF" w:rsidRPr="007F03B4">
        <w:rPr>
          <w:b/>
          <w:bCs/>
          <w:szCs w:val="22"/>
          <w:highlight w:val="lightGray"/>
          <w:lang w:val="cs-CZ"/>
        </w:rPr>
        <w:t>.</w:t>
      </w:r>
      <w:r w:rsidR="00C114FF" w:rsidRPr="007F03B4">
        <w:rPr>
          <w:b/>
          <w:bCs/>
          <w:szCs w:val="22"/>
          <w:lang w:val="cs-CZ"/>
        </w:rPr>
        <w:tab/>
      </w:r>
      <w:r w:rsidRPr="007F03B4">
        <w:rPr>
          <w:b/>
          <w:bCs/>
          <w:szCs w:val="22"/>
          <w:lang w:val="cs-CZ"/>
        </w:rPr>
        <w:t>Název veterinárního léčivého přípravku</w:t>
      </w:r>
    </w:p>
    <w:p w14:paraId="4356BDCC" w14:textId="77777777" w:rsidR="00775873" w:rsidRPr="007F03B4" w:rsidRDefault="00775873" w:rsidP="0077587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BC01EA" w14:textId="77777777" w:rsidR="00E43081" w:rsidRPr="007F03B4" w:rsidRDefault="007A4417" w:rsidP="00775873">
      <w:pPr>
        <w:pStyle w:val="BODY"/>
        <w:spacing w:after="0"/>
        <w:contextualSpacing w:val="0"/>
        <w:rPr>
          <w:szCs w:val="22"/>
          <w:lang w:val="cs-CZ"/>
        </w:rPr>
      </w:pPr>
      <w:r w:rsidRPr="007F03B4">
        <w:rPr>
          <w:szCs w:val="22"/>
          <w:lang w:val="cs-CZ"/>
        </w:rPr>
        <w:t>Solupam 5 mg/ml injekční roztok pro psy a kočky</w:t>
      </w:r>
    </w:p>
    <w:p w14:paraId="7468566F" w14:textId="086EF8E5" w:rsidR="00775873" w:rsidRPr="007F03B4" w:rsidRDefault="00775873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244F0F7B" w14:textId="77777777" w:rsidR="007A750E" w:rsidRPr="007F03B4" w:rsidRDefault="007A750E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61C8E8D8" w14:textId="428202B8" w:rsidR="00C114FF" w:rsidRPr="007F03B4" w:rsidRDefault="0090451C" w:rsidP="00775873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2</w:t>
      </w:r>
      <w:r w:rsidR="00C114FF" w:rsidRPr="007F03B4">
        <w:rPr>
          <w:b/>
          <w:bCs/>
          <w:szCs w:val="22"/>
          <w:highlight w:val="lightGray"/>
          <w:lang w:val="cs-CZ"/>
        </w:rPr>
        <w:t>.</w:t>
      </w:r>
      <w:r w:rsidR="00C114FF" w:rsidRPr="007F03B4">
        <w:rPr>
          <w:b/>
          <w:bCs/>
          <w:szCs w:val="22"/>
          <w:lang w:val="cs-CZ"/>
        </w:rPr>
        <w:tab/>
      </w:r>
      <w:r w:rsidRPr="007F03B4">
        <w:rPr>
          <w:b/>
          <w:bCs/>
          <w:szCs w:val="22"/>
          <w:lang w:val="cs-CZ"/>
        </w:rPr>
        <w:t>Složení</w:t>
      </w:r>
    </w:p>
    <w:p w14:paraId="73997E82" w14:textId="77777777" w:rsidR="00775873" w:rsidRPr="007F03B4" w:rsidRDefault="00775873" w:rsidP="0077587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972B79" w14:textId="77777777" w:rsidR="00FB1CE0" w:rsidRPr="007F03B4" w:rsidRDefault="00FB1CE0" w:rsidP="0077587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7F03B4">
        <w:rPr>
          <w:szCs w:val="22"/>
          <w:lang w:val="cs-CZ"/>
        </w:rPr>
        <w:t xml:space="preserve">Jeden ml obsahuje: </w:t>
      </w:r>
    </w:p>
    <w:p w14:paraId="5C6BB0AC" w14:textId="77777777" w:rsidR="00FB1CE0" w:rsidRPr="007F03B4" w:rsidRDefault="00FB1CE0" w:rsidP="0077587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65B005" w14:textId="77777777" w:rsidR="00E43081" w:rsidRPr="007F03B4" w:rsidRDefault="00E43081" w:rsidP="00E43081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7F03B4">
        <w:rPr>
          <w:b/>
          <w:bCs/>
          <w:szCs w:val="22"/>
          <w:lang w:val="cs-CZ"/>
        </w:rPr>
        <w:t>Léčivá látka:</w:t>
      </w:r>
    </w:p>
    <w:p w14:paraId="1A1E7B1F" w14:textId="77777777" w:rsidR="00892C08" w:rsidRPr="007F03B4" w:rsidRDefault="00892C08" w:rsidP="00892C0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F03B4">
        <w:rPr>
          <w:szCs w:val="22"/>
          <w:lang w:val="cs-CZ"/>
        </w:rPr>
        <w:t>Diazepamum</w:t>
      </w:r>
      <w:r w:rsidRPr="007F03B4">
        <w:rPr>
          <w:szCs w:val="22"/>
          <w:lang w:val="cs-CZ"/>
        </w:rPr>
        <w:tab/>
      </w:r>
      <w:r w:rsidRPr="007F03B4">
        <w:rPr>
          <w:szCs w:val="22"/>
          <w:lang w:val="cs-CZ"/>
        </w:rPr>
        <w:tab/>
      </w:r>
      <w:r w:rsidRPr="007F03B4">
        <w:rPr>
          <w:szCs w:val="22"/>
          <w:lang w:val="cs-CZ"/>
        </w:rPr>
        <w:tab/>
      </w:r>
      <w:r w:rsidRPr="007F03B4">
        <w:rPr>
          <w:szCs w:val="22"/>
          <w:lang w:val="cs-CZ"/>
        </w:rPr>
        <w:tab/>
        <w:t xml:space="preserve">5,0 mg </w:t>
      </w:r>
    </w:p>
    <w:p w14:paraId="1E661CCB" w14:textId="77777777" w:rsidR="00892C08" w:rsidRPr="007F03B4" w:rsidRDefault="00892C08" w:rsidP="00892C0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E6B6AFE" w14:textId="77777777" w:rsidR="00E43081" w:rsidRPr="007F03B4" w:rsidRDefault="00E43081" w:rsidP="00892C0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F03B4">
        <w:rPr>
          <w:b/>
          <w:bCs/>
          <w:szCs w:val="22"/>
          <w:lang w:val="cs-CZ"/>
        </w:rPr>
        <w:t>Pomocné látky:</w:t>
      </w:r>
    </w:p>
    <w:p w14:paraId="09F4648C" w14:textId="77777777" w:rsidR="00B50EA1" w:rsidRPr="007F03B4" w:rsidRDefault="00B50EA1" w:rsidP="00B50EA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F03B4">
        <w:rPr>
          <w:szCs w:val="22"/>
          <w:lang w:val="cs-CZ"/>
        </w:rPr>
        <w:t>Benzylalkohol (E1519)</w:t>
      </w:r>
      <w:r w:rsidRPr="007F03B4">
        <w:rPr>
          <w:szCs w:val="22"/>
          <w:lang w:val="cs-CZ"/>
        </w:rPr>
        <w:tab/>
      </w:r>
      <w:r w:rsidRPr="007F03B4">
        <w:rPr>
          <w:szCs w:val="22"/>
          <w:lang w:val="cs-CZ"/>
        </w:rPr>
        <w:tab/>
      </w:r>
      <w:r w:rsidRPr="007F03B4">
        <w:rPr>
          <w:szCs w:val="22"/>
          <w:lang w:val="cs-CZ"/>
        </w:rPr>
        <w:tab/>
        <w:t>15,7 mg</w:t>
      </w:r>
    </w:p>
    <w:p w14:paraId="7FC21344" w14:textId="77777777" w:rsidR="00131F5C" w:rsidRPr="007F03B4" w:rsidRDefault="00131F5C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536A11AF" w14:textId="4E77FD66" w:rsidR="00775873" w:rsidRPr="007F03B4" w:rsidRDefault="002C438A" w:rsidP="00775873">
      <w:pPr>
        <w:pStyle w:val="BODY"/>
        <w:spacing w:after="0"/>
        <w:contextualSpacing w:val="0"/>
        <w:rPr>
          <w:szCs w:val="22"/>
          <w:lang w:val="cs-CZ"/>
        </w:rPr>
      </w:pPr>
      <w:r w:rsidRPr="007F03B4">
        <w:rPr>
          <w:szCs w:val="22"/>
          <w:lang w:val="cs-CZ"/>
        </w:rPr>
        <w:t>Čirý, ž</w:t>
      </w:r>
      <w:r w:rsidR="00CE3652" w:rsidRPr="007F03B4">
        <w:rPr>
          <w:szCs w:val="22"/>
          <w:lang w:val="cs-CZ"/>
        </w:rPr>
        <w:t xml:space="preserve">lutozelený </w:t>
      </w:r>
      <w:proofErr w:type="gramStart"/>
      <w:r w:rsidR="00CE3652" w:rsidRPr="007F03B4">
        <w:rPr>
          <w:szCs w:val="22"/>
          <w:lang w:val="cs-CZ"/>
        </w:rPr>
        <w:t xml:space="preserve">roztok </w:t>
      </w:r>
      <w:r w:rsidRPr="007F03B4">
        <w:rPr>
          <w:szCs w:val="22"/>
          <w:lang w:val="cs-CZ"/>
        </w:rPr>
        <w:t> s</w:t>
      </w:r>
      <w:proofErr w:type="gramEnd"/>
      <w:r w:rsidRPr="007F03B4">
        <w:rPr>
          <w:szCs w:val="22"/>
          <w:lang w:val="cs-CZ"/>
        </w:rPr>
        <w:t> </w:t>
      </w:r>
      <w:r w:rsidR="00CE3652" w:rsidRPr="007F03B4">
        <w:rPr>
          <w:szCs w:val="22"/>
          <w:lang w:val="cs-CZ"/>
        </w:rPr>
        <w:t>pH 6,2–7,2</w:t>
      </w:r>
    </w:p>
    <w:p w14:paraId="27355BB0" w14:textId="759E9709" w:rsidR="00775873" w:rsidRPr="007F03B4" w:rsidRDefault="00775873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60153585" w14:textId="77777777" w:rsidR="007A750E" w:rsidRPr="007F03B4" w:rsidRDefault="007A750E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1611DF23" w14:textId="14AA8808" w:rsidR="0090451C" w:rsidRPr="007F03B4" w:rsidRDefault="0090451C" w:rsidP="0090451C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3.</w:t>
      </w:r>
      <w:r w:rsidRPr="007F03B4">
        <w:rPr>
          <w:b/>
          <w:bCs/>
          <w:szCs w:val="22"/>
          <w:lang w:val="cs-CZ"/>
        </w:rPr>
        <w:tab/>
        <w:t>Cílové druhy zvířat</w:t>
      </w:r>
    </w:p>
    <w:p w14:paraId="46A9F441" w14:textId="77777777" w:rsidR="0090451C" w:rsidRPr="007F03B4" w:rsidRDefault="0090451C" w:rsidP="0090451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0C3C18" w14:textId="77777777" w:rsidR="0090451C" w:rsidRPr="007F03B4" w:rsidRDefault="0090451C" w:rsidP="0090451C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7F03B4">
        <w:rPr>
          <w:rFonts w:ascii="Times New Roman" w:hAnsi="Times New Roman"/>
          <w:sz w:val="22"/>
          <w:szCs w:val="22"/>
          <w:lang w:val="cs-CZ"/>
        </w:rPr>
        <w:t>Psi a kočky</w:t>
      </w:r>
    </w:p>
    <w:p w14:paraId="4D6A11AD" w14:textId="77777777" w:rsidR="0090451C" w:rsidRPr="007F03B4" w:rsidRDefault="0090451C" w:rsidP="0090451C">
      <w:pPr>
        <w:pStyle w:val="Geenafstand1"/>
        <w:rPr>
          <w:rFonts w:ascii="Times New Roman" w:hAnsi="Times New Roman"/>
          <w:sz w:val="22"/>
          <w:szCs w:val="22"/>
          <w:lang w:val="cs-CZ"/>
        </w:rPr>
      </w:pPr>
    </w:p>
    <w:p w14:paraId="7934F316" w14:textId="77777777" w:rsidR="0090451C" w:rsidRPr="007F03B4" w:rsidRDefault="0090451C" w:rsidP="0090451C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r w:rsidRPr="007F03B4">
        <w:rPr>
          <w:noProof/>
          <w:szCs w:val="22"/>
          <w:lang w:val="cs-CZ"/>
        </w:rPr>
        <w:drawing>
          <wp:inline distT="0" distB="0" distL="0" distR="0" wp14:anchorId="7F5E851B" wp14:editId="68254F39">
            <wp:extent cx="609600" cy="438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3B4">
        <w:rPr>
          <w:noProof/>
          <w:szCs w:val="22"/>
          <w:lang w:val="cs-CZ"/>
        </w:rPr>
        <w:drawing>
          <wp:inline distT="0" distB="0" distL="0" distR="0" wp14:anchorId="7A5D25A1" wp14:editId="62798F37">
            <wp:extent cx="314325" cy="371475"/>
            <wp:effectExtent l="0" t="0" r="0" b="0"/>
            <wp:docPr id="2" name="Afbeelding 2" descr="cat_Sitting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_Sitting_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2A91" w14:textId="0CF891CF" w:rsidR="0090451C" w:rsidRPr="007F03B4" w:rsidRDefault="0090451C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36FE587D" w14:textId="77777777" w:rsidR="0090451C" w:rsidRPr="007F03B4" w:rsidRDefault="0090451C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450B451B" w14:textId="0968B069" w:rsidR="00C114FF" w:rsidRPr="007F03B4" w:rsidRDefault="00C114FF" w:rsidP="004E299B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4.</w:t>
      </w:r>
      <w:r w:rsidRPr="007F03B4">
        <w:rPr>
          <w:b/>
          <w:bCs/>
          <w:szCs w:val="22"/>
          <w:lang w:val="cs-CZ"/>
        </w:rPr>
        <w:tab/>
      </w:r>
      <w:r w:rsidR="0090451C" w:rsidRPr="007F03B4">
        <w:rPr>
          <w:b/>
          <w:bCs/>
          <w:szCs w:val="22"/>
          <w:lang w:val="cs-CZ"/>
        </w:rPr>
        <w:t>Indikace pro použití</w:t>
      </w:r>
    </w:p>
    <w:p w14:paraId="5C66F24D" w14:textId="77777777" w:rsidR="00B50EA1" w:rsidRPr="007F03B4" w:rsidRDefault="00B50EA1" w:rsidP="004E299B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</w:p>
    <w:p w14:paraId="746A5779" w14:textId="77777777" w:rsidR="00A37FDA" w:rsidRPr="007F03B4" w:rsidRDefault="00E167C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K</w:t>
      </w:r>
      <w:r w:rsidR="00A37FDA" w:rsidRPr="007F03B4">
        <w:rPr>
          <w:szCs w:val="22"/>
          <w:lang w:val="cs-CZ"/>
        </w:rPr>
        <w:t>rátkodob</w:t>
      </w:r>
      <w:r w:rsidRPr="007F03B4">
        <w:rPr>
          <w:szCs w:val="22"/>
          <w:lang w:val="cs-CZ"/>
        </w:rPr>
        <w:t>á</w:t>
      </w:r>
      <w:r w:rsidR="00A37FDA" w:rsidRPr="007F03B4">
        <w:rPr>
          <w:szCs w:val="22"/>
          <w:lang w:val="cs-CZ"/>
        </w:rPr>
        <w:t xml:space="preserve"> léčb</w:t>
      </w:r>
      <w:r w:rsidRPr="007F03B4">
        <w:rPr>
          <w:szCs w:val="22"/>
          <w:lang w:val="cs-CZ"/>
        </w:rPr>
        <w:t>a</w:t>
      </w:r>
      <w:r w:rsidR="00A37FDA" w:rsidRPr="007F03B4">
        <w:rPr>
          <w:szCs w:val="22"/>
          <w:lang w:val="cs-CZ"/>
        </w:rPr>
        <w:t xml:space="preserve"> křečových stavů a křečí kosterních svalů centrálního a periferního původu.</w:t>
      </w:r>
    </w:p>
    <w:p w14:paraId="2EAAC58D" w14:textId="77777777" w:rsidR="00B50EA1" w:rsidRPr="007F03B4" w:rsidRDefault="00B50EA1" w:rsidP="004E299B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Součást protokolu před celkovou anestézií nebo sedací.</w:t>
      </w:r>
    </w:p>
    <w:p w14:paraId="68699128" w14:textId="6933A705" w:rsidR="00775873" w:rsidRPr="007F03B4" w:rsidRDefault="00775873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D9B579C" w14:textId="77777777" w:rsidR="007A750E" w:rsidRPr="007F03B4" w:rsidRDefault="007A750E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4F28AB1" w14:textId="66F09070" w:rsidR="00C114FF" w:rsidRPr="007F03B4" w:rsidRDefault="00C114FF" w:rsidP="004E299B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5.</w:t>
      </w:r>
      <w:r w:rsidRPr="007F03B4">
        <w:rPr>
          <w:b/>
          <w:bCs/>
          <w:szCs w:val="22"/>
          <w:lang w:val="cs-CZ"/>
        </w:rPr>
        <w:tab/>
      </w:r>
      <w:r w:rsidR="0090451C" w:rsidRPr="007F03B4">
        <w:rPr>
          <w:b/>
          <w:bCs/>
          <w:szCs w:val="22"/>
          <w:lang w:val="cs-CZ"/>
        </w:rPr>
        <w:t>Kontraindikace</w:t>
      </w:r>
    </w:p>
    <w:p w14:paraId="57BF7600" w14:textId="77777777" w:rsidR="00775873" w:rsidRPr="007F03B4" w:rsidRDefault="00775873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71EC5B3" w14:textId="0430FBA6" w:rsidR="00B50EA1" w:rsidRPr="007F03B4" w:rsidRDefault="00B50EA1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0" w:name="_Hlk479256679"/>
      <w:r w:rsidRPr="007F03B4">
        <w:rPr>
          <w:szCs w:val="22"/>
          <w:lang w:val="cs-CZ"/>
        </w:rPr>
        <w:t>Nepoužívat v případ</w:t>
      </w:r>
      <w:r w:rsidR="00DF153C">
        <w:rPr>
          <w:szCs w:val="22"/>
          <w:lang w:val="cs-CZ"/>
        </w:rPr>
        <w:t>ech</w:t>
      </w:r>
      <w:r w:rsidRPr="007F03B4">
        <w:rPr>
          <w:szCs w:val="22"/>
          <w:lang w:val="cs-CZ"/>
        </w:rPr>
        <w:t xml:space="preserve"> přecitlivělosti na léčivou látku nebo na některou z pomocných látek.</w:t>
      </w:r>
    </w:p>
    <w:p w14:paraId="22934CDB" w14:textId="77777777" w:rsidR="00A37FDA" w:rsidRPr="007F03B4" w:rsidRDefault="00A37FDA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Nepoužívat v případech závažných onemocnění jater.</w:t>
      </w:r>
    </w:p>
    <w:p w14:paraId="07F82575" w14:textId="1B92A25A" w:rsidR="008623FD" w:rsidRPr="007F03B4" w:rsidRDefault="008623F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36B1123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bookmarkEnd w:id="0"/>
    <w:p w14:paraId="010A2F4F" w14:textId="77777777" w:rsidR="00A837DD" w:rsidRPr="007F03B4" w:rsidRDefault="00A837DD" w:rsidP="004E299B">
      <w:pPr>
        <w:pStyle w:val="Style1"/>
        <w:jc w:val="both"/>
      </w:pPr>
      <w:r w:rsidRPr="007F03B4">
        <w:rPr>
          <w:highlight w:val="lightGray"/>
        </w:rPr>
        <w:t>6.</w:t>
      </w:r>
      <w:r w:rsidRPr="007F03B4">
        <w:tab/>
        <w:t>Zvláštní upozornění</w:t>
      </w:r>
    </w:p>
    <w:p w14:paraId="7EC5A1AB" w14:textId="0C33F152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2C1ACFD" w14:textId="639D201C" w:rsidR="00A837DD" w:rsidRPr="007F03B4" w:rsidRDefault="00A837DD" w:rsidP="004E299B">
      <w:pPr>
        <w:keepNext/>
        <w:tabs>
          <w:tab w:val="left" w:pos="1260"/>
        </w:tabs>
        <w:jc w:val="both"/>
        <w:rPr>
          <w:szCs w:val="22"/>
          <w:u w:val="single"/>
          <w:lang w:val="cs-CZ"/>
        </w:rPr>
      </w:pPr>
      <w:r w:rsidRPr="007F03B4">
        <w:rPr>
          <w:szCs w:val="22"/>
          <w:u w:val="single"/>
          <w:lang w:val="cs-CZ"/>
        </w:rPr>
        <w:t>Zvláštní upozornění:</w:t>
      </w:r>
    </w:p>
    <w:p w14:paraId="4B1628AC" w14:textId="77777777" w:rsidR="00A837DD" w:rsidRPr="007F03B4" w:rsidRDefault="00A837DD" w:rsidP="004E299B">
      <w:pPr>
        <w:tabs>
          <w:tab w:val="left" w:pos="1260"/>
        </w:tabs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Samotný diazepam je méně účinný jako sedativum při použití u zvířat, která jsou již rozrušená.</w:t>
      </w:r>
    </w:p>
    <w:p w14:paraId="2C232241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szCs w:val="22"/>
          <w:lang w:val="cs-CZ"/>
        </w:rPr>
        <w:t>Diazepam může způsobit sedaci a dezorientaci a měl by být používán opatrně u pracujících zvířat, jako jsou vojenští, policejní nebo služební psi.</w:t>
      </w:r>
    </w:p>
    <w:p w14:paraId="5AE5F44C" w14:textId="77777777" w:rsidR="00A837DD" w:rsidRPr="007F03B4" w:rsidRDefault="00A837DD" w:rsidP="004E299B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</w:p>
    <w:p w14:paraId="42D9FBE6" w14:textId="096ADC96" w:rsidR="00A837DD" w:rsidRPr="007F03B4" w:rsidRDefault="00A837DD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u w:val="single"/>
          <w:lang w:val="cs-CZ"/>
        </w:rPr>
        <w:t>Zvláštní opatření pro bezpečné použití u cílových druhů zvířat:</w:t>
      </w:r>
    </w:p>
    <w:p w14:paraId="3FA17CCC" w14:textId="77777777" w:rsidR="00A837DD" w:rsidRPr="007F03B4" w:rsidRDefault="00A837DD" w:rsidP="004E299B">
      <w:pPr>
        <w:tabs>
          <w:tab w:val="num" w:pos="1260"/>
        </w:tabs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Přípravek by se měl používat s opatrností u zvířat s onemocněním jater nebo ledvin a u oslabených, dehydratovaných, anemických, obézních nebo geriatrických zvířat.</w:t>
      </w:r>
    </w:p>
    <w:p w14:paraId="313D7A92" w14:textId="77777777" w:rsidR="00A837DD" w:rsidRPr="007F03B4" w:rsidRDefault="00A837DD" w:rsidP="004E299B">
      <w:pPr>
        <w:tabs>
          <w:tab w:val="num" w:pos="1260"/>
        </w:tabs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Přípravek by měl být používán opatrně u zvířat v šoku, kómatu nebo s výraznou respirační depresí.</w:t>
      </w:r>
    </w:p>
    <w:p w14:paraId="1E94126D" w14:textId="77777777" w:rsidR="00A837DD" w:rsidRPr="007F03B4" w:rsidRDefault="00A837DD" w:rsidP="004E299B">
      <w:pPr>
        <w:spacing w:line="250" w:lineRule="exact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Přípravek by měl být používán opatrně u zvířat postižených glaukomem.</w:t>
      </w:r>
    </w:p>
    <w:p w14:paraId="31939BD7" w14:textId="77777777" w:rsidR="00A837DD" w:rsidRPr="007F03B4" w:rsidRDefault="00A837DD" w:rsidP="004E299B">
      <w:pPr>
        <w:tabs>
          <w:tab w:val="num" w:pos="1260"/>
        </w:tabs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 xml:space="preserve">Diazepam se nedoporučuje používat pro konvulzivní poruchu u koček v případě chronické </w:t>
      </w:r>
      <w:bookmarkStart w:id="1" w:name="_Hlk523124259"/>
      <w:r w:rsidRPr="007F03B4">
        <w:rPr>
          <w:szCs w:val="22"/>
          <w:lang w:val="cs-CZ"/>
        </w:rPr>
        <w:t xml:space="preserve">otravy pesticidy </w:t>
      </w:r>
      <w:bookmarkEnd w:id="1"/>
      <w:r w:rsidRPr="007F03B4">
        <w:rPr>
          <w:szCs w:val="22"/>
          <w:lang w:val="cs-CZ"/>
        </w:rPr>
        <w:t>(chlorpyrifos), protože může být potencována toxicita těchto organofosforečnanů.</w:t>
      </w:r>
    </w:p>
    <w:p w14:paraId="06CE6272" w14:textId="5F8AC8B6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lastRenderedPageBreak/>
        <w:t xml:space="preserve">Při použití diazepamu jako jediného přípravku mohou být pozorovány paradoxní reakce (včetně excitace, </w:t>
      </w:r>
      <w:proofErr w:type="spellStart"/>
      <w:r w:rsidRPr="007F03B4">
        <w:rPr>
          <w:szCs w:val="22"/>
          <w:lang w:val="cs-CZ"/>
        </w:rPr>
        <w:t>d</w:t>
      </w:r>
      <w:r w:rsidR="00B81B31">
        <w:rPr>
          <w:szCs w:val="22"/>
          <w:lang w:val="cs-CZ"/>
        </w:rPr>
        <w:t>e</w:t>
      </w:r>
      <w:r w:rsidR="00DE0DD7">
        <w:rPr>
          <w:szCs w:val="22"/>
          <w:lang w:val="cs-CZ"/>
        </w:rPr>
        <w:t>s</w:t>
      </w:r>
      <w:r w:rsidRPr="007F03B4">
        <w:rPr>
          <w:szCs w:val="22"/>
          <w:lang w:val="cs-CZ"/>
        </w:rPr>
        <w:t>inhibujícího</w:t>
      </w:r>
      <w:proofErr w:type="spellEnd"/>
      <w:r w:rsidRPr="007F03B4">
        <w:rPr>
          <w:szCs w:val="22"/>
          <w:lang w:val="cs-CZ"/>
        </w:rPr>
        <w:t xml:space="preserve"> účinku a agrese), a proto je třeba se vyhnout použití samotného diazepamu u potenciálně agresivních zvířat.</w:t>
      </w:r>
    </w:p>
    <w:p w14:paraId="36A37300" w14:textId="77777777" w:rsidR="00A837DD" w:rsidRPr="007F03B4" w:rsidRDefault="00A837DD" w:rsidP="004E299B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</w:p>
    <w:p w14:paraId="377F9AB2" w14:textId="60812C42" w:rsidR="00A837DD" w:rsidRPr="007F03B4" w:rsidRDefault="00A837DD" w:rsidP="00A837D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7F03B4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355E7462" w14:textId="368B17FD" w:rsidR="00A837DD" w:rsidRPr="007F03B4" w:rsidRDefault="00A837DD" w:rsidP="00E7120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 xml:space="preserve">Diazepam tlumí CNS a může způsobovat sedaci a indukovat spánek. </w:t>
      </w:r>
      <w:r w:rsidR="00271E98">
        <w:rPr>
          <w:szCs w:val="22"/>
          <w:lang w:val="cs-CZ"/>
        </w:rPr>
        <w:t xml:space="preserve">Zabraňte </w:t>
      </w:r>
      <w:r w:rsidRPr="007F03B4">
        <w:rPr>
          <w:szCs w:val="22"/>
          <w:lang w:val="cs-CZ"/>
        </w:rPr>
        <w:t xml:space="preserve">náhodnému </w:t>
      </w:r>
      <w:proofErr w:type="spellStart"/>
      <w:r w:rsidRPr="007F03B4">
        <w:rPr>
          <w:szCs w:val="22"/>
          <w:lang w:val="cs-CZ"/>
        </w:rPr>
        <w:t>samopodání</w:t>
      </w:r>
      <w:proofErr w:type="spellEnd"/>
      <w:r w:rsidRPr="007F03B4">
        <w:rPr>
          <w:szCs w:val="22"/>
          <w:lang w:val="cs-CZ"/>
        </w:rPr>
        <w:t xml:space="preserve"> injekce. V případě náhodného sebepoškození injekčně aplikovaným přípravkem, vyhledejte ihned lékařskou pomoc a ukažte příbalovou informaci praktickému lékaři</w:t>
      </w:r>
      <w:r w:rsidR="00271E98">
        <w:rPr>
          <w:szCs w:val="22"/>
          <w:lang w:val="cs-CZ"/>
        </w:rPr>
        <w:t xml:space="preserve">, ale </w:t>
      </w:r>
      <w:r w:rsidRPr="007F03B4">
        <w:rPr>
          <w:szCs w:val="22"/>
          <w:lang w:val="cs-CZ"/>
        </w:rPr>
        <w:t xml:space="preserve">NEŘIĎTE MOTOROVÉ VOZIDLO, neboť může dojít k </w:t>
      </w:r>
      <w:proofErr w:type="spellStart"/>
      <w:r w:rsidRPr="007F03B4">
        <w:rPr>
          <w:szCs w:val="22"/>
          <w:lang w:val="cs-CZ"/>
        </w:rPr>
        <w:t>sedaci</w:t>
      </w:r>
      <w:proofErr w:type="spellEnd"/>
      <w:r w:rsidRPr="007F03B4">
        <w:rPr>
          <w:szCs w:val="22"/>
          <w:lang w:val="cs-CZ"/>
        </w:rPr>
        <w:t xml:space="preserve"> a narušení svalov</w:t>
      </w:r>
      <w:r w:rsidR="00271E98">
        <w:rPr>
          <w:szCs w:val="22"/>
          <w:lang w:val="cs-CZ"/>
        </w:rPr>
        <w:t>ých</w:t>
      </w:r>
      <w:r w:rsidRPr="007F03B4">
        <w:rPr>
          <w:szCs w:val="22"/>
          <w:lang w:val="cs-CZ"/>
        </w:rPr>
        <w:t xml:space="preserve"> funkc</w:t>
      </w:r>
      <w:r w:rsidR="00271E98">
        <w:rPr>
          <w:szCs w:val="22"/>
          <w:lang w:val="cs-CZ"/>
        </w:rPr>
        <w:t>í</w:t>
      </w:r>
      <w:r w:rsidRPr="007F03B4">
        <w:rPr>
          <w:szCs w:val="22"/>
          <w:lang w:val="cs-CZ"/>
        </w:rPr>
        <w:t>.</w:t>
      </w:r>
    </w:p>
    <w:p w14:paraId="03A3A5A7" w14:textId="3112E50E" w:rsidR="00A837DD" w:rsidRPr="007F03B4" w:rsidRDefault="00A837DD" w:rsidP="00E7120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Diazepam a jeho metabolity mohou být škodlivé pro lidský plod a jsou vylučovány do mateřského mléka v malých množstvích, čímž farmakologicky působí na kojené</w:t>
      </w:r>
      <w:r w:rsidR="00271E98">
        <w:rPr>
          <w:szCs w:val="22"/>
          <w:lang w:val="cs-CZ"/>
        </w:rPr>
        <w:t>ho</w:t>
      </w:r>
      <w:r w:rsidRPr="007F03B4">
        <w:rPr>
          <w:szCs w:val="22"/>
          <w:lang w:val="cs-CZ"/>
        </w:rPr>
        <w:t xml:space="preserve"> novorozence. Těhotné ženy, ženy mající v úmyslu otěhotnět a kojící ženy by se proto měly vyhnout manipulaci s tímto přípravkem nebo by s</w:t>
      </w:r>
      <w:r w:rsidR="0079491E">
        <w:rPr>
          <w:szCs w:val="22"/>
          <w:lang w:val="cs-CZ"/>
        </w:rPr>
        <w:t> </w:t>
      </w:r>
      <w:r w:rsidRPr="007F03B4">
        <w:rPr>
          <w:szCs w:val="22"/>
          <w:lang w:val="cs-CZ"/>
        </w:rPr>
        <w:t xml:space="preserve">ním měly manipulovat velmi obezřetně a v případě expozice by měly </w:t>
      </w:r>
      <w:r w:rsidR="00271E98">
        <w:rPr>
          <w:szCs w:val="22"/>
          <w:lang w:val="cs-CZ"/>
        </w:rPr>
        <w:t>ihned</w:t>
      </w:r>
      <w:r w:rsidRPr="007F03B4">
        <w:rPr>
          <w:szCs w:val="22"/>
          <w:lang w:val="cs-CZ"/>
        </w:rPr>
        <w:t xml:space="preserve"> vyhledat lékařskou pomoc.</w:t>
      </w:r>
    </w:p>
    <w:p w14:paraId="3816A72C" w14:textId="77777777" w:rsidR="00A837DD" w:rsidRPr="007F03B4" w:rsidRDefault="00A837DD" w:rsidP="00E7120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Lidé se známou přecitlivělostí na diazepam nebo na pomocné látky by se měli vyhnout kontaktu s veterinárním léčivým přípravkem.</w:t>
      </w:r>
    </w:p>
    <w:p w14:paraId="581822F7" w14:textId="79915962" w:rsidR="00A837DD" w:rsidRPr="007F03B4" w:rsidRDefault="00A837DD" w:rsidP="00E7120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Tento přípravek obsahuje benzyl alkohol a může způsobit podráždění kůže. Zabraňte kontaktu s kůží. V</w:t>
      </w:r>
      <w:r w:rsidR="0079491E">
        <w:rPr>
          <w:szCs w:val="22"/>
          <w:lang w:val="cs-CZ"/>
        </w:rPr>
        <w:t> </w:t>
      </w:r>
      <w:r w:rsidRPr="007F03B4">
        <w:rPr>
          <w:szCs w:val="22"/>
          <w:lang w:val="cs-CZ"/>
        </w:rPr>
        <w:t>případě kontaktu s kůží omyjte vodou a mýdlem. Pokud podráždění přetrvává, vyhledejte lékařskou pomoc. Po použití si umyjte ruce.</w:t>
      </w:r>
    </w:p>
    <w:p w14:paraId="310251B8" w14:textId="39500146" w:rsidR="00A837DD" w:rsidRPr="007F03B4" w:rsidRDefault="00A837DD" w:rsidP="00E7120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Přípravek může způsobit podráždění očí. Za</w:t>
      </w:r>
      <w:r w:rsidR="00271E98">
        <w:rPr>
          <w:szCs w:val="22"/>
          <w:lang w:val="cs-CZ"/>
        </w:rPr>
        <w:t>braňte</w:t>
      </w:r>
      <w:r w:rsidRPr="007F03B4">
        <w:rPr>
          <w:szCs w:val="22"/>
          <w:lang w:val="cs-CZ"/>
        </w:rPr>
        <w:t xml:space="preserve"> kontaktu s očima. Při zasažení očí přípravkem je </w:t>
      </w:r>
      <w:r w:rsidR="00271E98">
        <w:rPr>
          <w:szCs w:val="22"/>
          <w:lang w:val="cs-CZ"/>
        </w:rPr>
        <w:t xml:space="preserve">ihned </w:t>
      </w:r>
      <w:r w:rsidRPr="007F03B4">
        <w:rPr>
          <w:szCs w:val="22"/>
          <w:lang w:val="cs-CZ"/>
        </w:rPr>
        <w:t>vypláchněte velkým množstvím vody a vyhledejte lékařskou pomoc, pokud podráždění přetrvává.</w:t>
      </w:r>
    </w:p>
    <w:p w14:paraId="4105E094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985545A" w14:textId="367F390F" w:rsidR="00A837DD" w:rsidRPr="007F03B4" w:rsidRDefault="00A837DD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u w:val="single"/>
          <w:lang w:val="cs-CZ"/>
        </w:rPr>
        <w:t>Březost a</w:t>
      </w:r>
      <w:r w:rsidR="00B62664" w:rsidRPr="007F03B4">
        <w:rPr>
          <w:szCs w:val="22"/>
          <w:u w:val="single"/>
          <w:lang w:val="cs-CZ"/>
        </w:rPr>
        <w:t> </w:t>
      </w:r>
      <w:r w:rsidRPr="007F03B4">
        <w:rPr>
          <w:szCs w:val="22"/>
          <w:u w:val="single"/>
          <w:lang w:val="cs-CZ"/>
        </w:rPr>
        <w:t>laktace:</w:t>
      </w:r>
    </w:p>
    <w:p w14:paraId="2B01B838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Laboratorní studie u myší a křečků neprokázaly teratogenní účinek při maternotoxických dávkách. Studie s hlodavci ukázaly, že prenatální expozice diazepamu v klinických dávkách může způsobit dlouhodobé změny buněčných imunitních odpovědí, neurochemie mozku a chování.</w:t>
      </w:r>
    </w:p>
    <w:p w14:paraId="7C0506AB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U cílových druhů nebylo použití přípravku během březosti a laktace zkoumáno, a proto použít pouze po zvážení terapeutického prospěchu a rizika příslušným veterinárním lékařem.</w:t>
      </w:r>
    </w:p>
    <w:p w14:paraId="67DDD584" w14:textId="4D4DBFE2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 xml:space="preserve">Používá-li se u laktujících samic, měla by být štěňata/koťata pečlivě sledována kvůli nežádoucím sedativním účinkům/spavosti, které by mohly narušovat </w:t>
      </w:r>
      <w:r w:rsidR="003B0C9C">
        <w:rPr>
          <w:szCs w:val="22"/>
          <w:lang w:val="cs-CZ"/>
        </w:rPr>
        <w:t>koje</w:t>
      </w:r>
      <w:r w:rsidR="00DF153C">
        <w:rPr>
          <w:szCs w:val="22"/>
          <w:lang w:val="cs-CZ"/>
        </w:rPr>
        <w:t>ní</w:t>
      </w:r>
      <w:r w:rsidRPr="007F03B4">
        <w:rPr>
          <w:szCs w:val="22"/>
          <w:lang w:val="cs-CZ"/>
        </w:rPr>
        <w:t>.</w:t>
      </w:r>
    </w:p>
    <w:p w14:paraId="44550B7C" w14:textId="77777777" w:rsidR="00A837DD" w:rsidRPr="007F03B4" w:rsidRDefault="00A837DD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</w:p>
    <w:p w14:paraId="6099A021" w14:textId="77777777" w:rsidR="007A750E" w:rsidRPr="007F03B4" w:rsidRDefault="007A750E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  <w:r w:rsidRPr="007F03B4">
        <w:rPr>
          <w:szCs w:val="22"/>
          <w:u w:val="single"/>
          <w:lang w:val="cs-CZ"/>
        </w:rPr>
        <w:t>Interakce s jinými léčivými přípravky a další formy interakce</w:t>
      </w:r>
      <w:r w:rsidRPr="007F03B4">
        <w:rPr>
          <w:szCs w:val="22"/>
          <w:lang w:val="cs-CZ"/>
        </w:rPr>
        <w:t>:</w:t>
      </w:r>
    </w:p>
    <w:p w14:paraId="00A10E26" w14:textId="77777777" w:rsidR="007A750E" w:rsidRPr="007F03B4" w:rsidRDefault="007A750E" w:rsidP="004E299B">
      <w:pPr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Diazepam je depresant centrálního nervového systému, což může potencovat působení jiných látek tlumících centrální nervový systém, jako jsou barbituráty, trankvilizéry, narkotika a antidepresiva.</w:t>
      </w:r>
    </w:p>
    <w:p w14:paraId="3DA87A75" w14:textId="77777777" w:rsidR="007A750E" w:rsidRPr="007F03B4" w:rsidRDefault="007A750E" w:rsidP="004E299B">
      <w:pPr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Diazepam může zvýšit účinek digoxinu.</w:t>
      </w:r>
    </w:p>
    <w:p w14:paraId="73F53812" w14:textId="77777777" w:rsidR="007A750E" w:rsidRPr="007F03B4" w:rsidRDefault="007A750E" w:rsidP="004E299B">
      <w:pPr>
        <w:jc w:val="both"/>
        <w:rPr>
          <w:szCs w:val="22"/>
          <w:lang w:val="cs-CZ"/>
        </w:rPr>
      </w:pPr>
    </w:p>
    <w:p w14:paraId="036EAC42" w14:textId="3AC718B2" w:rsidR="007A750E" w:rsidRPr="007F03B4" w:rsidRDefault="007A750E" w:rsidP="004E299B">
      <w:pPr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 xml:space="preserve">Cimetidin, erythromycin, azolové látky (jako je </w:t>
      </w:r>
      <w:proofErr w:type="spellStart"/>
      <w:r w:rsidRPr="007F03B4">
        <w:rPr>
          <w:szCs w:val="22"/>
          <w:lang w:val="cs-CZ"/>
        </w:rPr>
        <w:t>itrakonazol</w:t>
      </w:r>
      <w:proofErr w:type="spellEnd"/>
      <w:r w:rsidRPr="007F03B4">
        <w:rPr>
          <w:szCs w:val="22"/>
          <w:lang w:val="cs-CZ"/>
        </w:rPr>
        <w:t xml:space="preserve"> nebo </w:t>
      </w:r>
      <w:proofErr w:type="spellStart"/>
      <w:r w:rsidRPr="007F03B4">
        <w:rPr>
          <w:szCs w:val="22"/>
          <w:lang w:val="cs-CZ"/>
        </w:rPr>
        <w:t>ketokonazol</w:t>
      </w:r>
      <w:proofErr w:type="spellEnd"/>
      <w:r w:rsidRPr="007F03B4">
        <w:rPr>
          <w:szCs w:val="22"/>
          <w:lang w:val="cs-CZ"/>
        </w:rPr>
        <w:t>)</w:t>
      </w:r>
      <w:r w:rsidR="00DF153C">
        <w:rPr>
          <w:szCs w:val="22"/>
          <w:lang w:val="cs-CZ"/>
        </w:rPr>
        <w:t>,</w:t>
      </w:r>
      <w:r w:rsidRPr="007F03B4">
        <w:rPr>
          <w:szCs w:val="22"/>
          <w:lang w:val="cs-CZ"/>
        </w:rPr>
        <w:t xml:space="preserve"> kyselina </w:t>
      </w:r>
      <w:proofErr w:type="spellStart"/>
      <w:r w:rsidRPr="007F03B4">
        <w:rPr>
          <w:szCs w:val="22"/>
          <w:lang w:val="cs-CZ"/>
        </w:rPr>
        <w:t>valproová</w:t>
      </w:r>
      <w:proofErr w:type="spellEnd"/>
      <w:r w:rsidRPr="007F03B4">
        <w:rPr>
          <w:szCs w:val="22"/>
          <w:lang w:val="cs-CZ"/>
        </w:rPr>
        <w:t xml:space="preserve"> </w:t>
      </w:r>
      <w:r w:rsidR="000449A9" w:rsidRPr="007F03B4">
        <w:rPr>
          <w:szCs w:val="22"/>
          <w:lang w:val="cs-CZ"/>
        </w:rPr>
        <w:t>a</w:t>
      </w:r>
      <w:r w:rsidR="000449A9">
        <w:rPr>
          <w:szCs w:val="22"/>
          <w:lang w:val="cs-CZ"/>
        </w:rPr>
        <w:t> </w:t>
      </w:r>
      <w:r w:rsidRPr="007F03B4">
        <w:rPr>
          <w:szCs w:val="22"/>
          <w:lang w:val="cs-CZ"/>
        </w:rPr>
        <w:t>propanol mohou zpomalovat metabolizmus diazepamu. Aby se zabránilo nadměrné sedaci, může být potřeba snížit dávku diazepamu.</w:t>
      </w:r>
    </w:p>
    <w:p w14:paraId="47D2FF12" w14:textId="77777777" w:rsidR="007A750E" w:rsidRPr="007F03B4" w:rsidRDefault="007A750E" w:rsidP="004E299B">
      <w:pPr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Dexamethason může snížit účinek diazepamu.</w:t>
      </w:r>
    </w:p>
    <w:p w14:paraId="04903DFE" w14:textId="77777777" w:rsidR="007A750E" w:rsidRPr="007F03B4" w:rsidRDefault="007A750E" w:rsidP="004E299B">
      <w:pPr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Současné použití s hepatotoxickými dávkami jiných látek by mělo být vyloučeno.</w:t>
      </w:r>
    </w:p>
    <w:p w14:paraId="2CA6F4B1" w14:textId="77777777" w:rsidR="007A750E" w:rsidRPr="007F03B4" w:rsidRDefault="007A750E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</w:p>
    <w:p w14:paraId="0DA6686B" w14:textId="68AC1F9C" w:rsidR="00A837DD" w:rsidRPr="007F03B4" w:rsidRDefault="00A837DD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u w:val="single"/>
          <w:lang w:val="cs-CZ"/>
        </w:rPr>
        <w:t>Předávkování</w:t>
      </w:r>
      <w:r w:rsidRPr="007F03B4">
        <w:rPr>
          <w:szCs w:val="22"/>
          <w:lang w:val="cs-CZ"/>
        </w:rPr>
        <w:t>:</w:t>
      </w:r>
    </w:p>
    <w:p w14:paraId="44009894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noProof/>
          <w:szCs w:val="22"/>
          <w:lang w:val="cs-CZ"/>
        </w:rPr>
      </w:pPr>
      <w:r w:rsidRPr="007F03B4">
        <w:rPr>
          <w:noProof/>
          <w:szCs w:val="22"/>
          <w:lang w:val="cs-CZ"/>
        </w:rPr>
        <w:t xml:space="preserve">Předávkování diazepamem může způsobit významný </w:t>
      </w:r>
      <w:bookmarkStart w:id="2" w:name="_Hlk494194468"/>
      <w:r w:rsidRPr="007F03B4">
        <w:rPr>
          <w:noProof/>
          <w:szCs w:val="22"/>
          <w:lang w:val="cs-CZ"/>
        </w:rPr>
        <w:t>útlum centrální nervové soustavy (zmatenost, snížené reflexy, kóma atd.). Musí se aplikovat podpůrná léčba (kardio-respirační stimulace, kyslík).</w:t>
      </w:r>
      <w:bookmarkEnd w:id="2"/>
      <w:r w:rsidRPr="007F03B4">
        <w:rPr>
          <w:noProof/>
          <w:szCs w:val="22"/>
          <w:lang w:val="cs-CZ"/>
        </w:rPr>
        <w:t xml:space="preserve"> Hypotenze a útlum činnosti respiračního aparátu a srdce se objevují vzácně. </w:t>
      </w:r>
    </w:p>
    <w:p w14:paraId="65EA3915" w14:textId="77777777" w:rsidR="00A837DD" w:rsidRPr="007F03B4" w:rsidRDefault="00A837DD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</w:p>
    <w:p w14:paraId="4658747E" w14:textId="77777777" w:rsidR="00A837DD" w:rsidRPr="007F03B4" w:rsidRDefault="00A837DD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u w:val="single"/>
          <w:lang w:val="cs-CZ"/>
        </w:rPr>
        <w:t>Hlavní inkompatibility</w:t>
      </w:r>
      <w:r w:rsidRPr="007F03B4">
        <w:rPr>
          <w:szCs w:val="22"/>
          <w:lang w:val="cs-CZ"/>
        </w:rPr>
        <w:t>:</w:t>
      </w:r>
    </w:p>
    <w:p w14:paraId="4A79EE00" w14:textId="030B251B" w:rsidR="00A837DD" w:rsidRPr="007F03B4" w:rsidRDefault="00A837DD" w:rsidP="004E299B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1E1E1E"/>
          <w:szCs w:val="22"/>
          <w:lang w:val="cs-CZ"/>
        </w:rPr>
      </w:pPr>
      <w:r w:rsidRPr="007F03B4">
        <w:rPr>
          <w:color w:val="2E2E2E"/>
          <w:szCs w:val="22"/>
          <w:lang w:val="cs-CZ"/>
        </w:rPr>
        <w:t xml:space="preserve">Studie kompatibility nejsou k dispozici, a proto tento veterinární léčivý přípravek nesmí být mísen </w:t>
      </w:r>
      <w:r w:rsidR="000449A9" w:rsidRPr="007F03B4">
        <w:rPr>
          <w:color w:val="2E2E2E"/>
          <w:szCs w:val="22"/>
          <w:lang w:val="cs-CZ"/>
        </w:rPr>
        <w:t>s</w:t>
      </w:r>
      <w:r w:rsidR="000449A9">
        <w:rPr>
          <w:color w:val="2E2E2E"/>
          <w:szCs w:val="22"/>
          <w:lang w:val="cs-CZ"/>
        </w:rPr>
        <w:t> </w:t>
      </w:r>
      <w:r w:rsidRPr="007F03B4">
        <w:rPr>
          <w:color w:val="2E2E2E"/>
          <w:szCs w:val="22"/>
          <w:lang w:val="cs-CZ"/>
        </w:rPr>
        <w:t xml:space="preserve">žádnými dalšími veterinárními léčivými přípravky. </w:t>
      </w:r>
    </w:p>
    <w:p w14:paraId="42AC42E0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FBD8E03" w14:textId="77777777" w:rsidR="00A837DD" w:rsidRPr="007F03B4" w:rsidRDefault="00A837DD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5C1C04F" w14:textId="50858CAA" w:rsidR="00C114FF" w:rsidRPr="007F03B4" w:rsidRDefault="0090451C" w:rsidP="008312BD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lastRenderedPageBreak/>
        <w:t>7</w:t>
      </w:r>
      <w:r w:rsidR="00C114FF" w:rsidRPr="007F03B4">
        <w:rPr>
          <w:b/>
          <w:bCs/>
          <w:szCs w:val="22"/>
          <w:highlight w:val="lightGray"/>
          <w:lang w:val="cs-CZ"/>
        </w:rPr>
        <w:t>.</w:t>
      </w:r>
      <w:r w:rsidR="00C114FF" w:rsidRPr="007F03B4">
        <w:rPr>
          <w:b/>
          <w:bCs/>
          <w:szCs w:val="22"/>
          <w:lang w:val="cs-CZ"/>
        </w:rPr>
        <w:tab/>
      </w:r>
      <w:r w:rsidRPr="007F03B4">
        <w:rPr>
          <w:b/>
          <w:bCs/>
          <w:szCs w:val="22"/>
          <w:lang w:val="cs-CZ"/>
        </w:rPr>
        <w:t>Nežádoucí účinky</w:t>
      </w:r>
    </w:p>
    <w:p w14:paraId="04FB897E" w14:textId="77777777" w:rsidR="00775873" w:rsidRPr="007F03B4" w:rsidRDefault="00775873" w:rsidP="008312BD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2AC7E6F" w14:textId="77777777" w:rsidR="00596E73" w:rsidRPr="007F03B4" w:rsidRDefault="00596E73" w:rsidP="008312BD">
      <w:pPr>
        <w:keepNext/>
        <w:jc w:val="both"/>
        <w:rPr>
          <w:lang w:val="cs-CZ"/>
        </w:rPr>
      </w:pPr>
      <w:r w:rsidRPr="007F03B4">
        <w:rPr>
          <w:szCs w:val="22"/>
          <w:lang w:val="cs-CZ"/>
        </w:rPr>
        <w:t>Psi a kočky:</w:t>
      </w:r>
    </w:p>
    <w:p w14:paraId="7E7B2DC7" w14:textId="77777777" w:rsidR="00596E73" w:rsidRPr="007F03B4" w:rsidRDefault="00596E73" w:rsidP="008312BD">
      <w:pPr>
        <w:keepNext/>
        <w:jc w:val="both"/>
        <w:rPr>
          <w:lang w:val="cs-CZ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5516"/>
      </w:tblGrid>
      <w:tr w:rsidR="007F03B4" w:rsidRPr="0043763C" w14:paraId="167C3867" w14:textId="77777777" w:rsidTr="00E71208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3A1B" w14:textId="77777777" w:rsidR="007F03B4" w:rsidRPr="007F03B4" w:rsidRDefault="007F03B4" w:rsidP="007F03B4">
            <w:pPr>
              <w:rPr>
                <w:lang w:val="cs-CZ"/>
              </w:rPr>
            </w:pPr>
            <w:r w:rsidRPr="007F03B4">
              <w:rPr>
                <w:szCs w:val="22"/>
                <w:lang w:val="cs-CZ"/>
              </w:rPr>
              <w:t>Vzácné</w:t>
            </w:r>
          </w:p>
          <w:p w14:paraId="28F9FFBE" w14:textId="77777777" w:rsidR="007F03B4" w:rsidRPr="007F03B4" w:rsidRDefault="007F03B4" w:rsidP="007F03B4">
            <w:pPr>
              <w:rPr>
                <w:lang w:val="cs-CZ"/>
              </w:rPr>
            </w:pPr>
            <w:r w:rsidRPr="007F03B4">
              <w:rPr>
                <w:szCs w:val="22"/>
                <w:lang w:val="cs-CZ"/>
              </w:rPr>
              <w:t>(1 až 10 zvířat z 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BCD" w14:textId="3F15616A" w:rsidR="007F03B4" w:rsidRPr="007F03B4" w:rsidRDefault="007F03B4" w:rsidP="007F03B4">
            <w:pPr>
              <w:rPr>
                <w:iCs/>
                <w:szCs w:val="22"/>
                <w:lang w:val="cs-CZ"/>
              </w:rPr>
            </w:pPr>
            <w:r>
              <w:rPr>
                <w:iCs/>
                <w:szCs w:val="22"/>
                <w:lang w:val="cs-CZ"/>
              </w:rPr>
              <w:t>Paradoxní reakce (např. e</w:t>
            </w:r>
            <w:r w:rsidRPr="00DF6A4F">
              <w:rPr>
                <w:iCs/>
                <w:szCs w:val="22"/>
                <w:lang w:val="cs-CZ"/>
              </w:rPr>
              <w:t xml:space="preserve">xcitace, agrese, </w:t>
            </w:r>
            <w:proofErr w:type="spellStart"/>
            <w:r w:rsidRPr="00DF6A4F">
              <w:rPr>
                <w:iCs/>
                <w:szCs w:val="22"/>
                <w:lang w:val="cs-CZ"/>
              </w:rPr>
              <w:t>d</w:t>
            </w:r>
            <w:r w:rsidR="00DF153C">
              <w:rPr>
                <w:iCs/>
                <w:szCs w:val="22"/>
                <w:lang w:val="cs-CZ"/>
              </w:rPr>
              <w:t>e</w:t>
            </w:r>
            <w:r w:rsidR="00DE0DD7">
              <w:rPr>
                <w:iCs/>
                <w:szCs w:val="22"/>
                <w:lang w:val="cs-CZ"/>
              </w:rPr>
              <w:t>s</w:t>
            </w:r>
            <w:r w:rsidRPr="00DF6A4F">
              <w:rPr>
                <w:iCs/>
                <w:szCs w:val="22"/>
                <w:lang w:val="cs-CZ"/>
              </w:rPr>
              <w:t>inhibiční</w:t>
            </w:r>
            <w:proofErr w:type="spellEnd"/>
            <w:r w:rsidRPr="00DF6A4F">
              <w:rPr>
                <w:iCs/>
                <w:szCs w:val="22"/>
                <w:lang w:val="cs-CZ"/>
              </w:rPr>
              <w:t xml:space="preserve"> </w:t>
            </w:r>
            <w:proofErr w:type="gramStart"/>
            <w:r w:rsidRPr="00DF6A4F">
              <w:rPr>
                <w:iCs/>
                <w:szCs w:val="22"/>
                <w:lang w:val="cs-CZ"/>
              </w:rPr>
              <w:t>účinek</w:t>
            </w:r>
            <w:r>
              <w:rPr>
                <w:iCs/>
                <w:szCs w:val="22"/>
                <w:lang w:val="cs-CZ"/>
              </w:rPr>
              <w:t>)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a</w:t>
            </w:r>
            <w:proofErr w:type="gramEnd"/>
          </w:p>
        </w:tc>
      </w:tr>
      <w:tr w:rsidR="007F03B4" w:rsidRPr="0043763C" w14:paraId="6D7AABB7" w14:textId="77777777" w:rsidTr="00E71208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7BE" w14:textId="77777777" w:rsidR="007F03B4" w:rsidRPr="007F03B4" w:rsidRDefault="007F03B4" w:rsidP="007F03B4">
            <w:pPr>
              <w:rPr>
                <w:lang w:val="cs-CZ"/>
              </w:rPr>
            </w:pPr>
            <w:r w:rsidRPr="007F03B4">
              <w:rPr>
                <w:szCs w:val="22"/>
                <w:lang w:val="cs-CZ"/>
              </w:rPr>
              <w:t>Velmi vzácné</w:t>
            </w:r>
          </w:p>
          <w:p w14:paraId="4AA62313" w14:textId="77777777" w:rsidR="007F03B4" w:rsidRPr="007F03B4" w:rsidRDefault="007F03B4" w:rsidP="007F03B4">
            <w:pPr>
              <w:rPr>
                <w:lang w:val="cs-CZ"/>
              </w:rPr>
            </w:pPr>
            <w:proofErr w:type="gramStart"/>
            <w:r w:rsidRPr="007F03B4">
              <w:rPr>
                <w:szCs w:val="22"/>
                <w:lang w:val="cs-CZ"/>
              </w:rPr>
              <w:t>(&lt; 1</w:t>
            </w:r>
            <w:proofErr w:type="gramEnd"/>
            <w:r w:rsidRPr="007F03B4">
              <w:rPr>
                <w:szCs w:val="22"/>
                <w:lang w:val="cs-CZ"/>
              </w:rPr>
              <w:t> zvíře z 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4DC" w14:textId="6BD6279A" w:rsidR="007F03B4" w:rsidRPr="007F03B4" w:rsidRDefault="007F03B4" w:rsidP="007F03B4">
            <w:pPr>
              <w:rPr>
                <w:iCs/>
                <w:szCs w:val="22"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Jaterní nekróza (akutní)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b</w:t>
            </w:r>
            <w:r w:rsidRPr="00DF6A4F">
              <w:rPr>
                <w:iCs/>
                <w:szCs w:val="22"/>
                <w:lang w:val="cs-CZ"/>
              </w:rPr>
              <w:t>, selhání jater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b</w:t>
            </w:r>
          </w:p>
        </w:tc>
      </w:tr>
      <w:tr w:rsidR="007F03B4" w:rsidRPr="007F03B4" w14:paraId="2A111381" w14:textId="77777777" w:rsidTr="00E71208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5FE" w14:textId="77777777" w:rsidR="007F03B4" w:rsidRPr="007F03B4" w:rsidRDefault="007F03B4" w:rsidP="007F03B4">
            <w:pPr>
              <w:rPr>
                <w:lang w:val="cs-CZ"/>
              </w:rPr>
            </w:pPr>
            <w:r w:rsidRPr="007F03B4">
              <w:rPr>
                <w:szCs w:val="22"/>
                <w:lang w:val="cs-CZ"/>
              </w:rPr>
              <w:t>Neurčená frekvence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12E" w14:textId="77777777" w:rsidR="007F03B4" w:rsidRPr="00DF6A4F" w:rsidRDefault="007F03B4" w:rsidP="007F03B4">
            <w:pPr>
              <w:rPr>
                <w:iCs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Hypotenze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c</w:t>
            </w:r>
            <w:r w:rsidRPr="00DF6A4F">
              <w:rPr>
                <w:iCs/>
                <w:szCs w:val="22"/>
                <w:lang w:val="cs-CZ"/>
              </w:rPr>
              <w:t>, srdeční porucha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c</w:t>
            </w:r>
            <w:r w:rsidRPr="00DF6A4F">
              <w:rPr>
                <w:iCs/>
                <w:szCs w:val="22"/>
                <w:lang w:val="cs-CZ"/>
              </w:rPr>
              <w:t>, tromboflebitida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c</w:t>
            </w:r>
          </w:p>
          <w:p w14:paraId="2C979A49" w14:textId="77777777" w:rsidR="007F03B4" w:rsidRPr="00DF6A4F" w:rsidRDefault="007F03B4" w:rsidP="007F03B4">
            <w:pPr>
              <w:rPr>
                <w:iCs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Ataxie</w:t>
            </w:r>
            <w:r>
              <w:rPr>
                <w:iCs/>
                <w:szCs w:val="22"/>
                <w:lang w:val="cs-CZ"/>
              </w:rPr>
              <w:t>, z</w:t>
            </w:r>
            <w:r w:rsidRPr="00DF6A4F">
              <w:rPr>
                <w:iCs/>
                <w:szCs w:val="22"/>
                <w:lang w:val="cs-CZ"/>
              </w:rPr>
              <w:t>tráta orientace</w:t>
            </w:r>
            <w:r>
              <w:rPr>
                <w:iCs/>
                <w:szCs w:val="22"/>
                <w:lang w:val="cs-CZ"/>
              </w:rPr>
              <w:t>, z</w:t>
            </w:r>
            <w:r w:rsidRPr="00DF6A4F">
              <w:rPr>
                <w:iCs/>
                <w:szCs w:val="22"/>
                <w:lang w:val="cs-CZ"/>
              </w:rPr>
              <w:t>měny duševního stavu a chování</w:t>
            </w:r>
          </w:p>
          <w:p w14:paraId="6EC311AE" w14:textId="4F069B51" w:rsidR="007F03B4" w:rsidRPr="007F03B4" w:rsidRDefault="007F03B4" w:rsidP="007F03B4">
            <w:pPr>
              <w:rPr>
                <w:iCs/>
                <w:szCs w:val="22"/>
                <w:lang w:val="cs-CZ"/>
              </w:rPr>
            </w:pPr>
            <w:r w:rsidRPr="00DF6A4F">
              <w:rPr>
                <w:iCs/>
                <w:szCs w:val="22"/>
                <w:lang w:val="cs-CZ"/>
              </w:rPr>
              <w:t>Zvýšená chuť k jídlu</w:t>
            </w:r>
            <w:r w:rsidRPr="00DF6A4F">
              <w:rPr>
                <w:iCs/>
                <w:szCs w:val="22"/>
                <w:vertAlign w:val="superscript"/>
                <w:lang w:val="cs-CZ"/>
              </w:rPr>
              <w:t>d</w:t>
            </w:r>
          </w:p>
        </w:tc>
      </w:tr>
    </w:tbl>
    <w:p w14:paraId="6C260DC2" w14:textId="65A29A89" w:rsidR="00596E73" w:rsidRPr="007F03B4" w:rsidRDefault="00596E73" w:rsidP="00596E73">
      <w:pPr>
        <w:rPr>
          <w:iCs/>
          <w:lang w:val="cs-CZ"/>
        </w:rPr>
      </w:pPr>
      <w:r w:rsidRPr="007F03B4">
        <w:rPr>
          <w:iCs/>
          <w:szCs w:val="22"/>
          <w:vertAlign w:val="superscript"/>
          <w:lang w:val="cs-CZ"/>
        </w:rPr>
        <w:t>a</w:t>
      </w:r>
      <w:r w:rsidRPr="007F03B4">
        <w:rPr>
          <w:iCs/>
          <w:szCs w:val="22"/>
          <w:lang w:val="cs-CZ"/>
        </w:rPr>
        <w:t> </w:t>
      </w:r>
      <w:r w:rsidR="007F03B4">
        <w:rPr>
          <w:iCs/>
          <w:szCs w:val="22"/>
          <w:lang w:val="cs-CZ"/>
        </w:rPr>
        <w:t>H</w:t>
      </w:r>
      <w:r w:rsidR="00D33EF3">
        <w:rPr>
          <w:iCs/>
          <w:szCs w:val="22"/>
          <w:lang w:val="cs-CZ"/>
        </w:rPr>
        <w:t>l</w:t>
      </w:r>
      <w:bookmarkStart w:id="3" w:name="_GoBack"/>
      <w:bookmarkEnd w:id="3"/>
      <w:r w:rsidRPr="007F03B4">
        <w:rPr>
          <w:iCs/>
          <w:szCs w:val="22"/>
          <w:lang w:val="cs-CZ"/>
        </w:rPr>
        <w:t>avně u malých plemen psů</w:t>
      </w:r>
      <w:r w:rsidR="007F03B4">
        <w:rPr>
          <w:iCs/>
          <w:szCs w:val="22"/>
          <w:lang w:val="cs-CZ"/>
        </w:rPr>
        <w:t>.</w:t>
      </w:r>
    </w:p>
    <w:p w14:paraId="0AEAB9C6" w14:textId="515CAD19" w:rsidR="00596E73" w:rsidRPr="007F03B4" w:rsidRDefault="00596E73" w:rsidP="00596E73">
      <w:pPr>
        <w:rPr>
          <w:iCs/>
          <w:lang w:val="cs-CZ"/>
        </w:rPr>
      </w:pPr>
      <w:r w:rsidRPr="007F03B4">
        <w:rPr>
          <w:iCs/>
          <w:szCs w:val="22"/>
          <w:vertAlign w:val="superscript"/>
          <w:lang w:val="cs-CZ"/>
        </w:rPr>
        <w:t>b</w:t>
      </w:r>
      <w:r w:rsidRPr="007F03B4">
        <w:rPr>
          <w:iCs/>
          <w:szCs w:val="22"/>
          <w:lang w:val="cs-CZ"/>
        </w:rPr>
        <w:t> Pouze u koček</w:t>
      </w:r>
      <w:r w:rsidR="007F03B4">
        <w:rPr>
          <w:iCs/>
          <w:szCs w:val="22"/>
          <w:lang w:val="cs-CZ"/>
        </w:rPr>
        <w:t>.</w:t>
      </w:r>
    </w:p>
    <w:p w14:paraId="69E5A2CA" w14:textId="1F54BC66" w:rsidR="00596E73" w:rsidRPr="007F03B4" w:rsidRDefault="00596E73" w:rsidP="00596E73">
      <w:pPr>
        <w:rPr>
          <w:iCs/>
          <w:lang w:val="cs-CZ"/>
        </w:rPr>
      </w:pPr>
      <w:r w:rsidRPr="007F03B4">
        <w:rPr>
          <w:iCs/>
          <w:szCs w:val="22"/>
          <w:vertAlign w:val="superscript"/>
          <w:lang w:val="cs-CZ"/>
        </w:rPr>
        <w:t>c</w:t>
      </w:r>
      <w:r w:rsidRPr="007F03B4">
        <w:rPr>
          <w:iCs/>
          <w:szCs w:val="22"/>
          <w:lang w:val="cs-CZ"/>
        </w:rPr>
        <w:t> V důsledku rychlého intravenózního podání</w:t>
      </w:r>
      <w:r w:rsidR="007F03B4">
        <w:rPr>
          <w:iCs/>
          <w:szCs w:val="22"/>
          <w:lang w:val="cs-CZ"/>
        </w:rPr>
        <w:t>.</w:t>
      </w:r>
    </w:p>
    <w:p w14:paraId="29A312A0" w14:textId="1D00EAAC" w:rsidR="00596E73" w:rsidRPr="007F03B4" w:rsidRDefault="00596E73" w:rsidP="00596E73">
      <w:pPr>
        <w:rPr>
          <w:iCs/>
          <w:lang w:val="cs-CZ"/>
        </w:rPr>
      </w:pPr>
      <w:r w:rsidRPr="007F03B4">
        <w:rPr>
          <w:iCs/>
          <w:szCs w:val="22"/>
          <w:vertAlign w:val="superscript"/>
          <w:lang w:val="cs-CZ"/>
        </w:rPr>
        <w:t>d</w:t>
      </w:r>
      <w:r w:rsidRPr="007F03B4">
        <w:rPr>
          <w:iCs/>
          <w:szCs w:val="22"/>
          <w:lang w:val="cs-CZ"/>
        </w:rPr>
        <w:t> Hlavně u koček</w:t>
      </w:r>
      <w:r w:rsidR="007F03B4">
        <w:rPr>
          <w:iCs/>
          <w:szCs w:val="22"/>
          <w:lang w:val="cs-CZ"/>
        </w:rPr>
        <w:t>.</w:t>
      </w:r>
    </w:p>
    <w:p w14:paraId="620391BE" w14:textId="77777777" w:rsidR="00E43081" w:rsidRPr="007F03B4" w:rsidRDefault="00E43081" w:rsidP="00E43081">
      <w:pPr>
        <w:pStyle w:val="BODY"/>
        <w:spacing w:after="0"/>
        <w:contextualSpacing w:val="0"/>
        <w:rPr>
          <w:szCs w:val="22"/>
          <w:lang w:val="cs-CZ"/>
        </w:rPr>
      </w:pPr>
    </w:p>
    <w:p w14:paraId="69904377" w14:textId="1EF397CB" w:rsidR="00D64891" w:rsidRPr="007F03B4" w:rsidRDefault="00D64891" w:rsidP="004E299B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7F03B4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B81B31">
        <w:rPr>
          <w:lang w:val="cs-CZ"/>
        </w:rPr>
        <w:t>:</w:t>
      </w:r>
    </w:p>
    <w:p w14:paraId="1CC92F60" w14:textId="77777777" w:rsidR="00D64891" w:rsidRDefault="00D64891" w:rsidP="007758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5FCF1A9" w14:textId="77777777" w:rsidR="009204D6" w:rsidRPr="00E71208" w:rsidRDefault="009204D6" w:rsidP="009204D6">
      <w:pPr>
        <w:tabs>
          <w:tab w:val="left" w:pos="-720"/>
        </w:tabs>
        <w:suppressAutoHyphens/>
        <w:rPr>
          <w:szCs w:val="22"/>
          <w:lang w:val="cs-CZ" w:eastAsia="en-GB"/>
        </w:rPr>
      </w:pPr>
      <w:r w:rsidRPr="00E71208">
        <w:rPr>
          <w:szCs w:val="22"/>
          <w:lang w:val="cs-CZ"/>
        </w:rPr>
        <w:t xml:space="preserve">Ústav pro státní kontrolu veterinárních biopreparátů a léčiv </w:t>
      </w:r>
    </w:p>
    <w:p w14:paraId="13CFB990" w14:textId="77777777" w:rsidR="009204D6" w:rsidRPr="00E71208" w:rsidRDefault="009204D6" w:rsidP="009204D6">
      <w:pPr>
        <w:tabs>
          <w:tab w:val="left" w:pos="-720"/>
        </w:tabs>
        <w:suppressAutoHyphens/>
        <w:rPr>
          <w:szCs w:val="22"/>
          <w:lang w:val="pt-BR"/>
        </w:rPr>
      </w:pPr>
      <w:r w:rsidRPr="00E71208">
        <w:rPr>
          <w:szCs w:val="22"/>
          <w:lang w:val="pt-BR"/>
        </w:rPr>
        <w:t xml:space="preserve">Hudcova 56a </w:t>
      </w:r>
    </w:p>
    <w:p w14:paraId="230E82A2" w14:textId="77777777" w:rsidR="009204D6" w:rsidRPr="00E71208" w:rsidRDefault="009204D6" w:rsidP="009204D6">
      <w:pPr>
        <w:tabs>
          <w:tab w:val="left" w:pos="-720"/>
        </w:tabs>
        <w:suppressAutoHyphens/>
        <w:rPr>
          <w:szCs w:val="22"/>
          <w:lang w:val="pt-BR"/>
        </w:rPr>
      </w:pPr>
      <w:r w:rsidRPr="00E71208">
        <w:rPr>
          <w:szCs w:val="22"/>
          <w:lang w:val="pt-BR"/>
        </w:rPr>
        <w:t>621 00 Brno</w:t>
      </w:r>
    </w:p>
    <w:p w14:paraId="7EB658F7" w14:textId="77777777" w:rsidR="009204D6" w:rsidRPr="00E71208" w:rsidRDefault="009204D6" w:rsidP="009204D6">
      <w:pPr>
        <w:tabs>
          <w:tab w:val="left" w:pos="-720"/>
        </w:tabs>
        <w:suppressAutoHyphens/>
        <w:rPr>
          <w:szCs w:val="22"/>
          <w:lang w:val="pt-BR"/>
        </w:rPr>
      </w:pPr>
      <w:r w:rsidRPr="00E71208">
        <w:rPr>
          <w:szCs w:val="22"/>
          <w:lang w:val="pt-BR"/>
        </w:rPr>
        <w:t xml:space="preserve">Mail: </w:t>
      </w:r>
      <w:r>
        <w:fldChar w:fldCharType="begin"/>
      </w:r>
      <w:r w:rsidRPr="00E71208">
        <w:rPr>
          <w:lang w:val="pt-BR"/>
        </w:rPr>
        <w:instrText xml:space="preserve"> HYPERLINK "mailto:adr@uskvbl.cz" </w:instrText>
      </w:r>
      <w:r>
        <w:fldChar w:fldCharType="separate"/>
      </w:r>
      <w:r w:rsidRPr="00E71208">
        <w:rPr>
          <w:rStyle w:val="Hypertextovodkaz"/>
          <w:szCs w:val="22"/>
          <w:lang w:val="pt-BR"/>
        </w:rPr>
        <w:t>adr@uskvbl.cz</w:t>
      </w:r>
      <w:r>
        <w:fldChar w:fldCharType="end"/>
      </w:r>
    </w:p>
    <w:p w14:paraId="347FECF3" w14:textId="77777777" w:rsidR="009204D6" w:rsidRPr="00E71208" w:rsidRDefault="009204D6" w:rsidP="009204D6">
      <w:pPr>
        <w:tabs>
          <w:tab w:val="left" w:pos="-720"/>
        </w:tabs>
        <w:suppressAutoHyphens/>
        <w:rPr>
          <w:szCs w:val="22"/>
          <w:lang w:val="en-US"/>
        </w:rPr>
      </w:pPr>
      <w:proofErr w:type="spellStart"/>
      <w:r w:rsidRPr="00E71208">
        <w:rPr>
          <w:szCs w:val="22"/>
          <w:lang w:val="en-US"/>
        </w:rPr>
        <w:t>Webové</w:t>
      </w:r>
      <w:proofErr w:type="spellEnd"/>
      <w:r w:rsidRPr="00E71208">
        <w:rPr>
          <w:szCs w:val="22"/>
          <w:lang w:val="en-US"/>
        </w:rPr>
        <w:t xml:space="preserve"> </w:t>
      </w:r>
      <w:proofErr w:type="spellStart"/>
      <w:r w:rsidRPr="00E71208">
        <w:rPr>
          <w:szCs w:val="22"/>
          <w:lang w:val="en-US"/>
        </w:rPr>
        <w:t>stránky</w:t>
      </w:r>
      <w:proofErr w:type="spellEnd"/>
      <w:r w:rsidRPr="00E71208">
        <w:rPr>
          <w:szCs w:val="22"/>
          <w:lang w:val="en-US"/>
        </w:rPr>
        <w:t xml:space="preserve">: </w:t>
      </w:r>
      <w:hyperlink r:id="rId10" w:history="1">
        <w:r w:rsidRPr="00E71208">
          <w:rPr>
            <w:rStyle w:val="Hypertextovodkaz"/>
            <w:szCs w:val="22"/>
            <w:lang w:val="en-US"/>
          </w:rPr>
          <w:t>http://www.uskvbl.cz/cs/farmakovigilance</w:t>
        </w:r>
      </w:hyperlink>
    </w:p>
    <w:p w14:paraId="7C897F41" w14:textId="487BF3BF" w:rsidR="009204D6" w:rsidRDefault="009204D6" w:rsidP="00775873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5642AFE4" w14:textId="77777777" w:rsidR="000449A9" w:rsidRPr="00E71208" w:rsidRDefault="000449A9" w:rsidP="00775873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389CAF56" w14:textId="3ACDA832" w:rsidR="00C114FF" w:rsidRPr="007F03B4" w:rsidRDefault="00C114FF" w:rsidP="004E299B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8.</w:t>
      </w:r>
      <w:r w:rsidRPr="007F03B4">
        <w:rPr>
          <w:b/>
          <w:bCs/>
          <w:szCs w:val="22"/>
          <w:lang w:val="cs-CZ"/>
        </w:rPr>
        <w:tab/>
      </w:r>
      <w:r w:rsidR="0090451C" w:rsidRPr="007F03B4">
        <w:rPr>
          <w:b/>
          <w:bCs/>
          <w:szCs w:val="22"/>
          <w:lang w:val="cs-CZ"/>
        </w:rPr>
        <w:t>Dávkování pro každý druh, cesta a způsob podání</w:t>
      </w:r>
    </w:p>
    <w:p w14:paraId="6DFF4ECE" w14:textId="77777777" w:rsidR="00775873" w:rsidRPr="007F03B4" w:rsidRDefault="00775873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67F297F" w14:textId="77777777" w:rsidR="00B50EA1" w:rsidRPr="007F03B4" w:rsidRDefault="00E167C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Intravenózní podání.</w:t>
      </w:r>
    </w:p>
    <w:p w14:paraId="0767E64D" w14:textId="77777777" w:rsidR="00B50EA1" w:rsidRPr="007F03B4" w:rsidRDefault="00B50EA1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7FAC082" w14:textId="77777777" w:rsidR="00B721CA" w:rsidRPr="007F03B4" w:rsidRDefault="00B721CA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Pro krátkodobou léčbu křečových stavů: 0,5–1,0 mg diazepamu/kg živé hmotnosti (což odpovídá 0,5–1,0 ml/5 kg). Podává se jako pomalý bolus a opakuje se až třikrát, po necelých 10 minutách.</w:t>
      </w:r>
    </w:p>
    <w:p w14:paraId="29B81F55" w14:textId="02131A98" w:rsidR="00B721CA" w:rsidRPr="007F03B4" w:rsidRDefault="00B721CA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Pro krátkodobou léčbu křečí kosterních svalů: 0,5–2,0 mg/kg živé hmotnosti (což odpovídá 0,5–2,0 ml/</w:t>
      </w:r>
      <w:r w:rsidR="000449A9" w:rsidRPr="007F03B4">
        <w:rPr>
          <w:szCs w:val="22"/>
          <w:lang w:val="cs-CZ"/>
        </w:rPr>
        <w:t>5</w:t>
      </w:r>
      <w:r w:rsidR="000449A9">
        <w:rPr>
          <w:szCs w:val="22"/>
          <w:lang w:val="cs-CZ"/>
        </w:rPr>
        <w:t> </w:t>
      </w:r>
      <w:r w:rsidRPr="007F03B4">
        <w:rPr>
          <w:szCs w:val="22"/>
          <w:lang w:val="cs-CZ"/>
        </w:rPr>
        <w:t>kg).</w:t>
      </w:r>
    </w:p>
    <w:p w14:paraId="1796CD22" w14:textId="77777777" w:rsidR="00B721CA" w:rsidRPr="007F03B4" w:rsidRDefault="00B721CA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Součást protokolu sedace: 0,2–0,6 mg/kg živé hmotnosti (což odpovídá 0,2–0,6 ml/5 kg).</w:t>
      </w:r>
    </w:p>
    <w:p w14:paraId="0F484F3F" w14:textId="31EFF683" w:rsidR="00B721CA" w:rsidRPr="007F03B4" w:rsidRDefault="00B721CA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Součást protokolu před celkovou anestézií: 0,1–0,2 mg/kg živé hmotnosti (což odpovídá 0,1–0,2 ml/</w:t>
      </w:r>
      <w:r w:rsidR="000449A9" w:rsidRPr="007F03B4">
        <w:rPr>
          <w:szCs w:val="22"/>
          <w:lang w:val="cs-CZ"/>
        </w:rPr>
        <w:t>5</w:t>
      </w:r>
      <w:r w:rsidR="000449A9">
        <w:rPr>
          <w:szCs w:val="22"/>
          <w:lang w:val="cs-CZ"/>
        </w:rPr>
        <w:t> </w:t>
      </w:r>
      <w:r w:rsidRPr="007F03B4">
        <w:rPr>
          <w:szCs w:val="22"/>
          <w:lang w:val="cs-CZ"/>
        </w:rPr>
        <w:t>kg).</w:t>
      </w:r>
    </w:p>
    <w:p w14:paraId="6414D8B6" w14:textId="166ACA54" w:rsidR="00775873" w:rsidRPr="007F03B4" w:rsidRDefault="00775873" w:rsidP="004E299B">
      <w:pPr>
        <w:tabs>
          <w:tab w:val="clear" w:pos="567"/>
        </w:tabs>
        <w:spacing w:line="240" w:lineRule="auto"/>
        <w:jc w:val="both"/>
        <w:rPr>
          <w:bCs/>
          <w:kern w:val="28"/>
          <w:szCs w:val="22"/>
          <w:lang w:val="cs-CZ"/>
        </w:rPr>
      </w:pPr>
    </w:p>
    <w:p w14:paraId="19E0A686" w14:textId="77777777" w:rsidR="007A750E" w:rsidRPr="007F03B4" w:rsidRDefault="007A750E" w:rsidP="004E299B">
      <w:pPr>
        <w:tabs>
          <w:tab w:val="clear" w:pos="567"/>
        </w:tabs>
        <w:spacing w:line="240" w:lineRule="auto"/>
        <w:jc w:val="both"/>
        <w:rPr>
          <w:bCs/>
          <w:kern w:val="28"/>
          <w:szCs w:val="22"/>
          <w:lang w:val="cs-CZ"/>
        </w:rPr>
      </w:pPr>
    </w:p>
    <w:p w14:paraId="0ECA9A22" w14:textId="7CD2E9EA" w:rsidR="00C114FF" w:rsidRPr="007F03B4" w:rsidRDefault="00C114FF" w:rsidP="004E299B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9.</w:t>
      </w:r>
      <w:r w:rsidRPr="007F03B4">
        <w:rPr>
          <w:b/>
          <w:bCs/>
          <w:szCs w:val="22"/>
          <w:lang w:val="cs-CZ"/>
        </w:rPr>
        <w:tab/>
      </w:r>
      <w:r w:rsidR="0090451C" w:rsidRPr="007F03B4">
        <w:rPr>
          <w:b/>
          <w:bCs/>
          <w:szCs w:val="22"/>
          <w:lang w:val="cs-CZ"/>
        </w:rPr>
        <w:t>Informace o správném podávání</w:t>
      </w:r>
    </w:p>
    <w:p w14:paraId="0D87BFEE" w14:textId="77777777" w:rsidR="00775873" w:rsidRPr="007F03B4" w:rsidRDefault="00775873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BDABC11" w14:textId="77777777" w:rsidR="00E167CC" w:rsidRPr="007F03B4" w:rsidRDefault="00E167C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Pouze pro pomalé intravenózní podání.</w:t>
      </w:r>
    </w:p>
    <w:p w14:paraId="016DB145" w14:textId="77777777" w:rsidR="007B3F76" w:rsidRPr="007F03B4" w:rsidRDefault="007B3F76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Injekční lahvičku je možné bezpečně propíchnout až 100krát.</w:t>
      </w:r>
    </w:p>
    <w:p w14:paraId="6836566B" w14:textId="239A9554" w:rsidR="00775873" w:rsidRPr="007F03B4" w:rsidRDefault="00775873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C5F88BC" w14:textId="77777777" w:rsidR="0090451C" w:rsidRPr="007F03B4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79E231D" w14:textId="4D2DE7C5" w:rsidR="00C114FF" w:rsidRPr="007F03B4" w:rsidRDefault="00C114FF" w:rsidP="004E299B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10.</w:t>
      </w:r>
      <w:r w:rsidRPr="007F03B4">
        <w:rPr>
          <w:b/>
          <w:bCs/>
          <w:szCs w:val="22"/>
          <w:lang w:val="cs-CZ"/>
        </w:rPr>
        <w:tab/>
      </w:r>
      <w:r w:rsidR="0090451C" w:rsidRPr="007F03B4">
        <w:rPr>
          <w:b/>
          <w:bCs/>
          <w:szCs w:val="22"/>
          <w:lang w:val="cs-CZ"/>
        </w:rPr>
        <w:t>Ochranné lhůty</w:t>
      </w:r>
    </w:p>
    <w:p w14:paraId="58B5BF1D" w14:textId="77777777" w:rsidR="00775873" w:rsidRPr="007F03B4" w:rsidRDefault="00775873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7925C14" w14:textId="389AA4CA" w:rsidR="0090451C" w:rsidRDefault="003F725A" w:rsidP="004E299B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>
        <w:rPr>
          <w:iCs/>
          <w:szCs w:val="22"/>
          <w:lang w:val="cs-CZ"/>
        </w:rPr>
        <w:t>Neuplatňuje se.</w:t>
      </w:r>
    </w:p>
    <w:p w14:paraId="1FB0BD90" w14:textId="77777777" w:rsidR="003F725A" w:rsidRPr="007F03B4" w:rsidRDefault="003F725A" w:rsidP="004E299B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460D181D" w14:textId="7FC4A82D" w:rsidR="00C114FF" w:rsidRPr="007F03B4" w:rsidRDefault="0090451C" w:rsidP="004E299B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lastRenderedPageBreak/>
        <w:t>11.</w:t>
      </w:r>
      <w:r w:rsidRPr="007F03B4">
        <w:rPr>
          <w:b/>
          <w:bCs/>
          <w:szCs w:val="22"/>
          <w:lang w:val="cs-CZ"/>
        </w:rPr>
        <w:tab/>
        <w:t>Zvláštní opatření pro uchovávání</w:t>
      </w:r>
    </w:p>
    <w:p w14:paraId="7F62F9F5" w14:textId="77777777" w:rsidR="00775873" w:rsidRPr="007F03B4" w:rsidRDefault="00775873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31C1BA6" w14:textId="251D1FF8" w:rsidR="00C114FF" w:rsidRPr="007F03B4" w:rsidRDefault="0090451C" w:rsidP="004E299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Uchovávejte</w:t>
      </w:r>
      <w:r w:rsidR="00C114FF" w:rsidRPr="007F03B4">
        <w:rPr>
          <w:szCs w:val="22"/>
          <w:lang w:val="cs-CZ"/>
        </w:rPr>
        <w:t xml:space="preserve"> mimo dohled a</w:t>
      </w:r>
      <w:r w:rsidRPr="007F03B4">
        <w:rPr>
          <w:szCs w:val="22"/>
          <w:lang w:val="cs-CZ"/>
        </w:rPr>
        <w:t> </w:t>
      </w:r>
      <w:r w:rsidR="00C114FF" w:rsidRPr="007F03B4">
        <w:rPr>
          <w:szCs w:val="22"/>
          <w:lang w:val="cs-CZ"/>
        </w:rPr>
        <w:t>dosah dětí.</w:t>
      </w:r>
    </w:p>
    <w:p w14:paraId="69602B6F" w14:textId="77777777" w:rsidR="0090451C" w:rsidRPr="007F03B4" w:rsidRDefault="0090451C" w:rsidP="004E299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85D7BA8" w14:textId="77777777" w:rsidR="00E43081" w:rsidRPr="007F03B4" w:rsidRDefault="00ED0F50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Tento veterinární léčivý přípravek nevyžaduje žádné zvláštní podmínky pro uchovávání.</w:t>
      </w:r>
    </w:p>
    <w:p w14:paraId="57EF6BBA" w14:textId="5E2138C9" w:rsidR="004E299B" w:rsidRDefault="0043320A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 xml:space="preserve">Nepoužívejte tento veterinární léčivý přípravek po uplynutí doby použitelnost uvedené na krabičce po </w:t>
      </w:r>
      <w:r w:rsidR="007A750E" w:rsidRPr="007F03B4">
        <w:rPr>
          <w:szCs w:val="22"/>
          <w:lang w:val="cs-CZ"/>
        </w:rPr>
        <w:t>Exp</w:t>
      </w:r>
      <w:r w:rsidRPr="007F03B4">
        <w:rPr>
          <w:szCs w:val="22"/>
          <w:lang w:val="cs-CZ"/>
        </w:rPr>
        <w:t>. Doba použitelnosti končí posledním dnem v uvedeném měsíci.</w:t>
      </w:r>
    </w:p>
    <w:p w14:paraId="755DB964" w14:textId="1704B45C" w:rsidR="00C114FF" w:rsidRPr="007F03B4" w:rsidRDefault="0043320A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Doba použitelnosti po prvním otevření lahve: 56 dní (8 týdnů).</w:t>
      </w:r>
    </w:p>
    <w:p w14:paraId="279E179B" w14:textId="5BB84129" w:rsidR="00775873" w:rsidRPr="007F03B4" w:rsidRDefault="00775873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46A8BBCE" w14:textId="77777777" w:rsidR="007A750E" w:rsidRPr="007F03B4" w:rsidRDefault="007A750E" w:rsidP="00775873">
      <w:pPr>
        <w:pStyle w:val="BODY"/>
        <w:spacing w:after="0"/>
        <w:contextualSpacing w:val="0"/>
        <w:rPr>
          <w:szCs w:val="22"/>
          <w:lang w:val="cs-CZ"/>
        </w:rPr>
      </w:pPr>
    </w:p>
    <w:p w14:paraId="6E836267" w14:textId="6109DBBE" w:rsidR="00C114FF" w:rsidRPr="007F03B4" w:rsidRDefault="0090451C" w:rsidP="004E299B">
      <w:pPr>
        <w:keepNext/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12</w:t>
      </w:r>
      <w:r w:rsidR="00C114FF" w:rsidRPr="007F03B4">
        <w:rPr>
          <w:b/>
          <w:bCs/>
          <w:szCs w:val="22"/>
          <w:highlight w:val="lightGray"/>
          <w:lang w:val="cs-CZ"/>
        </w:rPr>
        <w:t>.</w:t>
      </w:r>
      <w:r w:rsidR="00C114FF" w:rsidRPr="007F03B4">
        <w:rPr>
          <w:b/>
          <w:bCs/>
          <w:szCs w:val="22"/>
          <w:lang w:val="cs-CZ"/>
        </w:rPr>
        <w:tab/>
      </w:r>
      <w:r w:rsidRPr="007F03B4">
        <w:rPr>
          <w:b/>
          <w:bCs/>
          <w:szCs w:val="22"/>
          <w:lang w:val="cs-CZ"/>
        </w:rPr>
        <w:t>Zvláštní opatření pro likvidaci</w:t>
      </w:r>
    </w:p>
    <w:p w14:paraId="41630520" w14:textId="77777777" w:rsidR="00775873" w:rsidRPr="007F03B4" w:rsidRDefault="00775873" w:rsidP="004E299B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cs-CZ"/>
        </w:rPr>
      </w:pPr>
    </w:p>
    <w:p w14:paraId="50CF3501" w14:textId="702ACF24" w:rsidR="00D64891" w:rsidRPr="007F03B4" w:rsidRDefault="00D64891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F03B4">
        <w:rPr>
          <w:lang w:val="cs-CZ"/>
        </w:rPr>
        <w:t>Léčivé přípravky se nesmí likvidovat prostřednictvím odpadní vody či domovního odpadu.</w:t>
      </w:r>
    </w:p>
    <w:p w14:paraId="4FD273F8" w14:textId="13513F37" w:rsidR="008312BD" w:rsidRPr="00E71208" w:rsidRDefault="00D64891" w:rsidP="004E299B">
      <w:pPr>
        <w:jc w:val="both"/>
        <w:rPr>
          <w:szCs w:val="22"/>
          <w:lang w:val="cs-CZ"/>
        </w:rPr>
      </w:pPr>
      <w:r w:rsidRPr="007F03B4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  <w:r w:rsidR="005D3157">
        <w:rPr>
          <w:lang w:val="cs-CZ"/>
        </w:rPr>
        <w:t xml:space="preserve"> </w:t>
      </w:r>
    </w:p>
    <w:p w14:paraId="3AD48C25" w14:textId="3D2B6DFF" w:rsidR="00775873" w:rsidRPr="00E71208" w:rsidRDefault="007F03B4" w:rsidP="004E299B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E71208">
        <w:rPr>
          <w:lang w:val="cs-CZ"/>
        </w:rPr>
        <w:t>O možnostech likvidace nepotřebných léčivých přípravků se poraďte s vaším veterinárním lékařem nebo lékárníkem.</w:t>
      </w:r>
    </w:p>
    <w:p w14:paraId="3C6DE6B9" w14:textId="77777777" w:rsidR="007F03B4" w:rsidRPr="007F03B4" w:rsidRDefault="007F03B4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9DFCDEE" w14:textId="77777777" w:rsidR="0090451C" w:rsidRPr="007F03B4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FFAB01A" w14:textId="77777777" w:rsidR="0090451C" w:rsidRPr="007F03B4" w:rsidRDefault="0090451C" w:rsidP="004E299B">
      <w:pPr>
        <w:pStyle w:val="Style1"/>
        <w:jc w:val="both"/>
      </w:pPr>
      <w:r w:rsidRPr="007F03B4">
        <w:rPr>
          <w:highlight w:val="lightGray"/>
        </w:rPr>
        <w:t>13.</w:t>
      </w:r>
      <w:r w:rsidRPr="007F03B4">
        <w:tab/>
        <w:t>Klasifikace veterinárních léčivých přípravků</w:t>
      </w:r>
    </w:p>
    <w:p w14:paraId="1F428E3E" w14:textId="77777777" w:rsidR="0090451C" w:rsidRPr="007F03B4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31BA3E6" w14:textId="77777777" w:rsidR="00DF153C" w:rsidRPr="00DF6A4F" w:rsidRDefault="00DF153C" w:rsidP="00DF153C">
      <w:pPr>
        <w:ind w:right="-318"/>
        <w:jc w:val="both"/>
        <w:rPr>
          <w:lang w:val="cs-CZ"/>
        </w:rPr>
      </w:pPr>
      <w:r w:rsidRPr="00DF6A4F">
        <w:rPr>
          <w:lang w:val="cs-CZ"/>
        </w:rPr>
        <w:t>Veterinární léčivý přípravek je vydáván pouze na předpis.</w:t>
      </w:r>
    </w:p>
    <w:p w14:paraId="34650775" w14:textId="1EC60169" w:rsidR="00D64891" w:rsidRPr="007F03B4" w:rsidRDefault="00D64891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D30D9F5" w14:textId="77777777" w:rsidR="00D64891" w:rsidRPr="007F03B4" w:rsidRDefault="00D64891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9C3A868" w14:textId="77777777" w:rsidR="0090451C" w:rsidRPr="007F03B4" w:rsidRDefault="0090451C" w:rsidP="004E299B">
      <w:pPr>
        <w:pStyle w:val="Style1"/>
        <w:jc w:val="both"/>
      </w:pPr>
      <w:r w:rsidRPr="007F03B4">
        <w:rPr>
          <w:highlight w:val="lightGray"/>
        </w:rPr>
        <w:t>14.</w:t>
      </w:r>
      <w:r w:rsidRPr="007F03B4">
        <w:tab/>
        <w:t>Registrační čísla a velikosti balení</w:t>
      </w:r>
    </w:p>
    <w:p w14:paraId="4220869B" w14:textId="77777777" w:rsidR="0090451C" w:rsidRPr="007F03B4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2E4B56F" w14:textId="487F19D9" w:rsidR="007A750E" w:rsidRPr="00E71208" w:rsidRDefault="00E71208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  <w:r w:rsidRPr="00E71208">
        <w:rPr>
          <w:szCs w:val="22"/>
          <w:lang w:val="cs-CZ"/>
        </w:rPr>
        <w:t>96/064/</w:t>
      </w:r>
      <w:proofErr w:type="gramStart"/>
      <w:r w:rsidRPr="00E71208">
        <w:rPr>
          <w:szCs w:val="22"/>
          <w:lang w:val="cs-CZ"/>
        </w:rPr>
        <w:t>19-C</w:t>
      </w:r>
      <w:proofErr w:type="gramEnd"/>
    </w:p>
    <w:p w14:paraId="563307F7" w14:textId="77777777" w:rsidR="00F55CA3" w:rsidRPr="007F03B4" w:rsidRDefault="00F55CA3" w:rsidP="004E299B">
      <w:pPr>
        <w:pStyle w:val="BODY"/>
        <w:spacing w:after="0"/>
        <w:contextualSpacing w:val="0"/>
        <w:jc w:val="both"/>
        <w:rPr>
          <w:szCs w:val="22"/>
          <w:u w:val="single"/>
          <w:lang w:val="cs-CZ"/>
        </w:rPr>
      </w:pPr>
    </w:p>
    <w:p w14:paraId="5B113243" w14:textId="77777777" w:rsidR="007A750E" w:rsidRPr="007F03B4" w:rsidRDefault="007A750E" w:rsidP="004E299B">
      <w:pPr>
        <w:pStyle w:val="BODY"/>
        <w:spacing w:after="0"/>
        <w:contextualSpacing w:val="0"/>
        <w:jc w:val="both"/>
        <w:rPr>
          <w:szCs w:val="22"/>
          <w:lang w:val="cs-CZ"/>
        </w:rPr>
      </w:pPr>
      <w:r w:rsidRPr="007F03B4">
        <w:rPr>
          <w:szCs w:val="22"/>
          <w:u w:val="single"/>
          <w:lang w:val="cs-CZ"/>
        </w:rPr>
        <w:t>Balení</w:t>
      </w:r>
      <w:r w:rsidRPr="007F03B4">
        <w:rPr>
          <w:szCs w:val="22"/>
          <w:lang w:val="cs-CZ"/>
        </w:rPr>
        <w:t>:</w:t>
      </w:r>
    </w:p>
    <w:p w14:paraId="3DC208B6" w14:textId="03E47FC5" w:rsidR="007A750E" w:rsidRPr="007F03B4" w:rsidRDefault="00767D59" w:rsidP="004E299B">
      <w:pPr>
        <w:jc w:val="both"/>
        <w:rPr>
          <w:color w:val="000000"/>
          <w:szCs w:val="22"/>
          <w:lang w:val="cs-CZ"/>
        </w:rPr>
      </w:pPr>
      <w:r>
        <w:rPr>
          <w:color w:val="000000"/>
          <w:szCs w:val="22"/>
          <w:lang w:val="cs-CZ"/>
        </w:rPr>
        <w:t>Papírová</w:t>
      </w:r>
      <w:r w:rsidRPr="007F03B4">
        <w:rPr>
          <w:color w:val="000000"/>
          <w:szCs w:val="22"/>
          <w:lang w:val="cs-CZ"/>
        </w:rPr>
        <w:t xml:space="preserve"> </w:t>
      </w:r>
      <w:r w:rsidR="007A750E" w:rsidRPr="007F03B4">
        <w:rPr>
          <w:color w:val="000000"/>
          <w:szCs w:val="22"/>
          <w:lang w:val="cs-CZ"/>
        </w:rPr>
        <w:t>krabička s jednou bezbarvou skleněnou injekční lahvičkou</w:t>
      </w:r>
      <w:r>
        <w:rPr>
          <w:color w:val="000000"/>
          <w:szCs w:val="22"/>
          <w:lang w:val="cs-CZ"/>
        </w:rPr>
        <w:t xml:space="preserve"> ze skla</w:t>
      </w:r>
      <w:r w:rsidR="007A750E" w:rsidRPr="007F03B4">
        <w:rPr>
          <w:color w:val="000000"/>
          <w:szCs w:val="22"/>
          <w:lang w:val="cs-CZ"/>
        </w:rPr>
        <w:t xml:space="preserve"> typu I obsahující 5, 10, 20 nebo 50 ml s </w:t>
      </w:r>
      <w:r>
        <w:rPr>
          <w:color w:val="000000"/>
          <w:szCs w:val="22"/>
          <w:lang w:val="cs-CZ"/>
        </w:rPr>
        <w:t>potahovanou</w:t>
      </w:r>
      <w:r w:rsidRPr="007F03B4">
        <w:rPr>
          <w:color w:val="000000"/>
          <w:szCs w:val="22"/>
          <w:lang w:val="cs-CZ"/>
        </w:rPr>
        <w:t xml:space="preserve"> </w:t>
      </w:r>
      <w:proofErr w:type="spellStart"/>
      <w:r w:rsidR="007A750E" w:rsidRPr="007F03B4">
        <w:rPr>
          <w:color w:val="000000"/>
          <w:szCs w:val="22"/>
          <w:lang w:val="cs-CZ"/>
        </w:rPr>
        <w:t>bromobutylovou</w:t>
      </w:r>
      <w:proofErr w:type="spellEnd"/>
      <w:r w:rsidR="007A750E" w:rsidRPr="007F03B4">
        <w:rPr>
          <w:color w:val="000000"/>
          <w:szCs w:val="22"/>
          <w:lang w:val="cs-CZ"/>
        </w:rPr>
        <w:t xml:space="preserve"> pryžovou zátkou a hliníkovým uzávěrem.</w:t>
      </w:r>
    </w:p>
    <w:p w14:paraId="57D4F5D3" w14:textId="77777777" w:rsidR="007A750E" w:rsidRPr="007F03B4" w:rsidRDefault="007A750E" w:rsidP="004E299B">
      <w:pPr>
        <w:jc w:val="both"/>
        <w:rPr>
          <w:szCs w:val="22"/>
          <w:lang w:val="cs-CZ"/>
        </w:rPr>
      </w:pPr>
    </w:p>
    <w:p w14:paraId="1FE772FA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Velikosti balení:</w:t>
      </w:r>
    </w:p>
    <w:p w14:paraId="0D3293B3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Krabička s 1 injekční lahvičkou o objemu 5 ml</w:t>
      </w:r>
    </w:p>
    <w:p w14:paraId="6858FA50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Krabička s 1 injekční lahvičkou o objemu 10 ml</w:t>
      </w:r>
    </w:p>
    <w:p w14:paraId="3887C96C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Krabička s 1 injekční lahvičkou o objemu 20 ml</w:t>
      </w:r>
    </w:p>
    <w:p w14:paraId="4C46FF76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Krabička s 1 injekční lahvičkou o objemu 50 ml</w:t>
      </w:r>
    </w:p>
    <w:p w14:paraId="5AC339CB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</w:p>
    <w:p w14:paraId="0E8CF81E" w14:textId="77777777" w:rsidR="007A750E" w:rsidRPr="007F03B4" w:rsidRDefault="007A750E" w:rsidP="004E299B">
      <w:pPr>
        <w:jc w:val="both"/>
        <w:rPr>
          <w:szCs w:val="22"/>
          <w:lang w:val="cs-CZ"/>
        </w:rPr>
      </w:pPr>
      <w:r w:rsidRPr="007F03B4">
        <w:rPr>
          <w:szCs w:val="22"/>
          <w:lang w:val="cs-CZ"/>
        </w:rPr>
        <w:t>Vícedávkové balení se 6 krabičkami, z nichž každá obsahuje 1 injekční lahvičku o objemu 5 ml</w:t>
      </w:r>
    </w:p>
    <w:p w14:paraId="5117426E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Vícedávkové balení se 6 krabičkami, z nichž každá obsahuje 1 injekční lahvičku o objemu 10 ml</w:t>
      </w:r>
    </w:p>
    <w:p w14:paraId="045C6442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Vícedávkové balení se 6 krabičkami, z nichž každá obsahuje 1 injekční lahvičku o objemu 20 ml</w:t>
      </w:r>
    </w:p>
    <w:p w14:paraId="677EF9D6" w14:textId="77777777" w:rsidR="007A750E" w:rsidRPr="007F03B4" w:rsidRDefault="007A750E" w:rsidP="004E299B">
      <w:pPr>
        <w:jc w:val="both"/>
        <w:rPr>
          <w:szCs w:val="22"/>
          <w:lang w:val="cs-CZ"/>
        </w:rPr>
      </w:pPr>
    </w:p>
    <w:p w14:paraId="0D4379FC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Vícedávkové balení s 10 krabičkami, z nichž každá obsahuje 1 injekční lahvičku o objemu 5 ml</w:t>
      </w:r>
    </w:p>
    <w:p w14:paraId="70AB79F5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Vícedávkové balení s 10 krabičkami, z nichž každá obsahuje 1 injekční lahvičku o objemu 10 ml</w:t>
      </w:r>
    </w:p>
    <w:p w14:paraId="7D729BCB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Vícedávkové balení s 10 krabičkami, z nichž každá obsahuje 1 injekční lahvičku o objemu 20 ml</w:t>
      </w:r>
    </w:p>
    <w:p w14:paraId="30CFBB40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</w:p>
    <w:p w14:paraId="2C4F4D82" w14:textId="77777777" w:rsidR="007A750E" w:rsidRPr="007F03B4" w:rsidRDefault="007A750E" w:rsidP="004E299B">
      <w:pPr>
        <w:jc w:val="both"/>
        <w:rPr>
          <w:color w:val="000000"/>
          <w:szCs w:val="22"/>
          <w:lang w:val="cs-CZ"/>
        </w:rPr>
      </w:pPr>
      <w:r w:rsidRPr="007F03B4">
        <w:rPr>
          <w:color w:val="000000"/>
          <w:szCs w:val="22"/>
          <w:lang w:val="cs-CZ"/>
        </w:rPr>
        <w:t>Na trhu nemusí být všechny velikosti balení.</w:t>
      </w:r>
    </w:p>
    <w:p w14:paraId="3B4695D9" w14:textId="77777777" w:rsidR="0090451C" w:rsidRPr="007F03B4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DEF7256" w14:textId="77777777" w:rsidR="0090451C" w:rsidRPr="007F03B4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711416F" w14:textId="45278721" w:rsidR="00C114FF" w:rsidRPr="007F03B4" w:rsidRDefault="007A750E" w:rsidP="004E299B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7F03B4">
        <w:rPr>
          <w:b/>
          <w:bCs/>
          <w:szCs w:val="22"/>
          <w:highlight w:val="lightGray"/>
          <w:lang w:val="cs-CZ"/>
        </w:rPr>
        <w:t>15</w:t>
      </w:r>
      <w:r w:rsidR="00C114FF" w:rsidRPr="007F03B4">
        <w:rPr>
          <w:b/>
          <w:bCs/>
          <w:szCs w:val="22"/>
          <w:highlight w:val="lightGray"/>
          <w:lang w:val="cs-CZ"/>
        </w:rPr>
        <w:t>.</w:t>
      </w:r>
      <w:r w:rsidR="00C114FF" w:rsidRPr="007F03B4">
        <w:rPr>
          <w:b/>
          <w:bCs/>
          <w:szCs w:val="22"/>
          <w:lang w:val="cs-CZ"/>
        </w:rPr>
        <w:tab/>
      </w:r>
      <w:r w:rsidR="0090451C" w:rsidRPr="007F03B4">
        <w:rPr>
          <w:b/>
          <w:bCs/>
          <w:szCs w:val="22"/>
          <w:lang w:val="cs-CZ"/>
        </w:rPr>
        <w:t>Datum poslední revize příbalové informace</w:t>
      </w:r>
    </w:p>
    <w:p w14:paraId="3C07F892" w14:textId="77777777" w:rsidR="00775873" w:rsidRPr="007F03B4" w:rsidRDefault="00775873" w:rsidP="004E299B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DD5AC07" w14:textId="00668C21" w:rsidR="00D64891" w:rsidRPr="007F03B4" w:rsidRDefault="00E71208" w:rsidP="004E299B">
      <w:pPr>
        <w:jc w:val="both"/>
        <w:rPr>
          <w:szCs w:val="22"/>
          <w:lang w:val="cs-CZ"/>
        </w:rPr>
      </w:pPr>
      <w:r>
        <w:rPr>
          <w:lang w:val="cs-CZ"/>
        </w:rPr>
        <w:t>Srpen</w:t>
      </w:r>
      <w:r w:rsidR="00DF153C">
        <w:rPr>
          <w:lang w:val="cs-CZ"/>
        </w:rPr>
        <w:t xml:space="preserve"> 2023</w:t>
      </w:r>
    </w:p>
    <w:p w14:paraId="53565561" w14:textId="77777777" w:rsidR="00D64891" w:rsidRPr="007F03B4" w:rsidRDefault="00D64891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974626A" w14:textId="5414C1C8" w:rsidR="00DF28CF" w:rsidRPr="008312BD" w:rsidRDefault="002C438A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E71208">
        <w:rPr>
          <w:szCs w:val="22"/>
          <w:lang w:val="cs-CZ"/>
        </w:rPr>
        <w:t>Podrobné informace o tomto veterinárním léčivém přípravku jsou k dispozici v databázi přípravků Unie (https://medicines.health.europa.eu/veterinary).</w:t>
      </w:r>
    </w:p>
    <w:p w14:paraId="16B27EEF" w14:textId="57629EEF" w:rsidR="0090451C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B31AC59" w14:textId="77777777" w:rsidR="00DF153C" w:rsidRPr="007F39AD" w:rsidRDefault="00DF153C" w:rsidP="00DF153C">
      <w:pPr>
        <w:rPr>
          <w:rStyle w:val="markedcontent"/>
        </w:rPr>
      </w:pPr>
      <w:r w:rsidRPr="00E71208">
        <w:rPr>
          <w:rStyle w:val="markedcontent"/>
          <w:lang w:val="cs-CZ"/>
        </w:rPr>
        <w:t>Podrobné informace o tomto veterinárním léčivém přípravku naleznete také v národní databázi</w:t>
      </w:r>
      <w:r w:rsidRPr="007F39AD">
        <w:rPr>
          <w:rStyle w:val="markedcontent"/>
        </w:rPr>
        <w:t xml:space="preserve"> (</w:t>
      </w:r>
      <w:hyperlink r:id="rId11" w:history="1">
        <w:r w:rsidRPr="007F39AD">
          <w:rPr>
            <w:rStyle w:val="Hypertextovodkaz"/>
          </w:rPr>
          <w:t>https://www.uskvbl.cz</w:t>
        </w:r>
      </w:hyperlink>
      <w:r w:rsidRPr="007F39AD">
        <w:rPr>
          <w:rStyle w:val="markedcontent"/>
        </w:rPr>
        <w:t xml:space="preserve">). </w:t>
      </w:r>
    </w:p>
    <w:p w14:paraId="2BAD8B47" w14:textId="77777777" w:rsidR="00DF153C" w:rsidRPr="00EE468B" w:rsidRDefault="00DF153C" w:rsidP="00DF153C">
      <w:pPr>
        <w:jc w:val="both"/>
        <w:rPr>
          <w:lang w:val="cs-CZ"/>
        </w:rPr>
      </w:pPr>
    </w:p>
    <w:p w14:paraId="7D78203F" w14:textId="77777777" w:rsidR="000449A9" w:rsidRPr="007F03B4" w:rsidRDefault="000449A9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0610A4A" w14:textId="77777777" w:rsidR="0090451C" w:rsidRPr="007F03B4" w:rsidRDefault="0090451C" w:rsidP="004E299B">
      <w:pPr>
        <w:pStyle w:val="Style1"/>
        <w:jc w:val="both"/>
      </w:pPr>
      <w:r w:rsidRPr="007F03B4">
        <w:rPr>
          <w:highlight w:val="lightGray"/>
        </w:rPr>
        <w:t>16.</w:t>
      </w:r>
      <w:r w:rsidRPr="007F03B4">
        <w:tab/>
        <w:t>Kontaktní údaje</w:t>
      </w:r>
    </w:p>
    <w:p w14:paraId="55D4BA82" w14:textId="77777777" w:rsidR="0090451C" w:rsidRPr="007F03B4" w:rsidRDefault="0090451C" w:rsidP="004E299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D03F05B" w14:textId="556E5F91" w:rsidR="0090451C" w:rsidRPr="007F03B4" w:rsidRDefault="0090451C" w:rsidP="0090451C">
      <w:pPr>
        <w:rPr>
          <w:iCs/>
          <w:szCs w:val="22"/>
          <w:lang w:val="cs-CZ"/>
        </w:rPr>
      </w:pPr>
      <w:bookmarkStart w:id="4" w:name="_Hlk73552578"/>
      <w:r w:rsidRPr="007F03B4">
        <w:rPr>
          <w:iCs/>
          <w:szCs w:val="22"/>
          <w:u w:val="single"/>
          <w:lang w:val="cs-CZ"/>
        </w:rPr>
        <w:t>Držitel rozhodnutí o</w:t>
      </w:r>
      <w:r w:rsidR="007A750E" w:rsidRPr="007F03B4">
        <w:rPr>
          <w:iCs/>
          <w:szCs w:val="22"/>
          <w:u w:val="single"/>
          <w:lang w:val="cs-CZ"/>
        </w:rPr>
        <w:t> </w:t>
      </w:r>
      <w:r w:rsidRPr="007F03B4">
        <w:rPr>
          <w:iCs/>
          <w:szCs w:val="22"/>
          <w:u w:val="single"/>
          <w:lang w:val="cs-CZ"/>
        </w:rPr>
        <w:t>registraci a</w:t>
      </w:r>
      <w:r w:rsidR="007A750E" w:rsidRPr="007F03B4">
        <w:rPr>
          <w:iCs/>
          <w:szCs w:val="22"/>
          <w:u w:val="single"/>
          <w:lang w:val="cs-CZ"/>
        </w:rPr>
        <w:t> </w:t>
      </w:r>
      <w:r w:rsidRPr="007F03B4">
        <w:rPr>
          <w:iCs/>
          <w:szCs w:val="22"/>
          <w:u w:val="single"/>
          <w:lang w:val="cs-CZ"/>
        </w:rPr>
        <w:t>kontaktní údaje pro hlášení podezření na nežádoucí účinky</w:t>
      </w:r>
      <w:r w:rsidRPr="007F03B4">
        <w:rPr>
          <w:lang w:val="cs-CZ"/>
        </w:rPr>
        <w:t>:</w:t>
      </w:r>
    </w:p>
    <w:bookmarkEnd w:id="4"/>
    <w:p w14:paraId="3803A654" w14:textId="77777777" w:rsidR="007A750E" w:rsidRPr="007F03B4" w:rsidRDefault="007A750E" w:rsidP="007A750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F03B4">
        <w:rPr>
          <w:iCs/>
          <w:szCs w:val="22"/>
          <w:lang w:val="cs-CZ"/>
        </w:rPr>
        <w:t>Dechra Regulatory B.V.</w:t>
      </w:r>
    </w:p>
    <w:p w14:paraId="7F10A985" w14:textId="77777777" w:rsidR="007A750E" w:rsidRPr="007F03B4" w:rsidRDefault="007A750E" w:rsidP="007A750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F03B4">
        <w:rPr>
          <w:iCs/>
          <w:szCs w:val="22"/>
          <w:lang w:val="cs-CZ"/>
        </w:rPr>
        <w:t>Handelsweg 25</w:t>
      </w:r>
    </w:p>
    <w:p w14:paraId="3D445EAF" w14:textId="77777777" w:rsidR="007A750E" w:rsidRPr="007F03B4" w:rsidRDefault="007A750E" w:rsidP="007A750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F03B4">
        <w:rPr>
          <w:iCs/>
          <w:szCs w:val="22"/>
          <w:lang w:val="cs-CZ"/>
        </w:rPr>
        <w:t>5531 AE Bladel</w:t>
      </w:r>
    </w:p>
    <w:p w14:paraId="02F133B9" w14:textId="4E43DE9F" w:rsidR="007A750E" w:rsidRPr="007F03B4" w:rsidRDefault="007A750E" w:rsidP="007A750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F03B4">
        <w:rPr>
          <w:iCs/>
          <w:szCs w:val="22"/>
          <w:lang w:val="cs-CZ"/>
        </w:rPr>
        <w:t>Nizozemsko</w:t>
      </w:r>
    </w:p>
    <w:p w14:paraId="1CC05FE4" w14:textId="7C4152BE" w:rsidR="00D64891" w:rsidRPr="007F03B4" w:rsidRDefault="00D64891" w:rsidP="007A750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F03B4">
        <w:rPr>
          <w:iCs/>
          <w:szCs w:val="22"/>
          <w:lang w:val="cs-CZ"/>
        </w:rPr>
        <w:t>Tel.: +31 348 563 434</w:t>
      </w:r>
    </w:p>
    <w:p w14:paraId="7B28B8CF" w14:textId="77777777" w:rsidR="0090451C" w:rsidRPr="007F03B4" w:rsidRDefault="0090451C" w:rsidP="0090451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46D0A9" w14:textId="0A87E837" w:rsidR="0090451C" w:rsidRPr="007F03B4" w:rsidRDefault="0090451C" w:rsidP="0090451C">
      <w:pPr>
        <w:rPr>
          <w:bCs/>
          <w:szCs w:val="22"/>
          <w:lang w:val="cs-CZ"/>
        </w:rPr>
      </w:pPr>
      <w:r w:rsidRPr="007F03B4">
        <w:rPr>
          <w:bCs/>
          <w:szCs w:val="22"/>
          <w:u w:val="single"/>
          <w:lang w:val="cs-CZ"/>
        </w:rPr>
        <w:t>Výrobce odpovědný za uvolnění šarže</w:t>
      </w:r>
      <w:r w:rsidRPr="007F03B4">
        <w:rPr>
          <w:lang w:val="cs-CZ"/>
        </w:rPr>
        <w:t>:</w:t>
      </w:r>
    </w:p>
    <w:p w14:paraId="64ABDA12" w14:textId="77777777" w:rsidR="007A750E" w:rsidRPr="007F03B4" w:rsidRDefault="007A750E" w:rsidP="007A750E">
      <w:pPr>
        <w:rPr>
          <w:bCs/>
          <w:szCs w:val="22"/>
          <w:lang w:val="cs-CZ"/>
        </w:rPr>
      </w:pPr>
      <w:r w:rsidRPr="007F03B4">
        <w:rPr>
          <w:bCs/>
          <w:szCs w:val="22"/>
          <w:lang w:val="cs-CZ"/>
        </w:rPr>
        <w:t>Produlab Pharma B.V.</w:t>
      </w:r>
    </w:p>
    <w:p w14:paraId="2FD9CA38" w14:textId="77777777" w:rsidR="007A750E" w:rsidRPr="007F03B4" w:rsidRDefault="007A750E" w:rsidP="007A750E">
      <w:pPr>
        <w:rPr>
          <w:bCs/>
          <w:szCs w:val="22"/>
          <w:lang w:val="cs-CZ"/>
        </w:rPr>
      </w:pPr>
      <w:r w:rsidRPr="007F03B4">
        <w:rPr>
          <w:bCs/>
          <w:szCs w:val="22"/>
          <w:lang w:val="cs-CZ"/>
        </w:rPr>
        <w:t>Forellenweg 16</w:t>
      </w:r>
    </w:p>
    <w:p w14:paraId="512F8C7A" w14:textId="77777777" w:rsidR="007A750E" w:rsidRPr="007F03B4" w:rsidRDefault="007A750E" w:rsidP="007A750E">
      <w:pPr>
        <w:rPr>
          <w:bCs/>
          <w:szCs w:val="22"/>
          <w:lang w:val="cs-CZ"/>
        </w:rPr>
      </w:pPr>
      <w:r w:rsidRPr="007F03B4">
        <w:rPr>
          <w:bCs/>
          <w:szCs w:val="22"/>
          <w:lang w:val="cs-CZ"/>
        </w:rPr>
        <w:t>4941 SJ Raamsdonksveer</w:t>
      </w:r>
    </w:p>
    <w:p w14:paraId="69118ADB" w14:textId="645F7AED" w:rsidR="006B39E2" w:rsidRPr="007F03B4" w:rsidRDefault="007A750E" w:rsidP="00D60CD8">
      <w:pPr>
        <w:pStyle w:val="BODY"/>
        <w:spacing w:after="0"/>
        <w:contextualSpacing w:val="0"/>
        <w:rPr>
          <w:bCs/>
          <w:szCs w:val="22"/>
          <w:lang w:val="cs-CZ"/>
        </w:rPr>
      </w:pPr>
      <w:r w:rsidRPr="007F03B4">
        <w:rPr>
          <w:bCs/>
          <w:szCs w:val="22"/>
          <w:lang w:val="cs-CZ"/>
        </w:rPr>
        <w:t>Nizozemsko</w:t>
      </w:r>
    </w:p>
    <w:p w14:paraId="5A501FD0" w14:textId="3C0FD3E0" w:rsidR="00844D91" w:rsidRPr="007F03B4" w:rsidRDefault="00844D91" w:rsidP="00D60CD8">
      <w:pPr>
        <w:pStyle w:val="BODY"/>
        <w:spacing w:after="0"/>
        <w:contextualSpacing w:val="0"/>
        <w:rPr>
          <w:bCs/>
          <w:szCs w:val="22"/>
          <w:lang w:val="cs-CZ"/>
        </w:rPr>
      </w:pPr>
    </w:p>
    <w:p w14:paraId="464019C8" w14:textId="08A92B8B" w:rsidR="00844D91" w:rsidRPr="007F03B4" w:rsidRDefault="00844D91" w:rsidP="00D60CD8">
      <w:pPr>
        <w:pStyle w:val="BODY"/>
        <w:spacing w:after="0"/>
        <w:contextualSpacing w:val="0"/>
        <w:rPr>
          <w:bCs/>
          <w:szCs w:val="22"/>
          <w:lang w:val="cs-CZ"/>
        </w:rPr>
      </w:pPr>
    </w:p>
    <w:p w14:paraId="5CF82EEA" w14:textId="15A8E9B4" w:rsidR="00844D91" w:rsidRPr="007F03B4" w:rsidRDefault="00844D91" w:rsidP="00844D91">
      <w:pPr>
        <w:pStyle w:val="Style1"/>
        <w:rPr>
          <w:highlight w:val="lightGray"/>
        </w:rPr>
      </w:pPr>
      <w:r w:rsidRPr="007F03B4">
        <w:rPr>
          <w:highlight w:val="lightGray"/>
        </w:rPr>
        <w:t>17.</w:t>
      </w:r>
      <w:r w:rsidRPr="007F03B4">
        <w:tab/>
        <w:t>Další informace</w:t>
      </w:r>
    </w:p>
    <w:p w14:paraId="73077E5A" w14:textId="00FE75AC" w:rsidR="0090451C" w:rsidRPr="007F03B4" w:rsidRDefault="0090451C" w:rsidP="00D60CD8">
      <w:pPr>
        <w:pStyle w:val="BODY"/>
        <w:spacing w:after="0"/>
        <w:contextualSpacing w:val="0"/>
        <w:rPr>
          <w:lang w:val="cs-CZ"/>
        </w:rPr>
      </w:pPr>
    </w:p>
    <w:p w14:paraId="33993D3A" w14:textId="77777777" w:rsidR="0043763C" w:rsidRPr="006C5D90" w:rsidRDefault="0043763C" w:rsidP="0043763C">
      <w:pPr>
        <w:spacing w:line="240" w:lineRule="auto"/>
        <w:ind w:right="113"/>
        <w:jc w:val="both"/>
      </w:pPr>
      <w:r w:rsidRPr="00E71208">
        <w:rPr>
          <w:lang w:val="cs-CZ"/>
        </w:rPr>
        <w:t>Přípravek obsahuje návykové látky</w:t>
      </w:r>
      <w:r w:rsidRPr="006C5D90">
        <w:t xml:space="preserve">. </w:t>
      </w:r>
      <w:r>
        <w:rPr>
          <w:noProof/>
          <w:lang w:val="cs-CZ" w:eastAsia="cs-CZ"/>
        </w:rPr>
        <w:drawing>
          <wp:inline distT="0" distB="0" distL="0" distR="0" wp14:anchorId="18CEB077" wp14:editId="4C548944">
            <wp:extent cx="495300" cy="2952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8FAA" w14:textId="77777777" w:rsidR="006206E3" w:rsidRPr="007F03B4" w:rsidRDefault="006206E3" w:rsidP="00D60CD8">
      <w:pPr>
        <w:pStyle w:val="BODY"/>
        <w:spacing w:after="0"/>
        <w:contextualSpacing w:val="0"/>
        <w:rPr>
          <w:szCs w:val="22"/>
          <w:lang w:val="cs-CZ"/>
        </w:rPr>
      </w:pPr>
    </w:p>
    <w:sectPr w:rsidR="006206E3" w:rsidRPr="007F03B4" w:rsidSect="007F2F0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FCE5" w14:textId="77777777" w:rsidR="0019490F" w:rsidRDefault="0019490F">
      <w:r>
        <w:separator/>
      </w:r>
    </w:p>
  </w:endnote>
  <w:endnote w:type="continuationSeparator" w:id="0">
    <w:p w14:paraId="53842DC7" w14:textId="77777777" w:rsidR="0019490F" w:rsidRDefault="001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49EC" w14:textId="77777777" w:rsidR="00A55CCC" w:rsidRPr="00B94A1B" w:rsidRDefault="00AC027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55CCC"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957C9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B2EF" w14:textId="77777777" w:rsidR="00A55CCC" w:rsidRDefault="00AC027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A55CCC">
      <w:instrText xml:space="preserve"> PAGE  \* MERGEFORMAT </w:instrText>
    </w:r>
    <w:r>
      <w:fldChar w:fldCharType="separate"/>
    </w:r>
    <w:r w:rsidR="00A55C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2B844" w14:textId="77777777" w:rsidR="0019490F" w:rsidRDefault="0019490F">
      <w:r>
        <w:separator/>
      </w:r>
    </w:p>
  </w:footnote>
  <w:footnote w:type="continuationSeparator" w:id="0">
    <w:p w14:paraId="01655FEA" w14:textId="77777777" w:rsidR="0019490F" w:rsidRDefault="0019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6939" w14:textId="77777777" w:rsidR="00A55CCC" w:rsidRDefault="00A55CCC" w:rsidP="003F7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72A13"/>
    <w:multiLevelType w:val="hybridMultilevel"/>
    <w:tmpl w:val="E718229E"/>
    <w:lvl w:ilvl="0" w:tplc="4B4E7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981"/>
    <w:rsid w:val="0001547B"/>
    <w:rsid w:val="00020069"/>
    <w:rsid w:val="00024953"/>
    <w:rsid w:val="00024E21"/>
    <w:rsid w:val="000276E2"/>
    <w:rsid w:val="00031DE1"/>
    <w:rsid w:val="00034A33"/>
    <w:rsid w:val="00035F68"/>
    <w:rsid w:val="00036C50"/>
    <w:rsid w:val="000449A9"/>
    <w:rsid w:val="000471DA"/>
    <w:rsid w:val="00052D2B"/>
    <w:rsid w:val="00054F55"/>
    <w:rsid w:val="00057EAC"/>
    <w:rsid w:val="00062945"/>
    <w:rsid w:val="000668CF"/>
    <w:rsid w:val="000707C5"/>
    <w:rsid w:val="000771F8"/>
    <w:rsid w:val="000856B6"/>
    <w:rsid w:val="000860CE"/>
    <w:rsid w:val="000911D4"/>
    <w:rsid w:val="000938A6"/>
    <w:rsid w:val="000A1DF5"/>
    <w:rsid w:val="000B7873"/>
    <w:rsid w:val="000C1D4F"/>
    <w:rsid w:val="000D67D0"/>
    <w:rsid w:val="000E195C"/>
    <w:rsid w:val="000E3602"/>
    <w:rsid w:val="000E79F8"/>
    <w:rsid w:val="000F38DA"/>
    <w:rsid w:val="000F5554"/>
    <w:rsid w:val="000F5822"/>
    <w:rsid w:val="000F796B"/>
    <w:rsid w:val="0010031E"/>
    <w:rsid w:val="001012EB"/>
    <w:rsid w:val="001069EE"/>
    <w:rsid w:val="001078D1"/>
    <w:rsid w:val="00115782"/>
    <w:rsid w:val="00122684"/>
    <w:rsid w:val="00124F36"/>
    <w:rsid w:val="00125C80"/>
    <w:rsid w:val="00131F5C"/>
    <w:rsid w:val="00132245"/>
    <w:rsid w:val="00140DF6"/>
    <w:rsid w:val="0014169A"/>
    <w:rsid w:val="00145D34"/>
    <w:rsid w:val="00146284"/>
    <w:rsid w:val="0014690F"/>
    <w:rsid w:val="0015520A"/>
    <w:rsid w:val="001674D3"/>
    <w:rsid w:val="001803D2"/>
    <w:rsid w:val="001814D9"/>
    <w:rsid w:val="0018228B"/>
    <w:rsid w:val="00185B50"/>
    <w:rsid w:val="00187DE7"/>
    <w:rsid w:val="00192045"/>
    <w:rsid w:val="00193B14"/>
    <w:rsid w:val="00193E72"/>
    <w:rsid w:val="0019490F"/>
    <w:rsid w:val="00195267"/>
    <w:rsid w:val="0019600B"/>
    <w:rsid w:val="0019686E"/>
    <w:rsid w:val="001A28C9"/>
    <w:rsid w:val="001A34BC"/>
    <w:rsid w:val="001B1C77"/>
    <w:rsid w:val="001B59F5"/>
    <w:rsid w:val="001C1FBD"/>
    <w:rsid w:val="001C5288"/>
    <w:rsid w:val="001C5B03"/>
    <w:rsid w:val="001C7BCD"/>
    <w:rsid w:val="001F6622"/>
    <w:rsid w:val="002100FC"/>
    <w:rsid w:val="00213890"/>
    <w:rsid w:val="00214E52"/>
    <w:rsid w:val="002207C0"/>
    <w:rsid w:val="00234C4D"/>
    <w:rsid w:val="0023676E"/>
    <w:rsid w:val="00237258"/>
    <w:rsid w:val="002414B6"/>
    <w:rsid w:val="002422EB"/>
    <w:rsid w:val="00242397"/>
    <w:rsid w:val="00242A25"/>
    <w:rsid w:val="00246156"/>
    <w:rsid w:val="00250DD1"/>
    <w:rsid w:val="00251108"/>
    <w:rsid w:val="00251183"/>
    <w:rsid w:val="00251689"/>
    <w:rsid w:val="0025267C"/>
    <w:rsid w:val="0025372F"/>
    <w:rsid w:val="00253B6B"/>
    <w:rsid w:val="00260972"/>
    <w:rsid w:val="00265656"/>
    <w:rsid w:val="00266155"/>
    <w:rsid w:val="00271E98"/>
    <w:rsid w:val="0027270B"/>
    <w:rsid w:val="00281518"/>
    <w:rsid w:val="00290805"/>
    <w:rsid w:val="00290C2A"/>
    <w:rsid w:val="002931DD"/>
    <w:rsid w:val="00293211"/>
    <w:rsid w:val="002A0E7C"/>
    <w:rsid w:val="002A21ED"/>
    <w:rsid w:val="002A3F88"/>
    <w:rsid w:val="002A42EA"/>
    <w:rsid w:val="002A54A2"/>
    <w:rsid w:val="002B245A"/>
    <w:rsid w:val="002C2046"/>
    <w:rsid w:val="002C3221"/>
    <w:rsid w:val="002C438A"/>
    <w:rsid w:val="002C592B"/>
    <w:rsid w:val="002C5D0F"/>
    <w:rsid w:val="002D25D9"/>
    <w:rsid w:val="002E1F54"/>
    <w:rsid w:val="002E3A90"/>
    <w:rsid w:val="002E62CB"/>
    <w:rsid w:val="002E6DF1"/>
    <w:rsid w:val="002E7B5B"/>
    <w:rsid w:val="002F0957"/>
    <w:rsid w:val="002F2C87"/>
    <w:rsid w:val="002F43F6"/>
    <w:rsid w:val="002F6129"/>
    <w:rsid w:val="003013B8"/>
    <w:rsid w:val="003020BB"/>
    <w:rsid w:val="00304393"/>
    <w:rsid w:val="00305AB2"/>
    <w:rsid w:val="0030611D"/>
    <w:rsid w:val="0031032B"/>
    <w:rsid w:val="00312D85"/>
    <w:rsid w:val="00316E87"/>
    <w:rsid w:val="00320DA3"/>
    <w:rsid w:val="0032211C"/>
    <w:rsid w:val="00322A1E"/>
    <w:rsid w:val="003256AC"/>
    <w:rsid w:val="003311A2"/>
    <w:rsid w:val="0033129D"/>
    <w:rsid w:val="003320ED"/>
    <w:rsid w:val="0033480E"/>
    <w:rsid w:val="00336145"/>
    <w:rsid w:val="00337123"/>
    <w:rsid w:val="00341866"/>
    <w:rsid w:val="003535E0"/>
    <w:rsid w:val="00357ED0"/>
    <w:rsid w:val="00357FF9"/>
    <w:rsid w:val="00360D30"/>
    <w:rsid w:val="00362646"/>
    <w:rsid w:val="00366A35"/>
    <w:rsid w:val="00366F56"/>
    <w:rsid w:val="003737C8"/>
    <w:rsid w:val="0037589D"/>
    <w:rsid w:val="00376BB1"/>
    <w:rsid w:val="00377482"/>
    <w:rsid w:val="00377E23"/>
    <w:rsid w:val="0038277C"/>
    <w:rsid w:val="00383A2C"/>
    <w:rsid w:val="003909E0"/>
    <w:rsid w:val="00395B15"/>
    <w:rsid w:val="00396026"/>
    <w:rsid w:val="003A2433"/>
    <w:rsid w:val="003A3144"/>
    <w:rsid w:val="003A6CCB"/>
    <w:rsid w:val="003A7CBA"/>
    <w:rsid w:val="003B0C9C"/>
    <w:rsid w:val="003B3FDC"/>
    <w:rsid w:val="003B48EB"/>
    <w:rsid w:val="003C2BC7"/>
    <w:rsid w:val="003C33FF"/>
    <w:rsid w:val="003C64A5"/>
    <w:rsid w:val="003D03CC"/>
    <w:rsid w:val="003D4BB7"/>
    <w:rsid w:val="003D531F"/>
    <w:rsid w:val="003E0116"/>
    <w:rsid w:val="003E0654"/>
    <w:rsid w:val="003E26C3"/>
    <w:rsid w:val="003E49B6"/>
    <w:rsid w:val="003F0D6C"/>
    <w:rsid w:val="003F0F26"/>
    <w:rsid w:val="003F12D9"/>
    <w:rsid w:val="003F1B4C"/>
    <w:rsid w:val="003F725A"/>
    <w:rsid w:val="004008F6"/>
    <w:rsid w:val="00403A1A"/>
    <w:rsid w:val="00414B20"/>
    <w:rsid w:val="00417DE3"/>
    <w:rsid w:val="00423968"/>
    <w:rsid w:val="00424D84"/>
    <w:rsid w:val="00425DBB"/>
    <w:rsid w:val="00427054"/>
    <w:rsid w:val="004304B1"/>
    <w:rsid w:val="0043320A"/>
    <w:rsid w:val="0043763C"/>
    <w:rsid w:val="0044335E"/>
    <w:rsid w:val="004518A6"/>
    <w:rsid w:val="004521B9"/>
    <w:rsid w:val="00453E1D"/>
    <w:rsid w:val="00454589"/>
    <w:rsid w:val="004545D4"/>
    <w:rsid w:val="00456991"/>
    <w:rsid w:val="00456ED0"/>
    <w:rsid w:val="00457550"/>
    <w:rsid w:val="00462DE7"/>
    <w:rsid w:val="00474C50"/>
    <w:rsid w:val="00481D5B"/>
    <w:rsid w:val="00482224"/>
    <w:rsid w:val="00486006"/>
    <w:rsid w:val="00486BAD"/>
    <w:rsid w:val="00486BBE"/>
    <w:rsid w:val="00487123"/>
    <w:rsid w:val="00487907"/>
    <w:rsid w:val="004959DB"/>
    <w:rsid w:val="00497FD1"/>
    <w:rsid w:val="004A0584"/>
    <w:rsid w:val="004A1BD5"/>
    <w:rsid w:val="004A61E1"/>
    <w:rsid w:val="004B2344"/>
    <w:rsid w:val="004B798E"/>
    <w:rsid w:val="004C09F3"/>
    <w:rsid w:val="004D3E58"/>
    <w:rsid w:val="004D6746"/>
    <w:rsid w:val="004E0F32"/>
    <w:rsid w:val="004E23A1"/>
    <w:rsid w:val="004E299B"/>
    <w:rsid w:val="004E7ECE"/>
    <w:rsid w:val="004F109F"/>
    <w:rsid w:val="005004EC"/>
    <w:rsid w:val="00507683"/>
    <w:rsid w:val="00507DC4"/>
    <w:rsid w:val="00511750"/>
    <w:rsid w:val="005238F4"/>
    <w:rsid w:val="00523C53"/>
    <w:rsid w:val="00526198"/>
    <w:rsid w:val="00527B8F"/>
    <w:rsid w:val="00530471"/>
    <w:rsid w:val="00531495"/>
    <w:rsid w:val="00542012"/>
    <w:rsid w:val="005429B3"/>
    <w:rsid w:val="00543DF5"/>
    <w:rsid w:val="00544B8A"/>
    <w:rsid w:val="005468C6"/>
    <w:rsid w:val="005500DE"/>
    <w:rsid w:val="0055260D"/>
    <w:rsid w:val="00555810"/>
    <w:rsid w:val="005603A3"/>
    <w:rsid w:val="00562DCA"/>
    <w:rsid w:val="0056568F"/>
    <w:rsid w:val="00566652"/>
    <w:rsid w:val="00574D12"/>
    <w:rsid w:val="00582578"/>
    <w:rsid w:val="00583DEF"/>
    <w:rsid w:val="00596E73"/>
    <w:rsid w:val="005A0987"/>
    <w:rsid w:val="005A2684"/>
    <w:rsid w:val="005A6742"/>
    <w:rsid w:val="005A70FA"/>
    <w:rsid w:val="005B04A8"/>
    <w:rsid w:val="005B328D"/>
    <w:rsid w:val="005B3503"/>
    <w:rsid w:val="005B4DCD"/>
    <w:rsid w:val="005B4FAD"/>
    <w:rsid w:val="005C66C5"/>
    <w:rsid w:val="005D3157"/>
    <w:rsid w:val="005D380C"/>
    <w:rsid w:val="005D6E04"/>
    <w:rsid w:val="005D7A12"/>
    <w:rsid w:val="005E0B20"/>
    <w:rsid w:val="005E53EE"/>
    <w:rsid w:val="005E5610"/>
    <w:rsid w:val="005F0542"/>
    <w:rsid w:val="005F0F72"/>
    <w:rsid w:val="005F1C1F"/>
    <w:rsid w:val="005F346D"/>
    <w:rsid w:val="005F38FB"/>
    <w:rsid w:val="0060495E"/>
    <w:rsid w:val="00606EA1"/>
    <w:rsid w:val="0061156A"/>
    <w:rsid w:val="006128F0"/>
    <w:rsid w:val="006155CF"/>
    <w:rsid w:val="00616630"/>
    <w:rsid w:val="0061726B"/>
    <w:rsid w:val="006206E3"/>
    <w:rsid w:val="0062387A"/>
    <w:rsid w:val="00623970"/>
    <w:rsid w:val="006344BE"/>
    <w:rsid w:val="00634A66"/>
    <w:rsid w:val="00636A6A"/>
    <w:rsid w:val="00640336"/>
    <w:rsid w:val="00640FC9"/>
    <w:rsid w:val="006432F2"/>
    <w:rsid w:val="0065320F"/>
    <w:rsid w:val="00653D64"/>
    <w:rsid w:val="00654E13"/>
    <w:rsid w:val="0066193B"/>
    <w:rsid w:val="00667489"/>
    <w:rsid w:val="00670D44"/>
    <w:rsid w:val="006746C5"/>
    <w:rsid w:val="00674AD5"/>
    <w:rsid w:val="00676AFC"/>
    <w:rsid w:val="006807CD"/>
    <w:rsid w:val="00681955"/>
    <w:rsid w:val="00682D43"/>
    <w:rsid w:val="00685BAF"/>
    <w:rsid w:val="006B12CB"/>
    <w:rsid w:val="006B1BD8"/>
    <w:rsid w:val="006B39E2"/>
    <w:rsid w:val="006B5916"/>
    <w:rsid w:val="006C0E65"/>
    <w:rsid w:val="006C4867"/>
    <w:rsid w:val="006C4F4A"/>
    <w:rsid w:val="006C5E80"/>
    <w:rsid w:val="006C7CEE"/>
    <w:rsid w:val="006D075E"/>
    <w:rsid w:val="006D7C6E"/>
    <w:rsid w:val="006E001E"/>
    <w:rsid w:val="006E1DD3"/>
    <w:rsid w:val="006E2F95"/>
    <w:rsid w:val="006F17A9"/>
    <w:rsid w:val="006F47A5"/>
    <w:rsid w:val="00704E21"/>
    <w:rsid w:val="00705EAF"/>
    <w:rsid w:val="00707D8D"/>
    <w:rsid w:val="007101CC"/>
    <w:rsid w:val="00710FF9"/>
    <w:rsid w:val="007121F4"/>
    <w:rsid w:val="0072140C"/>
    <w:rsid w:val="00724E3B"/>
    <w:rsid w:val="00725EEA"/>
    <w:rsid w:val="00730CE9"/>
    <w:rsid w:val="00731882"/>
    <w:rsid w:val="0073373D"/>
    <w:rsid w:val="007351CA"/>
    <w:rsid w:val="007439DB"/>
    <w:rsid w:val="007461EA"/>
    <w:rsid w:val="00750C14"/>
    <w:rsid w:val="00754E4D"/>
    <w:rsid w:val="00756A8D"/>
    <w:rsid w:val="00765316"/>
    <w:rsid w:val="00767D59"/>
    <w:rsid w:val="007708C8"/>
    <w:rsid w:val="00775873"/>
    <w:rsid w:val="0077719D"/>
    <w:rsid w:val="00780BAD"/>
    <w:rsid w:val="00780DF0"/>
    <w:rsid w:val="00782F0F"/>
    <w:rsid w:val="00787482"/>
    <w:rsid w:val="0079491E"/>
    <w:rsid w:val="00794EDC"/>
    <w:rsid w:val="007A1ECF"/>
    <w:rsid w:val="007A286D"/>
    <w:rsid w:val="007A38DF"/>
    <w:rsid w:val="007A4417"/>
    <w:rsid w:val="007A750E"/>
    <w:rsid w:val="007B20CF"/>
    <w:rsid w:val="007B2499"/>
    <w:rsid w:val="007B3AB1"/>
    <w:rsid w:val="007B3F76"/>
    <w:rsid w:val="007B47A2"/>
    <w:rsid w:val="007B6747"/>
    <w:rsid w:val="007B72E1"/>
    <w:rsid w:val="007B751D"/>
    <w:rsid w:val="007B783A"/>
    <w:rsid w:val="007C1B95"/>
    <w:rsid w:val="007D0DAD"/>
    <w:rsid w:val="007E2F2D"/>
    <w:rsid w:val="007E5130"/>
    <w:rsid w:val="007F03B4"/>
    <w:rsid w:val="007F0975"/>
    <w:rsid w:val="007F1433"/>
    <w:rsid w:val="007F1491"/>
    <w:rsid w:val="007F2C1C"/>
    <w:rsid w:val="007F2F03"/>
    <w:rsid w:val="00800FE0"/>
    <w:rsid w:val="00801F55"/>
    <w:rsid w:val="00802D7B"/>
    <w:rsid w:val="00805230"/>
    <w:rsid w:val="008066AD"/>
    <w:rsid w:val="00806D70"/>
    <w:rsid w:val="00814A1A"/>
    <w:rsid w:val="0081517F"/>
    <w:rsid w:val="00815370"/>
    <w:rsid w:val="0082153D"/>
    <w:rsid w:val="008255AA"/>
    <w:rsid w:val="00825711"/>
    <w:rsid w:val="00827F09"/>
    <w:rsid w:val="00830FF3"/>
    <w:rsid w:val="008312BD"/>
    <w:rsid w:val="00836B8C"/>
    <w:rsid w:val="008410C5"/>
    <w:rsid w:val="00842EAB"/>
    <w:rsid w:val="00844D91"/>
    <w:rsid w:val="00846C08"/>
    <w:rsid w:val="008530E7"/>
    <w:rsid w:val="00857675"/>
    <w:rsid w:val="008623FD"/>
    <w:rsid w:val="008663F1"/>
    <w:rsid w:val="00873561"/>
    <w:rsid w:val="00873637"/>
    <w:rsid w:val="008763E7"/>
    <w:rsid w:val="008808C5"/>
    <w:rsid w:val="00881A7C"/>
    <w:rsid w:val="00881E60"/>
    <w:rsid w:val="008825AD"/>
    <w:rsid w:val="00883C78"/>
    <w:rsid w:val="00883EC2"/>
    <w:rsid w:val="00885159"/>
    <w:rsid w:val="00885214"/>
    <w:rsid w:val="00887615"/>
    <w:rsid w:val="00890052"/>
    <w:rsid w:val="00892C08"/>
    <w:rsid w:val="00894E3A"/>
    <w:rsid w:val="008967AA"/>
    <w:rsid w:val="00896EBD"/>
    <w:rsid w:val="008A3000"/>
    <w:rsid w:val="008A5665"/>
    <w:rsid w:val="008B24A8"/>
    <w:rsid w:val="008B3D78"/>
    <w:rsid w:val="008C261B"/>
    <w:rsid w:val="008C3FB2"/>
    <w:rsid w:val="008C4FCA"/>
    <w:rsid w:val="008C7882"/>
    <w:rsid w:val="008D2261"/>
    <w:rsid w:val="008D3C64"/>
    <w:rsid w:val="008D4C28"/>
    <w:rsid w:val="008D5468"/>
    <w:rsid w:val="008D567A"/>
    <w:rsid w:val="008D577B"/>
    <w:rsid w:val="008E17C4"/>
    <w:rsid w:val="008E24AD"/>
    <w:rsid w:val="008E45C4"/>
    <w:rsid w:val="008E64B1"/>
    <w:rsid w:val="008E64FA"/>
    <w:rsid w:val="008F4DEF"/>
    <w:rsid w:val="0090451C"/>
    <w:rsid w:val="009048E1"/>
    <w:rsid w:val="00913885"/>
    <w:rsid w:val="00914B88"/>
    <w:rsid w:val="0091690E"/>
    <w:rsid w:val="009204D6"/>
    <w:rsid w:val="00931D41"/>
    <w:rsid w:val="00933D18"/>
    <w:rsid w:val="00942121"/>
    <w:rsid w:val="00942221"/>
    <w:rsid w:val="00944370"/>
    <w:rsid w:val="00946D45"/>
    <w:rsid w:val="00946E31"/>
    <w:rsid w:val="00947A9C"/>
    <w:rsid w:val="0095087F"/>
    <w:rsid w:val="00950F1C"/>
    <w:rsid w:val="00950FBB"/>
    <w:rsid w:val="009523E0"/>
    <w:rsid w:val="00953349"/>
    <w:rsid w:val="00954E0C"/>
    <w:rsid w:val="0095682F"/>
    <w:rsid w:val="00957C96"/>
    <w:rsid w:val="0096012A"/>
    <w:rsid w:val="00961156"/>
    <w:rsid w:val="009627B9"/>
    <w:rsid w:val="00964327"/>
    <w:rsid w:val="00966F1F"/>
    <w:rsid w:val="00976D32"/>
    <w:rsid w:val="009807E5"/>
    <w:rsid w:val="009844F7"/>
    <w:rsid w:val="00994668"/>
    <w:rsid w:val="00997B10"/>
    <w:rsid w:val="009A05AA"/>
    <w:rsid w:val="009A2D5A"/>
    <w:rsid w:val="009B2C7E"/>
    <w:rsid w:val="009B4A4F"/>
    <w:rsid w:val="009B5A9D"/>
    <w:rsid w:val="009C2E47"/>
    <w:rsid w:val="009C2ED0"/>
    <w:rsid w:val="009C6335"/>
    <w:rsid w:val="009C6BFB"/>
    <w:rsid w:val="009D0C05"/>
    <w:rsid w:val="009E2C00"/>
    <w:rsid w:val="009E70F4"/>
    <w:rsid w:val="009F18E0"/>
    <w:rsid w:val="009F1AD2"/>
    <w:rsid w:val="00A02397"/>
    <w:rsid w:val="00A03B33"/>
    <w:rsid w:val="00A04767"/>
    <w:rsid w:val="00A11755"/>
    <w:rsid w:val="00A15494"/>
    <w:rsid w:val="00A207FB"/>
    <w:rsid w:val="00A232DD"/>
    <w:rsid w:val="00A259B9"/>
    <w:rsid w:val="00A26F44"/>
    <w:rsid w:val="00A37FDA"/>
    <w:rsid w:val="00A4313D"/>
    <w:rsid w:val="00A47633"/>
    <w:rsid w:val="00A50120"/>
    <w:rsid w:val="00A55A3B"/>
    <w:rsid w:val="00A55CCC"/>
    <w:rsid w:val="00A56F84"/>
    <w:rsid w:val="00A60351"/>
    <w:rsid w:val="00A61C6D"/>
    <w:rsid w:val="00A63015"/>
    <w:rsid w:val="00A63FCB"/>
    <w:rsid w:val="00A64EDD"/>
    <w:rsid w:val="00A66BB0"/>
    <w:rsid w:val="00A678B4"/>
    <w:rsid w:val="00A704A3"/>
    <w:rsid w:val="00A71119"/>
    <w:rsid w:val="00A72822"/>
    <w:rsid w:val="00A75E23"/>
    <w:rsid w:val="00A82AA0"/>
    <w:rsid w:val="00A82AEF"/>
    <w:rsid w:val="00A82F8A"/>
    <w:rsid w:val="00A837DD"/>
    <w:rsid w:val="00A9226B"/>
    <w:rsid w:val="00A9575C"/>
    <w:rsid w:val="00A95B56"/>
    <w:rsid w:val="00A969AF"/>
    <w:rsid w:val="00AA0C3D"/>
    <w:rsid w:val="00AA18B5"/>
    <w:rsid w:val="00AA21F8"/>
    <w:rsid w:val="00AB032E"/>
    <w:rsid w:val="00AB1A2E"/>
    <w:rsid w:val="00AB328A"/>
    <w:rsid w:val="00AB4918"/>
    <w:rsid w:val="00AB4BC8"/>
    <w:rsid w:val="00AB6BA7"/>
    <w:rsid w:val="00AC027D"/>
    <w:rsid w:val="00AD0710"/>
    <w:rsid w:val="00AD4DB9"/>
    <w:rsid w:val="00AD63C0"/>
    <w:rsid w:val="00AE35B2"/>
    <w:rsid w:val="00AE6AA0"/>
    <w:rsid w:val="00AF02E7"/>
    <w:rsid w:val="00AF5C06"/>
    <w:rsid w:val="00B033DB"/>
    <w:rsid w:val="00B119A2"/>
    <w:rsid w:val="00B177F2"/>
    <w:rsid w:val="00B201F1"/>
    <w:rsid w:val="00B20D41"/>
    <w:rsid w:val="00B2508C"/>
    <w:rsid w:val="00B304E7"/>
    <w:rsid w:val="00B318B6"/>
    <w:rsid w:val="00B42225"/>
    <w:rsid w:val="00B4736A"/>
    <w:rsid w:val="00B50EA1"/>
    <w:rsid w:val="00B60AC9"/>
    <w:rsid w:val="00B62664"/>
    <w:rsid w:val="00B67323"/>
    <w:rsid w:val="00B67D2D"/>
    <w:rsid w:val="00B706B7"/>
    <w:rsid w:val="00B721CA"/>
    <w:rsid w:val="00B74071"/>
    <w:rsid w:val="00B7428E"/>
    <w:rsid w:val="00B74B67"/>
    <w:rsid w:val="00B81B31"/>
    <w:rsid w:val="00B82ED4"/>
    <w:rsid w:val="00B8424F"/>
    <w:rsid w:val="00B86896"/>
    <w:rsid w:val="00B875A6"/>
    <w:rsid w:val="00B9007E"/>
    <w:rsid w:val="00B917C1"/>
    <w:rsid w:val="00B93E4C"/>
    <w:rsid w:val="00B94A1B"/>
    <w:rsid w:val="00BA5C89"/>
    <w:rsid w:val="00BB4B61"/>
    <w:rsid w:val="00BB4CE2"/>
    <w:rsid w:val="00BB6FE2"/>
    <w:rsid w:val="00BC0EFB"/>
    <w:rsid w:val="00BC1777"/>
    <w:rsid w:val="00BC1CB4"/>
    <w:rsid w:val="00BC2E39"/>
    <w:rsid w:val="00BD720C"/>
    <w:rsid w:val="00BE3261"/>
    <w:rsid w:val="00BE416A"/>
    <w:rsid w:val="00BF58FC"/>
    <w:rsid w:val="00C01F77"/>
    <w:rsid w:val="00C01FFC"/>
    <w:rsid w:val="00C06AE4"/>
    <w:rsid w:val="00C107C4"/>
    <w:rsid w:val="00C114FF"/>
    <w:rsid w:val="00C171A1"/>
    <w:rsid w:val="00C171A4"/>
    <w:rsid w:val="00C17F12"/>
    <w:rsid w:val="00C21AE4"/>
    <w:rsid w:val="00C237E9"/>
    <w:rsid w:val="00C34BA9"/>
    <w:rsid w:val="00C36883"/>
    <w:rsid w:val="00C3728B"/>
    <w:rsid w:val="00C40928"/>
    <w:rsid w:val="00C438BB"/>
    <w:rsid w:val="00C43F01"/>
    <w:rsid w:val="00C464D2"/>
    <w:rsid w:val="00C47552"/>
    <w:rsid w:val="00C55F5F"/>
    <w:rsid w:val="00C57A81"/>
    <w:rsid w:val="00C60193"/>
    <w:rsid w:val="00C634D4"/>
    <w:rsid w:val="00C63AA5"/>
    <w:rsid w:val="00C65071"/>
    <w:rsid w:val="00C7061C"/>
    <w:rsid w:val="00C73F6D"/>
    <w:rsid w:val="00C74F6E"/>
    <w:rsid w:val="00C7583C"/>
    <w:rsid w:val="00C77FA4"/>
    <w:rsid w:val="00C77FFA"/>
    <w:rsid w:val="00C80401"/>
    <w:rsid w:val="00C81C97"/>
    <w:rsid w:val="00C840C2"/>
    <w:rsid w:val="00C84101"/>
    <w:rsid w:val="00C8456C"/>
    <w:rsid w:val="00C8515D"/>
    <w:rsid w:val="00C8535F"/>
    <w:rsid w:val="00C90EDA"/>
    <w:rsid w:val="00C90FD8"/>
    <w:rsid w:val="00C959E7"/>
    <w:rsid w:val="00CA75B4"/>
    <w:rsid w:val="00CC1E65"/>
    <w:rsid w:val="00CC567A"/>
    <w:rsid w:val="00CD00CE"/>
    <w:rsid w:val="00CD4059"/>
    <w:rsid w:val="00CD4E5A"/>
    <w:rsid w:val="00CE03CE"/>
    <w:rsid w:val="00CE3652"/>
    <w:rsid w:val="00CE5456"/>
    <w:rsid w:val="00CF0DFF"/>
    <w:rsid w:val="00D0359D"/>
    <w:rsid w:val="00D037B4"/>
    <w:rsid w:val="00D04DED"/>
    <w:rsid w:val="00D1059F"/>
    <w:rsid w:val="00D1089A"/>
    <w:rsid w:val="00D116BD"/>
    <w:rsid w:val="00D22B70"/>
    <w:rsid w:val="00D25014"/>
    <w:rsid w:val="00D259A6"/>
    <w:rsid w:val="00D27479"/>
    <w:rsid w:val="00D33EF3"/>
    <w:rsid w:val="00D3691A"/>
    <w:rsid w:val="00D36B65"/>
    <w:rsid w:val="00D377E2"/>
    <w:rsid w:val="00D42DCB"/>
    <w:rsid w:val="00D46DF2"/>
    <w:rsid w:val="00D47674"/>
    <w:rsid w:val="00D50DF0"/>
    <w:rsid w:val="00D530BD"/>
    <w:rsid w:val="00D5338C"/>
    <w:rsid w:val="00D606B2"/>
    <w:rsid w:val="00D60CD8"/>
    <w:rsid w:val="00D61634"/>
    <w:rsid w:val="00D64891"/>
    <w:rsid w:val="00D65777"/>
    <w:rsid w:val="00D66853"/>
    <w:rsid w:val="00D728A0"/>
    <w:rsid w:val="00D82532"/>
    <w:rsid w:val="00D83245"/>
    <w:rsid w:val="00D90290"/>
    <w:rsid w:val="00D9528D"/>
    <w:rsid w:val="00D97E7D"/>
    <w:rsid w:val="00DB3439"/>
    <w:rsid w:val="00DC2946"/>
    <w:rsid w:val="00DC550F"/>
    <w:rsid w:val="00DC64FD"/>
    <w:rsid w:val="00DD4E8A"/>
    <w:rsid w:val="00DD7EB2"/>
    <w:rsid w:val="00DE0DD7"/>
    <w:rsid w:val="00DE127F"/>
    <w:rsid w:val="00DE424A"/>
    <w:rsid w:val="00DE4419"/>
    <w:rsid w:val="00DE7608"/>
    <w:rsid w:val="00DF0ACA"/>
    <w:rsid w:val="00DF153C"/>
    <w:rsid w:val="00DF2245"/>
    <w:rsid w:val="00DF28CF"/>
    <w:rsid w:val="00DF77CF"/>
    <w:rsid w:val="00E026E8"/>
    <w:rsid w:val="00E14C47"/>
    <w:rsid w:val="00E167CC"/>
    <w:rsid w:val="00E22698"/>
    <w:rsid w:val="00E245E8"/>
    <w:rsid w:val="00E25B7C"/>
    <w:rsid w:val="00E3725B"/>
    <w:rsid w:val="00E37C45"/>
    <w:rsid w:val="00E43081"/>
    <w:rsid w:val="00E434D1"/>
    <w:rsid w:val="00E46DA4"/>
    <w:rsid w:val="00E56CBB"/>
    <w:rsid w:val="00E5709A"/>
    <w:rsid w:val="00E61E51"/>
    <w:rsid w:val="00E6552A"/>
    <w:rsid w:val="00E6707D"/>
    <w:rsid w:val="00E70E7C"/>
    <w:rsid w:val="00E71208"/>
    <w:rsid w:val="00E71313"/>
    <w:rsid w:val="00E7181D"/>
    <w:rsid w:val="00E72606"/>
    <w:rsid w:val="00E73234"/>
    <w:rsid w:val="00E73C3E"/>
    <w:rsid w:val="00E84E9D"/>
    <w:rsid w:val="00E935AF"/>
    <w:rsid w:val="00E935FE"/>
    <w:rsid w:val="00E961C2"/>
    <w:rsid w:val="00E97230"/>
    <w:rsid w:val="00EB0E20"/>
    <w:rsid w:val="00EC4F3A"/>
    <w:rsid w:val="00ED0F50"/>
    <w:rsid w:val="00ED594D"/>
    <w:rsid w:val="00ED6233"/>
    <w:rsid w:val="00EE0F9D"/>
    <w:rsid w:val="00EE3218"/>
    <w:rsid w:val="00EE36E1"/>
    <w:rsid w:val="00EE5B52"/>
    <w:rsid w:val="00F0054D"/>
    <w:rsid w:val="00F02467"/>
    <w:rsid w:val="00F057AD"/>
    <w:rsid w:val="00F12214"/>
    <w:rsid w:val="00F12565"/>
    <w:rsid w:val="00F14ACA"/>
    <w:rsid w:val="00F14AF2"/>
    <w:rsid w:val="00F23927"/>
    <w:rsid w:val="00F26A05"/>
    <w:rsid w:val="00F307CE"/>
    <w:rsid w:val="00F37108"/>
    <w:rsid w:val="00F47BAA"/>
    <w:rsid w:val="00F51B94"/>
    <w:rsid w:val="00F52EAB"/>
    <w:rsid w:val="00F55CA3"/>
    <w:rsid w:val="00F560AC"/>
    <w:rsid w:val="00F66C43"/>
    <w:rsid w:val="00F67A2D"/>
    <w:rsid w:val="00F70A1B"/>
    <w:rsid w:val="00F72FDF"/>
    <w:rsid w:val="00F75960"/>
    <w:rsid w:val="00F82526"/>
    <w:rsid w:val="00F825D0"/>
    <w:rsid w:val="00F84672"/>
    <w:rsid w:val="00F84802"/>
    <w:rsid w:val="00F9226C"/>
    <w:rsid w:val="00F92F60"/>
    <w:rsid w:val="00F976DB"/>
    <w:rsid w:val="00FA06FD"/>
    <w:rsid w:val="00FA3236"/>
    <w:rsid w:val="00FA515B"/>
    <w:rsid w:val="00FA6B90"/>
    <w:rsid w:val="00FA74CB"/>
    <w:rsid w:val="00FB1CE0"/>
    <w:rsid w:val="00FB2886"/>
    <w:rsid w:val="00FB3744"/>
    <w:rsid w:val="00FB466E"/>
    <w:rsid w:val="00FB5DA1"/>
    <w:rsid w:val="00FC419A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1ECF"/>
    <w:rsid w:val="00FF22F5"/>
    <w:rsid w:val="00FF43C9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DD380"/>
  <w15:docId w15:val="{79F5F7D7-53A3-48B6-9EE8-35114CE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AC027D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AC027D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AC027D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AC027D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C027D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AC027D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C027D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C027D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C027D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C027D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AC027D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AC027D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AC027D"/>
    <w:rPr>
      <w:vertAlign w:val="superscript"/>
    </w:rPr>
  </w:style>
  <w:style w:type="character" w:styleId="Znakapoznpodarou">
    <w:name w:val="footnote reference"/>
    <w:semiHidden/>
    <w:rsid w:val="00AC027D"/>
    <w:rPr>
      <w:vertAlign w:val="superscript"/>
    </w:rPr>
  </w:style>
  <w:style w:type="paragraph" w:styleId="Textpoznpodarou">
    <w:name w:val="footnote text"/>
    <w:basedOn w:val="Normln"/>
    <w:semiHidden/>
    <w:rsid w:val="00AC027D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AC027D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AC027D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AC027D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AC027D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AC027D"/>
    <w:pPr>
      <w:spacing w:line="240" w:lineRule="auto"/>
    </w:pPr>
  </w:style>
  <w:style w:type="character" w:styleId="Odkaznakoment">
    <w:name w:val="annotation reference"/>
    <w:semiHidden/>
    <w:rsid w:val="00AC027D"/>
    <w:rPr>
      <w:sz w:val="16"/>
    </w:rPr>
  </w:style>
  <w:style w:type="paragraph" w:styleId="Zkladntextodsazen2">
    <w:name w:val="Body Text Indent 2"/>
    <w:basedOn w:val="Normln"/>
    <w:rsid w:val="00AC027D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rsid w:val="00AC027D"/>
    <w:rPr>
      <w:sz w:val="20"/>
    </w:rPr>
  </w:style>
  <w:style w:type="paragraph" w:styleId="Zkladntextodsazen3">
    <w:name w:val="Body Text Indent 3"/>
    <w:basedOn w:val="Normln"/>
    <w:rsid w:val="00AC027D"/>
    <w:pPr>
      <w:spacing w:line="240" w:lineRule="auto"/>
      <w:ind w:left="567" w:hanging="567"/>
    </w:pPr>
  </w:style>
  <w:style w:type="character" w:styleId="Hypertextovodkaz">
    <w:name w:val="Hyperlink"/>
    <w:rsid w:val="00AC027D"/>
    <w:rPr>
      <w:color w:val="0000FF"/>
      <w:u w:val="single"/>
    </w:rPr>
  </w:style>
  <w:style w:type="paragraph" w:customStyle="1" w:styleId="AHeader1">
    <w:name w:val="AHeader 1"/>
    <w:basedOn w:val="Normln"/>
    <w:rsid w:val="00AC027D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AC027D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C027D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AC027D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C027D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AC027D"/>
    <w:rPr>
      <w:color w:val="800080"/>
      <w:u w:val="single"/>
    </w:rPr>
  </w:style>
  <w:style w:type="paragraph" w:styleId="Zkladntextodsazen">
    <w:name w:val="Body Text Indent"/>
    <w:basedOn w:val="Normln"/>
    <w:rsid w:val="00AC027D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AC027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C027D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e1">
    <w:name w:val="Revisie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locked/>
    <w:rsid w:val="003909E0"/>
    <w:rPr>
      <w:lang w:val="en-GB" w:eastAsia="en-US" w:bidi="ar-SA"/>
    </w:rPr>
  </w:style>
  <w:style w:type="paragraph" w:customStyle="1" w:styleId="Geenafstand1">
    <w:name w:val="Geen afstand1"/>
    <w:uiPriority w:val="1"/>
    <w:qFormat/>
    <w:rsid w:val="00462DE7"/>
    <w:rPr>
      <w:rFonts w:ascii="Cambria" w:eastAsia="Cambria" w:hAnsi="Cambria"/>
      <w:sz w:val="24"/>
      <w:szCs w:val="24"/>
      <w:lang w:val="en-US" w:eastAsia="en-US"/>
    </w:rPr>
  </w:style>
  <w:style w:type="paragraph" w:customStyle="1" w:styleId="BODY">
    <w:name w:val="BODY"/>
    <w:basedOn w:val="Normln"/>
    <w:qFormat/>
    <w:rsid w:val="00D61634"/>
    <w:pPr>
      <w:spacing w:after="220" w:line="240" w:lineRule="auto"/>
      <w:contextualSpacing/>
    </w:pPr>
  </w:style>
  <w:style w:type="character" w:styleId="Siln">
    <w:name w:val="Strong"/>
    <w:qFormat/>
    <w:rsid w:val="00C7583C"/>
    <w:rPr>
      <w:b/>
      <w:bCs/>
    </w:rPr>
  </w:style>
  <w:style w:type="paragraph" w:customStyle="1" w:styleId="TableDose">
    <w:name w:val="TableDose"/>
    <w:basedOn w:val="Normln"/>
    <w:qFormat/>
    <w:rsid w:val="00C7583C"/>
    <w:pPr>
      <w:spacing w:line="240" w:lineRule="auto"/>
    </w:pPr>
  </w:style>
  <w:style w:type="table" w:customStyle="1" w:styleId="Doseringstabel">
    <w:name w:val="Doseringstabel"/>
    <w:basedOn w:val="Normlntabulka"/>
    <w:uiPriority w:val="99"/>
    <w:rsid w:val="00E43081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9E2F3"/>
      </w:tcPr>
    </w:tblStylePr>
  </w:style>
  <w:style w:type="character" w:customStyle="1" w:styleId="ZhlavChar">
    <w:name w:val="Záhlaví Char"/>
    <w:link w:val="Zhlav"/>
    <w:rsid w:val="00D27479"/>
    <w:rPr>
      <w:rFonts w:ascii="Helvetica" w:hAnsi="Helvetica"/>
      <w:lang w:val="en-GB" w:eastAsia="en-US"/>
    </w:rPr>
  </w:style>
  <w:style w:type="paragraph" w:customStyle="1" w:styleId="Style1">
    <w:name w:val="Style1"/>
    <w:basedOn w:val="Normln"/>
    <w:qFormat/>
    <w:rsid w:val="0090451C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customStyle="1" w:styleId="xmsonormal">
    <w:name w:val="x_msonormal"/>
    <w:basedOn w:val="Normln"/>
    <w:uiPriority w:val="99"/>
    <w:rsid w:val="0090451C"/>
    <w:pPr>
      <w:tabs>
        <w:tab w:val="clear" w:pos="567"/>
      </w:tabs>
      <w:spacing w:line="240" w:lineRule="auto"/>
    </w:pPr>
    <w:rPr>
      <w:rFonts w:eastAsia="Calibri"/>
      <w:sz w:val="24"/>
      <w:szCs w:val="24"/>
      <w:lang w:eastAsia="en-GB"/>
    </w:rPr>
  </w:style>
  <w:style w:type="paragraph" w:customStyle="1" w:styleId="suburb">
    <w:name w:val="suburb"/>
    <w:basedOn w:val="Normln"/>
    <w:rsid w:val="0090451C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ro-RO" w:eastAsia="ro-RO"/>
    </w:rPr>
  </w:style>
  <w:style w:type="paragraph" w:customStyle="1" w:styleId="state">
    <w:name w:val="state"/>
    <w:basedOn w:val="Normln"/>
    <w:rsid w:val="0090451C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ro-RO" w:eastAsia="ro-RO"/>
    </w:rPr>
  </w:style>
  <w:style w:type="paragraph" w:customStyle="1" w:styleId="Style4">
    <w:name w:val="Style4"/>
    <w:basedOn w:val="Normln"/>
    <w:qFormat/>
    <w:rsid w:val="0090451C"/>
    <w:rPr>
      <w:szCs w:val="22"/>
      <w:lang w:val="cs-CZ"/>
    </w:rPr>
  </w:style>
  <w:style w:type="paragraph" w:styleId="Revize">
    <w:name w:val="Revision"/>
    <w:hidden/>
    <w:uiPriority w:val="99"/>
    <w:semiHidden/>
    <w:rsid w:val="007A750E"/>
    <w:rPr>
      <w:sz w:val="22"/>
      <w:lang w:val="en-GB" w:eastAsia="en-US"/>
    </w:rPr>
  </w:style>
  <w:style w:type="character" w:customStyle="1" w:styleId="markedcontent">
    <w:name w:val="markedcontent"/>
    <w:rsid w:val="00DF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D5D5-902B-4422-A86C-E2E7C1A0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1419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keywords/>
  <cp:lastModifiedBy>Šťastná Hana</cp:lastModifiedBy>
  <cp:revision>23</cp:revision>
  <cp:lastPrinted>2023-08-07T11:37:00Z</cp:lastPrinted>
  <dcterms:created xsi:type="dcterms:W3CDTF">2023-05-24T06:48:00Z</dcterms:created>
  <dcterms:modified xsi:type="dcterms:W3CDTF">2023-08-07T11:41:00Z</dcterms:modified>
</cp:coreProperties>
</file>