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B7B" w:rsidRDefault="00CB4B7B"/>
    <w:p w:rsidR="00585B58" w:rsidRPr="00602769" w:rsidRDefault="00585B58">
      <w:r w:rsidRPr="00602769">
        <w:t xml:space="preserve">IDEXX </w:t>
      </w:r>
      <w:r w:rsidRPr="00602769">
        <w:rPr>
          <w:b/>
        </w:rPr>
        <w:t>Paratuberculosis Screening</w:t>
      </w:r>
      <w:r w:rsidRPr="00602769">
        <w:rPr>
          <w:b/>
        </w:rPr>
        <w:tab/>
      </w:r>
      <w:r w:rsidRPr="00602769">
        <w:rPr>
          <w:b/>
        </w:rPr>
        <w:tab/>
      </w:r>
      <w:r w:rsidRPr="00602769">
        <w:rPr>
          <w:b/>
        </w:rPr>
        <w:tab/>
      </w:r>
      <w:r w:rsidRPr="00602769">
        <w:rPr>
          <w:b/>
        </w:rPr>
        <w:tab/>
      </w:r>
      <w:r w:rsidRPr="00602769">
        <w:rPr>
          <w:b/>
        </w:rPr>
        <w:tab/>
      </w:r>
      <w:r w:rsidRPr="00602769">
        <w:rPr>
          <w:b/>
        </w:rPr>
        <w:tab/>
      </w:r>
      <w:r w:rsidRPr="00602769">
        <w:rPr>
          <w:b/>
        </w:rPr>
        <w:tab/>
        <w:t xml:space="preserve">    </w:t>
      </w:r>
      <w:r w:rsidRPr="00602769">
        <w:t>česká verze</w:t>
      </w:r>
    </w:p>
    <w:p w:rsidR="00AC388F" w:rsidRPr="00602769" w:rsidRDefault="005442C7" w:rsidP="00585B58">
      <w:pPr>
        <w:jc w:val="right"/>
        <w:rPr>
          <w:b/>
          <w:i/>
        </w:rPr>
      </w:pPr>
      <w:r w:rsidRPr="00602769">
        <w:rPr>
          <w:b/>
        </w:rPr>
        <w:t xml:space="preserve">Testovací sada na průkaz protilátek proti </w:t>
      </w:r>
      <w:r w:rsidRPr="00602769">
        <w:rPr>
          <w:b/>
          <w:i/>
        </w:rPr>
        <w:t>Mycobacterium paratuberculosis</w:t>
      </w:r>
    </w:p>
    <w:p w:rsidR="005442C7" w:rsidRPr="00602769" w:rsidRDefault="005442C7" w:rsidP="00585B58">
      <w:pPr>
        <w:jc w:val="right"/>
        <w:rPr>
          <w:b/>
        </w:rPr>
      </w:pPr>
      <w:r w:rsidRPr="00602769">
        <w:rPr>
          <w:b/>
        </w:rPr>
        <w:t>Pouze k veterinárnímu užití</w:t>
      </w:r>
    </w:p>
    <w:p w:rsidR="005442C7" w:rsidRPr="00602769" w:rsidRDefault="005442C7">
      <w:pPr>
        <w:rPr>
          <w:b/>
        </w:rPr>
      </w:pPr>
      <w:r w:rsidRPr="00602769">
        <w:rPr>
          <w:b/>
        </w:rPr>
        <w:t>Název a zamýšlené užití</w:t>
      </w:r>
    </w:p>
    <w:p w:rsidR="005442C7" w:rsidRPr="00602769" w:rsidRDefault="005442C7">
      <w:r w:rsidRPr="00602769">
        <w:t xml:space="preserve">IDEXX Paratuberculosis Screening je enzymatický imunologický test firmy IDEXX určený k detekci protilátek proti </w:t>
      </w:r>
      <w:r w:rsidRPr="00602769">
        <w:rPr>
          <w:i/>
        </w:rPr>
        <w:t xml:space="preserve">Mycobacterium avium </w:t>
      </w:r>
      <w:r w:rsidRPr="00602769">
        <w:t>spp</w:t>
      </w:r>
      <w:r w:rsidR="007A4A9A" w:rsidRPr="00602769">
        <w:t>.</w:t>
      </w:r>
      <w:r w:rsidRPr="00602769">
        <w:rPr>
          <w:i/>
        </w:rPr>
        <w:t xml:space="preserve"> paratuberculosis</w:t>
      </w:r>
      <w:r w:rsidRPr="00602769">
        <w:t xml:space="preserve"> (MAP) v individuálních vzorcích kravského séra, plazmy a mléka</w:t>
      </w:r>
      <w:r w:rsidR="004F4107" w:rsidRPr="00602769">
        <w:t>,</w:t>
      </w:r>
      <w:r w:rsidRPr="00602769">
        <w:t xml:space="preserve"> a v individuálních vzorcích séra a plazmy malých přežvýkavců. </w:t>
      </w:r>
    </w:p>
    <w:p w:rsidR="005442C7" w:rsidRPr="00602769" w:rsidRDefault="005442C7">
      <w:pPr>
        <w:rPr>
          <w:b/>
        </w:rPr>
      </w:pPr>
      <w:r w:rsidRPr="00602769">
        <w:rPr>
          <w:b/>
        </w:rPr>
        <w:t>Obecné informace</w:t>
      </w:r>
    </w:p>
    <w:p w:rsidR="005442C7" w:rsidRPr="00602769" w:rsidRDefault="005442C7">
      <w:r w:rsidRPr="00602769">
        <w:t>Paratuberkulóza, nebo též Johnova nemoc, je chronická enteritida přežvýkavců, jejímiž hlavními příznaky</w:t>
      </w:r>
      <w:r w:rsidR="00C04EBA" w:rsidRPr="00602769">
        <w:t xml:space="preserve"> jsou hojný průjem a hubnutí.</w:t>
      </w:r>
      <w:r w:rsidR="004F4107" w:rsidRPr="00602769">
        <w:t xml:space="preserve"> Infekce je způsobena acidorezistentní bakterií: </w:t>
      </w:r>
      <w:r w:rsidR="004F4107" w:rsidRPr="00602769">
        <w:rPr>
          <w:i/>
        </w:rPr>
        <w:t>Mycobacterium paratuberculosis.</w:t>
      </w:r>
      <w:r w:rsidR="00C04EBA" w:rsidRPr="00602769">
        <w:t xml:space="preserve"> Zvířata se obvykle nakazí v prvním roce života pozřením potravy kontaminované výkaly jiných infikovaných zvířat. Jelikož inkubační </w:t>
      </w:r>
      <w:r w:rsidR="00F12A1E" w:rsidRPr="00602769">
        <w:t>doba může trvat mnoho měsíců až několik let, onemocnění se často klinicky manifestuje až poté, co zvíře dospěje. Neexistuje žádná účinná léčba a</w:t>
      </w:r>
      <w:r w:rsidR="00602769">
        <w:t> </w:t>
      </w:r>
      <w:r w:rsidR="00F12A1E" w:rsidRPr="00602769">
        <w:t>infikované zvíře na onemocnění nakonec umírá. Metoda popsaná v návodu této sady je velmi podobná metodě popsané v doporučení 5b/009 (Příručka doporučených diagnostických metod a</w:t>
      </w:r>
      <w:r w:rsidR="00602769">
        <w:t> </w:t>
      </w:r>
      <w:r w:rsidR="00F12A1E" w:rsidRPr="00602769">
        <w:t>nároků na biologické produkty, díl III – Paratuberkulóza 5b/009, Paříž: Světová organizace pro</w:t>
      </w:r>
      <w:r w:rsidR="00602769">
        <w:t> </w:t>
      </w:r>
      <w:r w:rsidR="00F12A1E" w:rsidRPr="00602769">
        <w:t xml:space="preserve">zdraví zvířat, 1989-91). Antigen nanesený na dně jamek je protoplazmatickým extraktem </w:t>
      </w:r>
      <w:r w:rsidR="00F12A1E" w:rsidRPr="00602769">
        <w:rPr>
          <w:i/>
        </w:rPr>
        <w:t>Mycobacterium paratuberculosis</w:t>
      </w:r>
      <w:r w:rsidR="00F12A1E" w:rsidRPr="00602769">
        <w:t xml:space="preserve">. Vzorky se nejprve inkubují s extraktem </w:t>
      </w:r>
      <w:r w:rsidR="00F12A1E" w:rsidRPr="00602769">
        <w:rPr>
          <w:i/>
        </w:rPr>
        <w:t>Mycobacterium phlei</w:t>
      </w:r>
      <w:r w:rsidR="00F12A1E" w:rsidRPr="00602769">
        <w:t xml:space="preserve"> pro</w:t>
      </w:r>
      <w:r w:rsidR="00602769">
        <w:t> </w:t>
      </w:r>
      <w:r w:rsidR="00F12A1E" w:rsidRPr="00602769">
        <w:t xml:space="preserve">neutralizaci případné zkřížené reakce s atypickými mykobakteriemi. </w:t>
      </w:r>
    </w:p>
    <w:p w:rsidR="00F12A1E" w:rsidRPr="00602769" w:rsidRDefault="00F12A1E">
      <w:pPr>
        <w:rPr>
          <w:b/>
        </w:rPr>
      </w:pPr>
      <w:r w:rsidRPr="00602769">
        <w:rPr>
          <w:b/>
        </w:rPr>
        <w:t>Popis a principy</w:t>
      </w:r>
    </w:p>
    <w:p w:rsidR="00F12A1E" w:rsidRPr="00602769" w:rsidRDefault="00F12A1E">
      <w:r w:rsidRPr="00602769">
        <w:t xml:space="preserve">Mikrodestičky jsou potaženy antigenem MAP. Vzorky určené k testování se nejprve inkubují s extraktem </w:t>
      </w:r>
      <w:r w:rsidRPr="00602769">
        <w:rPr>
          <w:i/>
        </w:rPr>
        <w:t>Mycobacterium phlei</w:t>
      </w:r>
      <w:r w:rsidRPr="00602769">
        <w:t xml:space="preserve"> pro navázání nespecifických protilátek. </w:t>
      </w:r>
      <w:r w:rsidR="00BB2388" w:rsidRPr="00602769">
        <w:t>Pak jsou vzorky přeneseny do jamek potahované mikrodestičky, kde se inkubují. Během inkubace testovaných vzorků v jamkách vytvoří MAP-specifické protilátky imunokomplex protilátka-antigen. Po vymytí nenavázaného materiálu se přidá anti-ruminantní konjugát enzymu a protilátky, který se váže na imunokomplex antigen-protilátka. Nenavázan</w:t>
      </w:r>
      <w:r w:rsidR="004F4107" w:rsidRPr="00602769">
        <w:t>ý</w:t>
      </w:r>
      <w:r w:rsidR="00BB2388" w:rsidRPr="00602769">
        <w:t xml:space="preserve"> konjugát se vymyje a přidá se enzymov</w:t>
      </w:r>
      <w:r w:rsidR="004F4107" w:rsidRPr="00602769">
        <w:t>ý</w:t>
      </w:r>
      <w:r w:rsidR="00BB2388" w:rsidRPr="00602769">
        <w:t xml:space="preserve"> substrát (TMB). V přítomnosti enzymu </w:t>
      </w:r>
      <w:r w:rsidR="00AC0D74" w:rsidRPr="00602769">
        <w:t>j</w:t>
      </w:r>
      <w:r w:rsidR="00BB2388" w:rsidRPr="00602769">
        <w:t>e substrát oxidován a vzniká modrá sloučenina, která po blokování zežloutne. Následný rozvoj zbarvení je přímo úměrný množství protilátek proti MAP přítomných ve vzorku. Výsledek se získá porovnáním optické hustoty vzorku s průměrem optické hustoty pozitivní kontroly.</w:t>
      </w:r>
    </w:p>
    <w:p w:rsidR="00BB2388" w:rsidRPr="00602769" w:rsidRDefault="00AC0D74" w:rsidP="00BB2388">
      <w:pPr>
        <w:tabs>
          <w:tab w:val="left" w:pos="7515"/>
        </w:tabs>
      </w:pPr>
      <w:r w:rsidRPr="00602769">
        <w:t xml:space="preserve">Činidla                  </w:t>
      </w:r>
      <w:r w:rsidR="00BB2388" w:rsidRPr="00602769">
        <w:t xml:space="preserve">                                                                                             Objem</w:t>
      </w:r>
    </w:p>
    <w:tbl>
      <w:tblPr>
        <w:tblStyle w:val="Mkatabulky"/>
        <w:tblW w:w="0" w:type="auto"/>
        <w:tblLook w:val="04A0" w:firstRow="1" w:lastRow="0" w:firstColumn="1" w:lastColumn="0" w:noHBand="0" w:noVBand="1"/>
      </w:tblPr>
      <w:tblGrid>
        <w:gridCol w:w="446"/>
        <w:gridCol w:w="4620"/>
        <w:gridCol w:w="1356"/>
        <w:gridCol w:w="1320"/>
        <w:gridCol w:w="1320"/>
      </w:tblGrid>
      <w:tr w:rsidR="00BB2388" w:rsidRPr="00602769" w:rsidTr="00BB2388">
        <w:tc>
          <w:tcPr>
            <w:tcW w:w="446" w:type="dxa"/>
          </w:tcPr>
          <w:p w:rsidR="00BB2388" w:rsidRPr="00602769" w:rsidRDefault="00BB2388" w:rsidP="00574144">
            <w:r w:rsidRPr="00602769">
              <w:t>1</w:t>
            </w:r>
          </w:p>
        </w:tc>
        <w:tc>
          <w:tcPr>
            <w:tcW w:w="4620" w:type="dxa"/>
          </w:tcPr>
          <w:p w:rsidR="00BB2388" w:rsidRPr="00602769" w:rsidRDefault="00BB2388" w:rsidP="00574144">
            <w:r w:rsidRPr="00602769">
              <w:t>Destičky potažené antigenem MAP</w:t>
            </w:r>
          </w:p>
        </w:tc>
        <w:tc>
          <w:tcPr>
            <w:tcW w:w="1356" w:type="dxa"/>
          </w:tcPr>
          <w:p w:rsidR="00BB2388" w:rsidRPr="00602769" w:rsidRDefault="00BB2388" w:rsidP="00574144">
            <w:r w:rsidRPr="00602769">
              <w:t>5</w:t>
            </w:r>
          </w:p>
        </w:tc>
        <w:tc>
          <w:tcPr>
            <w:tcW w:w="1320" w:type="dxa"/>
          </w:tcPr>
          <w:p w:rsidR="00BB2388" w:rsidRPr="00602769" w:rsidRDefault="00BB2388" w:rsidP="00574144">
            <w:r w:rsidRPr="00602769">
              <w:t>10</w:t>
            </w:r>
          </w:p>
        </w:tc>
        <w:tc>
          <w:tcPr>
            <w:tcW w:w="1320" w:type="dxa"/>
          </w:tcPr>
          <w:p w:rsidR="00BB2388" w:rsidRPr="00602769" w:rsidRDefault="00BB2388" w:rsidP="00574144">
            <w:r w:rsidRPr="00602769">
              <w:t>30</w:t>
            </w:r>
          </w:p>
        </w:tc>
      </w:tr>
      <w:tr w:rsidR="00BB2388" w:rsidRPr="00602769" w:rsidTr="00BB2388">
        <w:tc>
          <w:tcPr>
            <w:tcW w:w="446" w:type="dxa"/>
          </w:tcPr>
          <w:p w:rsidR="00BB2388" w:rsidRPr="00602769" w:rsidRDefault="00BB2388" w:rsidP="00574144">
            <w:r w:rsidRPr="00602769">
              <w:t>2</w:t>
            </w:r>
          </w:p>
        </w:tc>
        <w:tc>
          <w:tcPr>
            <w:tcW w:w="4620" w:type="dxa"/>
          </w:tcPr>
          <w:p w:rsidR="00BB2388" w:rsidRPr="00602769" w:rsidRDefault="00BB2388" w:rsidP="00574144">
            <w:r w:rsidRPr="00602769">
              <w:t xml:space="preserve">Pozitivní kontrolní vzorek </w:t>
            </w:r>
          </w:p>
        </w:tc>
        <w:tc>
          <w:tcPr>
            <w:tcW w:w="1356" w:type="dxa"/>
          </w:tcPr>
          <w:p w:rsidR="00BB2388" w:rsidRPr="00602769" w:rsidRDefault="00BB2388" w:rsidP="00574144">
            <w:r w:rsidRPr="00602769">
              <w:t>1 x 0,5 ml</w:t>
            </w:r>
          </w:p>
        </w:tc>
        <w:tc>
          <w:tcPr>
            <w:tcW w:w="1320" w:type="dxa"/>
          </w:tcPr>
          <w:p w:rsidR="00BB2388" w:rsidRPr="00602769" w:rsidRDefault="005C6BCF" w:rsidP="00574144">
            <w:r w:rsidRPr="00602769">
              <w:t>2 x 0,5 ml</w:t>
            </w:r>
          </w:p>
        </w:tc>
        <w:tc>
          <w:tcPr>
            <w:tcW w:w="1320" w:type="dxa"/>
          </w:tcPr>
          <w:p w:rsidR="00BB2388" w:rsidRPr="00602769" w:rsidRDefault="005C6BCF" w:rsidP="00574144">
            <w:r w:rsidRPr="00602769">
              <w:t>3 x 1,0 ml</w:t>
            </w:r>
          </w:p>
        </w:tc>
      </w:tr>
      <w:tr w:rsidR="00BB2388" w:rsidRPr="00602769" w:rsidTr="00BB2388">
        <w:tc>
          <w:tcPr>
            <w:tcW w:w="446" w:type="dxa"/>
          </w:tcPr>
          <w:p w:rsidR="00BB2388" w:rsidRPr="00602769" w:rsidRDefault="00BB2388" w:rsidP="00574144">
            <w:r w:rsidRPr="00602769">
              <w:t>3</w:t>
            </w:r>
          </w:p>
        </w:tc>
        <w:tc>
          <w:tcPr>
            <w:tcW w:w="4620" w:type="dxa"/>
          </w:tcPr>
          <w:p w:rsidR="00BB2388" w:rsidRPr="00602769" w:rsidRDefault="00BB2388" w:rsidP="00574144">
            <w:r w:rsidRPr="00602769">
              <w:t xml:space="preserve">Negativní kontrolní vzorek </w:t>
            </w:r>
          </w:p>
        </w:tc>
        <w:tc>
          <w:tcPr>
            <w:tcW w:w="1356" w:type="dxa"/>
          </w:tcPr>
          <w:p w:rsidR="00BB2388" w:rsidRPr="00602769" w:rsidRDefault="005C6BCF" w:rsidP="00574144">
            <w:r w:rsidRPr="00602769">
              <w:t>1 x 0,5 ml</w:t>
            </w:r>
          </w:p>
        </w:tc>
        <w:tc>
          <w:tcPr>
            <w:tcW w:w="1320" w:type="dxa"/>
          </w:tcPr>
          <w:p w:rsidR="00BB2388" w:rsidRPr="00602769" w:rsidRDefault="005C6BCF" w:rsidP="00574144">
            <w:r w:rsidRPr="00602769">
              <w:t>1 x 0,5 ml</w:t>
            </w:r>
          </w:p>
        </w:tc>
        <w:tc>
          <w:tcPr>
            <w:tcW w:w="1320" w:type="dxa"/>
          </w:tcPr>
          <w:p w:rsidR="00BB2388" w:rsidRPr="00602769" w:rsidRDefault="005C6BCF" w:rsidP="00574144">
            <w:r w:rsidRPr="00602769">
              <w:t>3 x 1,0 ml</w:t>
            </w:r>
          </w:p>
        </w:tc>
      </w:tr>
      <w:tr w:rsidR="00BB2388" w:rsidRPr="00602769" w:rsidTr="00BB2388">
        <w:tc>
          <w:tcPr>
            <w:tcW w:w="446" w:type="dxa"/>
          </w:tcPr>
          <w:p w:rsidR="00BB2388" w:rsidRPr="00602769" w:rsidRDefault="00BB2388" w:rsidP="00574144">
            <w:r w:rsidRPr="00602769">
              <w:t>4a</w:t>
            </w:r>
          </w:p>
        </w:tc>
        <w:tc>
          <w:tcPr>
            <w:tcW w:w="4620" w:type="dxa"/>
          </w:tcPr>
          <w:p w:rsidR="00BB2388" w:rsidRPr="00602769" w:rsidRDefault="00BB2388" w:rsidP="00574144">
            <w:r w:rsidRPr="00602769">
              <w:t xml:space="preserve">Koncentrovaný konjugát </w:t>
            </w:r>
          </w:p>
        </w:tc>
        <w:tc>
          <w:tcPr>
            <w:tcW w:w="1356" w:type="dxa"/>
          </w:tcPr>
          <w:p w:rsidR="00BB2388" w:rsidRPr="00602769" w:rsidRDefault="005C6BCF" w:rsidP="00574144">
            <w:r w:rsidRPr="00602769">
              <w:t>1 x 0,75 ml</w:t>
            </w:r>
          </w:p>
        </w:tc>
        <w:tc>
          <w:tcPr>
            <w:tcW w:w="1320" w:type="dxa"/>
          </w:tcPr>
          <w:p w:rsidR="00BB2388" w:rsidRPr="00602769" w:rsidRDefault="005C6BCF" w:rsidP="00574144">
            <w:r w:rsidRPr="00602769">
              <w:t>1 x 1,5 ml</w:t>
            </w:r>
          </w:p>
        </w:tc>
        <w:tc>
          <w:tcPr>
            <w:tcW w:w="1320" w:type="dxa"/>
          </w:tcPr>
          <w:p w:rsidR="00BB2388" w:rsidRPr="00602769" w:rsidRDefault="005C6BCF" w:rsidP="00574144">
            <w:r w:rsidRPr="00602769">
              <w:t>3 x 1,5 ml</w:t>
            </w:r>
          </w:p>
        </w:tc>
      </w:tr>
      <w:tr w:rsidR="00BB2388" w:rsidRPr="00602769" w:rsidTr="00BB2388">
        <w:tc>
          <w:tcPr>
            <w:tcW w:w="446" w:type="dxa"/>
          </w:tcPr>
          <w:p w:rsidR="00BB2388" w:rsidRPr="00602769" w:rsidRDefault="00BB2388" w:rsidP="00574144">
            <w:r w:rsidRPr="00602769">
              <w:t>4b</w:t>
            </w:r>
          </w:p>
        </w:tc>
        <w:tc>
          <w:tcPr>
            <w:tcW w:w="4620" w:type="dxa"/>
          </w:tcPr>
          <w:p w:rsidR="00BB2388" w:rsidRPr="00602769" w:rsidRDefault="00BB2388" w:rsidP="00574144">
            <w:r w:rsidRPr="00602769">
              <w:t>Ředicí pufr č. 1</w:t>
            </w:r>
          </w:p>
        </w:tc>
        <w:tc>
          <w:tcPr>
            <w:tcW w:w="1356" w:type="dxa"/>
          </w:tcPr>
          <w:p w:rsidR="00BB2388" w:rsidRPr="00602769" w:rsidRDefault="005C6BCF" w:rsidP="00574144">
            <w:r w:rsidRPr="00602769">
              <w:t>1 x 120 ml</w:t>
            </w:r>
          </w:p>
        </w:tc>
        <w:tc>
          <w:tcPr>
            <w:tcW w:w="1320" w:type="dxa"/>
          </w:tcPr>
          <w:p w:rsidR="00BB2388" w:rsidRPr="00602769" w:rsidRDefault="005C6BCF" w:rsidP="00574144">
            <w:r w:rsidRPr="00602769">
              <w:t>1 x 120 ml</w:t>
            </w:r>
          </w:p>
        </w:tc>
        <w:tc>
          <w:tcPr>
            <w:tcW w:w="1320" w:type="dxa"/>
          </w:tcPr>
          <w:p w:rsidR="00BB2388" w:rsidRPr="00602769" w:rsidRDefault="005C6BCF" w:rsidP="00574144">
            <w:r w:rsidRPr="00602769">
              <w:t>3 x 120 ml</w:t>
            </w:r>
          </w:p>
        </w:tc>
      </w:tr>
      <w:tr w:rsidR="00BB2388" w:rsidRPr="00602769" w:rsidTr="00BB2388">
        <w:tc>
          <w:tcPr>
            <w:tcW w:w="446" w:type="dxa"/>
          </w:tcPr>
          <w:p w:rsidR="00BB2388" w:rsidRPr="00602769" w:rsidRDefault="00BB2388" w:rsidP="00574144">
            <w:r w:rsidRPr="00602769">
              <w:t>5</w:t>
            </w:r>
          </w:p>
        </w:tc>
        <w:tc>
          <w:tcPr>
            <w:tcW w:w="4620" w:type="dxa"/>
          </w:tcPr>
          <w:p w:rsidR="00BB2388" w:rsidRPr="00602769" w:rsidRDefault="00BB2388" w:rsidP="00574144">
            <w:r w:rsidRPr="00602769">
              <w:t>Ředicí pufr č. 12</w:t>
            </w:r>
          </w:p>
        </w:tc>
        <w:tc>
          <w:tcPr>
            <w:tcW w:w="1356" w:type="dxa"/>
          </w:tcPr>
          <w:p w:rsidR="00BB2388" w:rsidRPr="00602769" w:rsidRDefault="005C6BCF" w:rsidP="00574144">
            <w:r w:rsidRPr="00602769">
              <w:t>1 x 100 ml</w:t>
            </w:r>
          </w:p>
        </w:tc>
        <w:tc>
          <w:tcPr>
            <w:tcW w:w="1320" w:type="dxa"/>
          </w:tcPr>
          <w:p w:rsidR="00BB2388" w:rsidRPr="00602769" w:rsidRDefault="005C6BCF" w:rsidP="00574144">
            <w:r w:rsidRPr="00602769">
              <w:t>2 x 100 ml</w:t>
            </w:r>
          </w:p>
        </w:tc>
        <w:tc>
          <w:tcPr>
            <w:tcW w:w="1320" w:type="dxa"/>
          </w:tcPr>
          <w:p w:rsidR="00BB2388" w:rsidRPr="00602769" w:rsidRDefault="005C6BCF" w:rsidP="00574144">
            <w:r w:rsidRPr="00602769">
              <w:t>5 x 100 ml</w:t>
            </w:r>
          </w:p>
        </w:tc>
      </w:tr>
      <w:tr w:rsidR="00BB2388" w:rsidRPr="00602769" w:rsidTr="00BB2388">
        <w:tc>
          <w:tcPr>
            <w:tcW w:w="446" w:type="dxa"/>
          </w:tcPr>
          <w:p w:rsidR="00BB2388" w:rsidRPr="00602769" w:rsidRDefault="00BB2388" w:rsidP="00574144">
            <w:r w:rsidRPr="00602769">
              <w:t>A</w:t>
            </w:r>
          </w:p>
        </w:tc>
        <w:tc>
          <w:tcPr>
            <w:tcW w:w="4620" w:type="dxa"/>
          </w:tcPr>
          <w:p w:rsidR="00BB2388" w:rsidRPr="00602769" w:rsidRDefault="00BB2388" w:rsidP="00574144">
            <w:r w:rsidRPr="00602769">
              <w:t>TMB substrát č. 9</w:t>
            </w:r>
          </w:p>
        </w:tc>
        <w:tc>
          <w:tcPr>
            <w:tcW w:w="1356" w:type="dxa"/>
          </w:tcPr>
          <w:p w:rsidR="00BB2388" w:rsidRPr="00602769" w:rsidRDefault="005C6BCF" w:rsidP="00574144">
            <w:r w:rsidRPr="00602769">
              <w:t>1 x 60 ml</w:t>
            </w:r>
          </w:p>
        </w:tc>
        <w:tc>
          <w:tcPr>
            <w:tcW w:w="1320" w:type="dxa"/>
          </w:tcPr>
          <w:p w:rsidR="00BB2388" w:rsidRPr="00602769" w:rsidRDefault="005C6BCF" w:rsidP="00574144">
            <w:r w:rsidRPr="00602769">
              <w:t>1 x 120 ml</w:t>
            </w:r>
          </w:p>
        </w:tc>
        <w:tc>
          <w:tcPr>
            <w:tcW w:w="1320" w:type="dxa"/>
          </w:tcPr>
          <w:p w:rsidR="00BB2388" w:rsidRPr="00602769" w:rsidRDefault="005C6BCF" w:rsidP="00574144">
            <w:r w:rsidRPr="00602769">
              <w:t>3 x 120 ml</w:t>
            </w:r>
          </w:p>
        </w:tc>
      </w:tr>
      <w:tr w:rsidR="00BB2388" w:rsidRPr="00602769" w:rsidTr="00BB2388">
        <w:tc>
          <w:tcPr>
            <w:tcW w:w="446" w:type="dxa"/>
          </w:tcPr>
          <w:p w:rsidR="00BB2388" w:rsidRPr="00602769" w:rsidRDefault="00D15AFD" w:rsidP="00574144">
            <w:r w:rsidRPr="00602769">
              <w:t>B</w:t>
            </w:r>
          </w:p>
        </w:tc>
        <w:tc>
          <w:tcPr>
            <w:tcW w:w="4620" w:type="dxa"/>
          </w:tcPr>
          <w:p w:rsidR="00BB2388" w:rsidRPr="00602769" w:rsidRDefault="00BB2388" w:rsidP="00574144">
            <w:r w:rsidRPr="00602769">
              <w:t>Zastavovací roztok č. 3</w:t>
            </w:r>
          </w:p>
        </w:tc>
        <w:tc>
          <w:tcPr>
            <w:tcW w:w="1356" w:type="dxa"/>
          </w:tcPr>
          <w:p w:rsidR="00BB2388" w:rsidRPr="00602769" w:rsidRDefault="005C6BCF" w:rsidP="00574144">
            <w:r w:rsidRPr="00602769">
              <w:t>1 x 60 ml</w:t>
            </w:r>
          </w:p>
        </w:tc>
        <w:tc>
          <w:tcPr>
            <w:tcW w:w="1320" w:type="dxa"/>
          </w:tcPr>
          <w:p w:rsidR="00BB2388" w:rsidRPr="00602769" w:rsidRDefault="005C6BCF" w:rsidP="00574144">
            <w:r w:rsidRPr="00602769">
              <w:t>1 x 120 ml</w:t>
            </w:r>
          </w:p>
        </w:tc>
        <w:tc>
          <w:tcPr>
            <w:tcW w:w="1320" w:type="dxa"/>
          </w:tcPr>
          <w:p w:rsidR="00BB2388" w:rsidRPr="00602769" w:rsidRDefault="005C6BCF" w:rsidP="00574144">
            <w:r w:rsidRPr="00602769">
              <w:t>3 x 120 ml</w:t>
            </w:r>
          </w:p>
        </w:tc>
      </w:tr>
      <w:tr w:rsidR="00BB2388" w:rsidRPr="00602769" w:rsidTr="00CB2E4C">
        <w:trPr>
          <w:trHeight w:val="70"/>
        </w:trPr>
        <w:tc>
          <w:tcPr>
            <w:tcW w:w="446" w:type="dxa"/>
          </w:tcPr>
          <w:p w:rsidR="00BB2388" w:rsidRPr="00602769" w:rsidRDefault="00BB2388" w:rsidP="00574144">
            <w:r w:rsidRPr="00602769">
              <w:t>C</w:t>
            </w:r>
          </w:p>
        </w:tc>
        <w:tc>
          <w:tcPr>
            <w:tcW w:w="4620" w:type="dxa"/>
          </w:tcPr>
          <w:p w:rsidR="00BB2388" w:rsidRPr="00602769" w:rsidRDefault="00BB2388" w:rsidP="00574144">
            <w:r w:rsidRPr="00602769">
              <w:t>Mycí koncentrát (20x)</w:t>
            </w:r>
          </w:p>
        </w:tc>
        <w:tc>
          <w:tcPr>
            <w:tcW w:w="1356" w:type="dxa"/>
          </w:tcPr>
          <w:p w:rsidR="00BB2388" w:rsidRPr="00602769" w:rsidRDefault="005C6BCF" w:rsidP="00574144">
            <w:r w:rsidRPr="00602769">
              <w:t>1 x 100 ml</w:t>
            </w:r>
          </w:p>
        </w:tc>
        <w:tc>
          <w:tcPr>
            <w:tcW w:w="1320" w:type="dxa"/>
          </w:tcPr>
          <w:p w:rsidR="00BB2388" w:rsidRPr="00602769" w:rsidRDefault="005C6BCF" w:rsidP="00574144">
            <w:r w:rsidRPr="00602769">
              <w:t>2 x 100 ml</w:t>
            </w:r>
          </w:p>
        </w:tc>
        <w:tc>
          <w:tcPr>
            <w:tcW w:w="1320" w:type="dxa"/>
          </w:tcPr>
          <w:p w:rsidR="00BB2388" w:rsidRPr="00602769" w:rsidRDefault="005C6BCF" w:rsidP="00574144">
            <w:r w:rsidRPr="00602769">
              <w:t>6 x 100 ml</w:t>
            </w:r>
          </w:p>
        </w:tc>
      </w:tr>
    </w:tbl>
    <w:p w:rsidR="00602769" w:rsidRDefault="00602769" w:rsidP="00AC0D74"/>
    <w:p w:rsidR="00AC0D74" w:rsidRPr="00602769" w:rsidRDefault="00AC0D74" w:rsidP="00AC0D74">
      <w:r w:rsidRPr="00602769">
        <w:t>Poznámka: Popis symbolů použitých v této příbalové informaci a popisků této testovací sady najdete v tabulce na konci informace.</w:t>
      </w:r>
    </w:p>
    <w:p w:rsidR="00BB2388" w:rsidRPr="00602769" w:rsidRDefault="00BB2388" w:rsidP="00AC0D74">
      <w:r w:rsidRPr="00602769">
        <w:rPr>
          <w:b/>
        </w:rPr>
        <w:t>Uchovávání</w:t>
      </w:r>
    </w:p>
    <w:p w:rsidR="00BB2388" w:rsidRPr="00602769" w:rsidRDefault="00BB2388" w:rsidP="00BB2388">
      <w:pPr>
        <w:spacing w:after="0"/>
      </w:pPr>
    </w:p>
    <w:p w:rsidR="00AC0D74" w:rsidRPr="00602769" w:rsidRDefault="00AC0D74" w:rsidP="00AC0D74">
      <w:pPr>
        <w:spacing w:after="0"/>
      </w:pPr>
      <w:r w:rsidRPr="00602769">
        <w:t>Činidla uchovávejte při teplotě 2–8 °C. Činidla jsou za předpokladu řádného skladování stabilní do</w:t>
      </w:r>
      <w:r w:rsidR="00602769">
        <w:t> </w:t>
      </w:r>
      <w:r w:rsidRPr="00602769">
        <w:t>data exspirace.</w:t>
      </w:r>
    </w:p>
    <w:p w:rsidR="00BB2388" w:rsidRPr="00602769" w:rsidRDefault="00BB2388" w:rsidP="00BB2388">
      <w:pPr>
        <w:spacing w:after="0"/>
      </w:pPr>
    </w:p>
    <w:p w:rsidR="00BB2388" w:rsidRPr="00602769" w:rsidRDefault="00BB2388" w:rsidP="00BB2388">
      <w:pPr>
        <w:spacing w:after="0"/>
        <w:rPr>
          <w:b/>
        </w:rPr>
      </w:pPr>
      <w:r w:rsidRPr="00602769">
        <w:rPr>
          <w:b/>
        </w:rPr>
        <w:t>Potřebné materiály, které nejsou součástí soupravy</w:t>
      </w:r>
    </w:p>
    <w:p w:rsidR="00BB2388" w:rsidRPr="00602769" w:rsidRDefault="00BB2388" w:rsidP="00BB2388">
      <w:pPr>
        <w:spacing w:after="0"/>
      </w:pPr>
    </w:p>
    <w:p w:rsidR="00BB2388" w:rsidRPr="00602769" w:rsidRDefault="00BB2388" w:rsidP="00BB2388">
      <w:pPr>
        <w:pStyle w:val="Odstavecseseznamem"/>
        <w:numPr>
          <w:ilvl w:val="0"/>
          <w:numId w:val="1"/>
        </w:numPr>
        <w:spacing w:after="0"/>
      </w:pPr>
      <w:r w:rsidRPr="00602769">
        <w:t>Přesné pipety nebo multikanálové pipety</w:t>
      </w:r>
    </w:p>
    <w:p w:rsidR="00BB2388" w:rsidRPr="00602769" w:rsidRDefault="00BB2388" w:rsidP="00BB2388">
      <w:pPr>
        <w:pStyle w:val="Odstavecseseznamem"/>
        <w:numPr>
          <w:ilvl w:val="0"/>
          <w:numId w:val="1"/>
        </w:numPr>
        <w:spacing w:after="0"/>
      </w:pPr>
      <w:r w:rsidRPr="00602769">
        <w:t>Jednorázové pipetovací špičky</w:t>
      </w:r>
    </w:p>
    <w:p w:rsidR="00BB2388" w:rsidRPr="00602769" w:rsidRDefault="00BB2388" w:rsidP="00BB2388">
      <w:pPr>
        <w:pStyle w:val="Odstavecseseznamem"/>
        <w:numPr>
          <w:ilvl w:val="0"/>
          <w:numId w:val="1"/>
        </w:numPr>
        <w:spacing w:after="0"/>
      </w:pPr>
      <w:r w:rsidRPr="00602769">
        <w:t>Odměrný válec pro přípravu promývacího roztoku</w:t>
      </w:r>
    </w:p>
    <w:p w:rsidR="00BB2388" w:rsidRPr="00602769" w:rsidRDefault="00BB2388" w:rsidP="00BB2388">
      <w:pPr>
        <w:pStyle w:val="Odstavecseseznamem"/>
        <w:numPr>
          <w:ilvl w:val="0"/>
          <w:numId w:val="1"/>
        </w:numPr>
        <w:spacing w:after="0"/>
      </w:pPr>
      <w:r w:rsidRPr="00602769">
        <w:t>Čtečka mikrodestiček s 96 jamkami (vybavená filtrem s vlnovou délkou 450 nm)</w:t>
      </w:r>
    </w:p>
    <w:p w:rsidR="00BB2388" w:rsidRPr="00602769" w:rsidRDefault="00BB2388" w:rsidP="00BB2388">
      <w:pPr>
        <w:pStyle w:val="Odstavecseseznamem"/>
        <w:numPr>
          <w:ilvl w:val="0"/>
          <w:numId w:val="1"/>
        </w:numPr>
        <w:spacing w:after="0"/>
      </w:pPr>
      <w:r w:rsidRPr="00602769">
        <w:t>Mycí zařízení na mikrodestičky (manuální, poloautomatický nebo automatický systém)</w:t>
      </w:r>
    </w:p>
    <w:p w:rsidR="00BB2388" w:rsidRPr="00602769" w:rsidRDefault="00BB2388" w:rsidP="00BB2388">
      <w:pPr>
        <w:pStyle w:val="Odstavecseseznamem"/>
        <w:numPr>
          <w:ilvl w:val="0"/>
          <w:numId w:val="1"/>
        </w:numPr>
        <w:spacing w:after="0"/>
      </w:pPr>
      <w:r w:rsidRPr="00602769">
        <w:t xml:space="preserve">Pro přípravu </w:t>
      </w:r>
      <w:r w:rsidR="00AC0D74" w:rsidRPr="00602769">
        <w:t>činidel</w:t>
      </w:r>
      <w:r w:rsidRPr="00602769">
        <w:t xml:space="preserve"> používaných při testu používejte pouze destilovanou nebo</w:t>
      </w:r>
      <w:r w:rsidR="00602769">
        <w:t> </w:t>
      </w:r>
      <w:r w:rsidRPr="00602769">
        <w:t>deionizovanou vodu</w:t>
      </w:r>
    </w:p>
    <w:p w:rsidR="00BB2388" w:rsidRPr="00602769" w:rsidRDefault="00BB2388" w:rsidP="00BB2388">
      <w:pPr>
        <w:pStyle w:val="Odstavecseseznamem"/>
        <w:numPr>
          <w:ilvl w:val="0"/>
          <w:numId w:val="1"/>
        </w:numPr>
        <w:spacing w:after="0"/>
      </w:pPr>
      <w:r w:rsidRPr="00602769">
        <w:t>Kryty na mikrodestičky (víčka, hliníková nebo přilnavá fólie)</w:t>
      </w:r>
    </w:p>
    <w:p w:rsidR="00BB2388" w:rsidRPr="00602769" w:rsidRDefault="00BB2388" w:rsidP="00BB2388">
      <w:pPr>
        <w:pStyle w:val="Odstavecseseznamem"/>
        <w:numPr>
          <w:ilvl w:val="0"/>
          <w:numId w:val="1"/>
        </w:numPr>
        <w:spacing w:after="0"/>
      </w:pPr>
      <w:r w:rsidRPr="00602769">
        <w:t>Centrifuga (přetížení 2000x g)</w:t>
      </w:r>
    </w:p>
    <w:p w:rsidR="00BB2388" w:rsidRPr="00602769" w:rsidRDefault="00BB2388" w:rsidP="00BB2388">
      <w:pPr>
        <w:pStyle w:val="Odstavecseseznamem"/>
        <w:numPr>
          <w:ilvl w:val="0"/>
          <w:numId w:val="1"/>
        </w:numPr>
        <w:spacing w:after="0"/>
      </w:pPr>
      <w:r w:rsidRPr="00602769">
        <w:t>Vortex nebo ekvivalentní zařízení</w:t>
      </w:r>
    </w:p>
    <w:p w:rsidR="00BB2388" w:rsidRPr="00602769" w:rsidRDefault="00BB2388" w:rsidP="00BB2388">
      <w:pPr>
        <w:pStyle w:val="Odstavecseseznamem"/>
        <w:numPr>
          <w:ilvl w:val="0"/>
          <w:numId w:val="1"/>
        </w:numPr>
        <w:spacing w:after="0"/>
      </w:pPr>
      <w:r w:rsidRPr="00602769">
        <w:t>Třepačka mikrodestiček</w:t>
      </w:r>
    </w:p>
    <w:p w:rsidR="005C6BCF" w:rsidRPr="00602769" w:rsidRDefault="005C6BCF" w:rsidP="00BB2388">
      <w:pPr>
        <w:pStyle w:val="Odstavecseseznamem"/>
        <w:numPr>
          <w:ilvl w:val="0"/>
          <w:numId w:val="1"/>
        </w:numPr>
        <w:spacing w:after="0"/>
      </w:pPr>
      <w:r w:rsidRPr="00602769">
        <w:t>Nepotahovaná mikrodestička pro preinkubaci</w:t>
      </w:r>
    </w:p>
    <w:p w:rsidR="00BB2388" w:rsidRPr="00602769" w:rsidRDefault="00BB2388" w:rsidP="00BB2388">
      <w:pPr>
        <w:spacing w:after="0"/>
      </w:pPr>
    </w:p>
    <w:p w:rsidR="00BB2388" w:rsidRPr="00602769" w:rsidRDefault="00BB2388" w:rsidP="00BB2388">
      <w:pPr>
        <w:spacing w:after="0"/>
        <w:rPr>
          <w:b/>
        </w:rPr>
      </w:pPr>
      <w:r w:rsidRPr="00602769">
        <w:rPr>
          <w:b/>
        </w:rPr>
        <w:t>Bezpečnostní opatření a upozornění pro uživatele</w:t>
      </w:r>
    </w:p>
    <w:p w:rsidR="00BB2388" w:rsidRPr="00602769" w:rsidRDefault="00BB2388" w:rsidP="00BB2388">
      <w:pPr>
        <w:spacing w:after="0"/>
      </w:pPr>
    </w:p>
    <w:p w:rsidR="00BB2388" w:rsidRPr="00602769" w:rsidRDefault="00BB2388" w:rsidP="00BB2388">
      <w:pPr>
        <w:pStyle w:val="Odstavecseseznamem"/>
        <w:numPr>
          <w:ilvl w:val="0"/>
          <w:numId w:val="2"/>
        </w:numPr>
        <w:spacing w:after="0"/>
      </w:pPr>
      <w:r w:rsidRPr="00602769">
        <w:t>Se všemi biologickými materiály zacházejte jako s potenciálně infekčními.</w:t>
      </w:r>
    </w:p>
    <w:p w:rsidR="00BB2388" w:rsidRPr="00602769" w:rsidRDefault="00BB2388" w:rsidP="00BB2388">
      <w:pPr>
        <w:pStyle w:val="Odstavecseseznamem"/>
        <w:numPr>
          <w:ilvl w:val="0"/>
          <w:numId w:val="2"/>
        </w:numPr>
        <w:spacing w:after="0"/>
      </w:pPr>
      <w:r w:rsidRPr="00602769">
        <w:t xml:space="preserve">Při manipulaci se vzorky a </w:t>
      </w:r>
      <w:r w:rsidR="00AC0D74" w:rsidRPr="00602769">
        <w:t>činidly</w:t>
      </w:r>
      <w:r w:rsidRPr="00602769">
        <w:t xml:space="preserve"> používejte ochranné rukavice / ochranný oděv / ochranu očí nebo obličeje.</w:t>
      </w:r>
    </w:p>
    <w:p w:rsidR="00BB2388" w:rsidRPr="00602769" w:rsidRDefault="00BB2388" w:rsidP="00BB2388">
      <w:pPr>
        <w:pStyle w:val="Odstavecseseznamem"/>
        <w:numPr>
          <w:ilvl w:val="0"/>
          <w:numId w:val="2"/>
        </w:numPr>
        <w:spacing w:after="0"/>
      </w:pPr>
      <w:r w:rsidRPr="00602769">
        <w:t>Další informace najdete v materiálových bezpečnostních listech.</w:t>
      </w:r>
    </w:p>
    <w:p w:rsidR="00AC0D74" w:rsidRPr="00602769" w:rsidRDefault="00AC0D74" w:rsidP="00AC0D74">
      <w:pPr>
        <w:pStyle w:val="Odstavecseseznamem"/>
        <w:numPr>
          <w:ilvl w:val="0"/>
          <w:numId w:val="2"/>
        </w:numPr>
        <w:spacing w:after="0"/>
      </w:pPr>
      <w:r w:rsidRPr="00602769">
        <w:t>Upozornění a bezpečnostní opatření pro použití činidel naleznete na konci této příbalové informace.</w:t>
      </w:r>
    </w:p>
    <w:p w:rsidR="00BB2388" w:rsidRPr="00602769" w:rsidRDefault="00BB2388" w:rsidP="00BB2388">
      <w:pPr>
        <w:spacing w:after="0"/>
        <w:rPr>
          <w:b/>
        </w:rPr>
      </w:pPr>
    </w:p>
    <w:p w:rsidR="00BB2388" w:rsidRPr="00602769" w:rsidRDefault="00BB2388" w:rsidP="00BB2388">
      <w:pPr>
        <w:spacing w:after="0"/>
        <w:rPr>
          <w:b/>
        </w:rPr>
      </w:pPr>
      <w:r w:rsidRPr="00602769">
        <w:rPr>
          <w:b/>
        </w:rPr>
        <w:t>Laboratorní p</w:t>
      </w:r>
      <w:r w:rsidR="005C6BCF" w:rsidRPr="00602769">
        <w:rPr>
          <w:b/>
        </w:rPr>
        <w:t>raxe</w:t>
      </w:r>
    </w:p>
    <w:p w:rsidR="00BB2388" w:rsidRPr="00602769" w:rsidRDefault="00BB2388" w:rsidP="00BB2388">
      <w:pPr>
        <w:spacing w:after="0"/>
      </w:pPr>
    </w:p>
    <w:p w:rsidR="00BB2388" w:rsidRPr="00602769" w:rsidRDefault="00BB2388" w:rsidP="00BB2388">
      <w:pPr>
        <w:pStyle w:val="Odstavecseseznamem"/>
        <w:numPr>
          <w:ilvl w:val="0"/>
          <w:numId w:val="3"/>
        </w:numPr>
        <w:spacing w:after="0"/>
      </w:pPr>
      <w:r w:rsidRPr="00602769">
        <w:t>Pro dosažení optimálních výsledků přesně dodržujte tento protokol. K zachování přesnosti a</w:t>
      </w:r>
      <w:r w:rsidR="00602769">
        <w:t> </w:t>
      </w:r>
      <w:r w:rsidRPr="00602769">
        <w:t>správnosti je nezbytné pečlivé pipetování, měření času a promývání během postupu. Pro</w:t>
      </w:r>
      <w:r w:rsidR="00602769">
        <w:t> </w:t>
      </w:r>
      <w:r w:rsidRPr="00602769">
        <w:t>každý vzorek a kontrolu použijte vždy novou pipetovací špičku.</w:t>
      </w:r>
    </w:p>
    <w:p w:rsidR="00BB2388" w:rsidRPr="00602769" w:rsidRDefault="00BB2388" w:rsidP="00BB2388">
      <w:pPr>
        <w:pStyle w:val="Odstavecseseznamem"/>
        <w:numPr>
          <w:ilvl w:val="0"/>
          <w:numId w:val="3"/>
        </w:numPr>
        <w:spacing w:after="0"/>
      </w:pPr>
      <w:r w:rsidRPr="00602769">
        <w:t xml:space="preserve">Roztok TMB nevystavujte silnému světlu nebo jakýmkoli oxidačním činidlům. Pro manipulaci s roztokem TMB používejte čisté skleněné nebo plastové nádoby. </w:t>
      </w:r>
    </w:p>
    <w:p w:rsidR="00BB2388" w:rsidRPr="00602769" w:rsidRDefault="00BB2388" w:rsidP="00BB2388">
      <w:pPr>
        <w:pStyle w:val="Odstavecseseznamem"/>
        <w:numPr>
          <w:ilvl w:val="0"/>
          <w:numId w:val="3"/>
        </w:numPr>
        <w:spacing w:after="0"/>
      </w:pPr>
      <w:r w:rsidRPr="00602769">
        <w:t>Všechny odpady je třeba před likvidací řádně dekontaminovat. Obsah likvidujte v souladu s</w:t>
      </w:r>
      <w:r w:rsidR="00602769">
        <w:t> </w:t>
      </w:r>
      <w:r w:rsidRPr="00602769">
        <w:t>místními, regionálními a státními předpisy.</w:t>
      </w:r>
    </w:p>
    <w:p w:rsidR="00BB2388" w:rsidRPr="00602769" w:rsidRDefault="00BB2388" w:rsidP="00BB2388">
      <w:pPr>
        <w:pStyle w:val="Odstavecseseznamem"/>
        <w:numPr>
          <w:ilvl w:val="0"/>
          <w:numId w:val="3"/>
        </w:numPr>
        <w:spacing w:after="0"/>
      </w:pPr>
      <w:r w:rsidRPr="00602769">
        <w:lastRenderedPageBreak/>
        <w:t>Snažte se zabránit kontaminaci složek soupravy. Nenalévejte nepoužit</w:t>
      </w:r>
      <w:r w:rsidR="00AC0D74" w:rsidRPr="00602769">
        <w:t>á</w:t>
      </w:r>
      <w:r w:rsidRPr="00602769">
        <w:t xml:space="preserve"> </w:t>
      </w:r>
      <w:r w:rsidR="00AC0D74" w:rsidRPr="00602769">
        <w:t>činidla</w:t>
      </w:r>
      <w:r w:rsidRPr="00602769">
        <w:t xml:space="preserve"> zpět do</w:t>
      </w:r>
      <w:r w:rsidR="00602769">
        <w:t> </w:t>
      </w:r>
      <w:r w:rsidRPr="00602769">
        <w:t>nádob.</w:t>
      </w:r>
    </w:p>
    <w:p w:rsidR="00BB2388" w:rsidRPr="00602769" w:rsidRDefault="00BB2388" w:rsidP="00BB2388">
      <w:pPr>
        <w:pStyle w:val="Odstavecseseznamem"/>
        <w:numPr>
          <w:ilvl w:val="0"/>
          <w:numId w:val="3"/>
        </w:numPr>
        <w:spacing w:after="0"/>
      </w:pPr>
      <w:r w:rsidRPr="00602769">
        <w:t>Nepoužívejte soupravu po datu exspirace</w:t>
      </w:r>
      <w:r w:rsidR="005C6BCF" w:rsidRPr="00602769">
        <w:t>.</w:t>
      </w:r>
    </w:p>
    <w:p w:rsidR="00AC0D74" w:rsidRPr="00602769" w:rsidRDefault="00AC0D74">
      <w:pPr>
        <w:rPr>
          <w:b/>
          <w:caps/>
        </w:rPr>
      </w:pPr>
    </w:p>
    <w:p w:rsidR="005C6BCF" w:rsidRPr="00602769" w:rsidRDefault="005C6BCF">
      <w:pPr>
        <w:rPr>
          <w:b/>
        </w:rPr>
      </w:pPr>
      <w:r w:rsidRPr="00602769">
        <w:rPr>
          <w:b/>
          <w:caps/>
        </w:rPr>
        <w:t>P</w:t>
      </w:r>
      <w:r w:rsidRPr="00602769">
        <w:rPr>
          <w:b/>
        </w:rPr>
        <w:t xml:space="preserve">říprava </w:t>
      </w:r>
      <w:r w:rsidR="00AC0D74" w:rsidRPr="00602769">
        <w:rPr>
          <w:b/>
        </w:rPr>
        <w:t>činidel</w:t>
      </w:r>
    </w:p>
    <w:p w:rsidR="005C6BCF" w:rsidRPr="00602769" w:rsidRDefault="005C6BCF">
      <w:pPr>
        <w:rPr>
          <w:b/>
        </w:rPr>
      </w:pPr>
      <w:r w:rsidRPr="00602769">
        <w:rPr>
          <w:b/>
        </w:rPr>
        <w:t>Mycí roztok</w:t>
      </w:r>
    </w:p>
    <w:p w:rsidR="005C6BCF" w:rsidRPr="00602769" w:rsidRDefault="005C6BCF" w:rsidP="005C6BCF">
      <w:pPr>
        <w:spacing w:after="0"/>
      </w:pPr>
      <w:r w:rsidRPr="00602769">
        <w:t>Koncentrát mycího roztoku (20x) musí být před užitím zředěn destilovanou/deionizovanou</w:t>
      </w:r>
      <w:r w:rsidR="00AC0D74" w:rsidRPr="00602769">
        <w:t xml:space="preserve"> vodou</w:t>
      </w:r>
      <w:r w:rsidRPr="00602769">
        <w:t xml:space="preserve"> v poměru 1:20 (např. 15 ml koncentrátu (20x) na 285 ml destilované vody). Tento roztok bude dále nazýván „mycí roztok“.</w:t>
      </w:r>
    </w:p>
    <w:p w:rsidR="00602769" w:rsidRDefault="005C6BCF" w:rsidP="005C6BCF">
      <w:pPr>
        <w:spacing w:after="0"/>
      </w:pPr>
      <w:r w:rsidRPr="00602769">
        <w:rPr>
          <w:b/>
        </w:rPr>
        <w:t>Poznámka:</w:t>
      </w:r>
      <w:r w:rsidRPr="00602769">
        <w:t xml:space="preserve"> Koncentrát mycího roztoku (20x) by měl být zahřát na teplotu 18–26°C a dobře promíchán, aby se rozpustily veškeré sražené soli. Mycí roztok je při teplotě 2–8°C stabilní po dobu až</w:t>
      </w:r>
      <w:r w:rsidR="00602769">
        <w:t> </w:t>
      </w:r>
      <w:r w:rsidRPr="00602769">
        <w:t xml:space="preserve">3 dnů. </w:t>
      </w:r>
    </w:p>
    <w:p w:rsidR="005C6BCF" w:rsidRPr="00602769" w:rsidRDefault="005C6BCF" w:rsidP="005C6BCF">
      <w:pPr>
        <w:spacing w:after="0"/>
      </w:pPr>
    </w:p>
    <w:p w:rsidR="00602769" w:rsidRDefault="005C6BCF" w:rsidP="00602769">
      <w:pPr>
        <w:spacing w:before="100" w:beforeAutospacing="1" w:after="100" w:afterAutospacing="1"/>
        <w:contextualSpacing/>
      </w:pPr>
      <w:r w:rsidRPr="00602769">
        <w:rPr>
          <w:b/>
        </w:rPr>
        <w:t>Konjugát</w:t>
      </w:r>
      <w:r w:rsidRPr="00602769">
        <w:rPr>
          <w:b/>
        </w:rPr>
        <w:br/>
      </w:r>
      <w:r w:rsidRPr="00602769">
        <w:t>Koncentrovaný konjugát musí být zředěn:</w:t>
      </w:r>
    </w:p>
    <w:p w:rsidR="00602769" w:rsidRDefault="005C6BCF" w:rsidP="00602769">
      <w:pPr>
        <w:spacing w:before="100" w:beforeAutospacing="1" w:after="100" w:afterAutospacing="1"/>
        <w:contextualSpacing/>
      </w:pPr>
      <w:r w:rsidRPr="00602769">
        <w:t xml:space="preserve">- pro krátký protokol inkubace ředicím pufrem č. 1 v poměru 1:100 </w:t>
      </w:r>
    </w:p>
    <w:p w:rsidR="00C05EFA" w:rsidRPr="00602769" w:rsidRDefault="00C05EFA" w:rsidP="00602769">
      <w:pPr>
        <w:spacing w:before="100" w:beforeAutospacing="1" w:after="100" w:afterAutospacing="1"/>
        <w:contextualSpacing/>
      </w:pPr>
      <w:r w:rsidRPr="00602769">
        <w:t>- pro protokol inkubace přes noc ředicím pufrem č. 1 v poměru 1:200</w:t>
      </w:r>
    </w:p>
    <w:p w:rsidR="00C05EFA" w:rsidRPr="00602769" w:rsidRDefault="00C05EFA">
      <w:r w:rsidRPr="00602769">
        <w:t xml:space="preserve">Poznámka: Zředěný roztok konjugátu je při teplotě 18–26°C stabilní po dobu až 8 hodin. </w:t>
      </w:r>
    </w:p>
    <w:p w:rsidR="00C05EFA" w:rsidRPr="00602769" w:rsidRDefault="00C05EFA">
      <w:r w:rsidRPr="00602769">
        <w:rPr>
          <w:b/>
        </w:rPr>
        <w:t>Příprava vzorků</w:t>
      </w:r>
      <w:r w:rsidRPr="00602769">
        <w:br/>
        <w:t>Vzorky a kontrolní vzorky se předřeďují a p</w:t>
      </w:r>
      <w:r w:rsidR="00AC0D74" w:rsidRPr="00602769">
        <w:t>řed</w:t>
      </w:r>
      <w:r w:rsidRPr="00602769">
        <w:t>inkubují na nepotažené prediluční mikrotitrační destičce (viz Postup testu). Vzorky mléka: lze použít plnotučné i odtučněné mléko (získané centrifugací).</w:t>
      </w:r>
    </w:p>
    <w:p w:rsidR="00C05EFA" w:rsidRPr="00602769" w:rsidRDefault="00C05EFA">
      <w:pPr>
        <w:rPr>
          <w:b/>
        </w:rPr>
      </w:pPr>
      <w:r w:rsidRPr="00602769">
        <w:rPr>
          <w:b/>
        </w:rPr>
        <w:t>Postup testu</w:t>
      </w:r>
    </w:p>
    <w:p w:rsidR="00C05EFA" w:rsidRPr="00602769" w:rsidRDefault="00C05EFA" w:rsidP="00C05EFA">
      <w:pPr>
        <w:spacing w:after="0"/>
      </w:pPr>
      <w:r w:rsidRPr="00602769">
        <w:t>Všechn</w:t>
      </w:r>
      <w:r w:rsidR="00AC0D74" w:rsidRPr="00602769">
        <w:t>a</w:t>
      </w:r>
      <w:r w:rsidRPr="00602769">
        <w:t xml:space="preserve"> </w:t>
      </w:r>
      <w:r w:rsidR="00AC0D74" w:rsidRPr="00602769">
        <w:t>činidla</w:t>
      </w:r>
      <w:r w:rsidRPr="00602769">
        <w:t xml:space="preserve"> použit</w:t>
      </w:r>
      <w:r w:rsidR="009B7DE1" w:rsidRPr="00602769">
        <w:t>á</w:t>
      </w:r>
      <w:r w:rsidRPr="00602769">
        <w:t xml:space="preserve"> v tomto testu musí mít teplotu 18–26°C. </w:t>
      </w:r>
      <w:r w:rsidR="009B7DE1" w:rsidRPr="00602769">
        <w:t>Činidla</w:t>
      </w:r>
      <w:r w:rsidRPr="00602769">
        <w:t xml:space="preserve"> se míchají jemným obracením nebo kroužením.</w:t>
      </w:r>
    </w:p>
    <w:p w:rsidR="00C05EFA" w:rsidRPr="00602769" w:rsidRDefault="00C05EFA" w:rsidP="00C05EFA">
      <w:pPr>
        <w:spacing w:after="0"/>
      </w:pPr>
    </w:p>
    <w:p w:rsidR="00C05EFA" w:rsidRPr="00602769" w:rsidRDefault="00C05EFA" w:rsidP="00C05EFA">
      <w:pPr>
        <w:pStyle w:val="Odstavecseseznamem"/>
        <w:spacing w:after="0"/>
        <w:ind w:left="0"/>
      </w:pPr>
      <w:r w:rsidRPr="00602769">
        <w:t xml:space="preserve">1. Připravte si antigenem potažené mikrodestičky a zaznamenejte umístění vzorků. </w:t>
      </w:r>
    </w:p>
    <w:p w:rsidR="00602769" w:rsidRDefault="00C05EFA" w:rsidP="00C05EFA">
      <w:pPr>
        <w:spacing w:after="0"/>
      </w:pPr>
      <w:r w:rsidRPr="00602769">
        <w:t>2. Na prediluční nepotahované mikrodestičce zřeďte a p</w:t>
      </w:r>
      <w:r w:rsidR="009B7DE1" w:rsidRPr="00602769">
        <w:t>řed</w:t>
      </w:r>
      <w:r w:rsidRPr="00602769">
        <w:t xml:space="preserve">inkubujte vzorky a kontrolní vzorky v přítomnosti </w:t>
      </w:r>
      <w:r w:rsidRPr="00602769">
        <w:rPr>
          <w:i/>
        </w:rPr>
        <w:t>Mycobacterium phlei</w:t>
      </w:r>
      <w:r w:rsidRPr="00602769">
        <w:t>:</w:t>
      </w:r>
      <w:r w:rsidRPr="00602769">
        <w:br/>
        <w:t>- Negativní kontrolní vzorek (NK) zřeďte v poměru 1:20 ředicím pufrem č. 12 a umístěte do jedné jamky.</w:t>
      </w:r>
    </w:p>
    <w:p w:rsidR="00602769" w:rsidRDefault="00C05EFA" w:rsidP="00C05EFA">
      <w:pPr>
        <w:spacing w:after="0"/>
      </w:pPr>
      <w:r w:rsidRPr="00602769">
        <w:t xml:space="preserve">- Pozitivní kontrolní vzorek (PK) zřeďte v poměru 1:20 ředicím pufrem č. 12 a umístěte do dvou jamek. </w:t>
      </w:r>
    </w:p>
    <w:p w:rsidR="00602769" w:rsidRDefault="00C05EFA" w:rsidP="00C05EFA">
      <w:pPr>
        <w:spacing w:after="0"/>
      </w:pPr>
      <w:r w:rsidRPr="00602769">
        <w:t>- Vzorky séra/plazmy zřeďte v poměru 1:20 ředicím pufrem č. 12.</w:t>
      </w:r>
    </w:p>
    <w:p w:rsidR="00602769" w:rsidRDefault="00C05EFA" w:rsidP="00C05EFA">
      <w:pPr>
        <w:spacing w:after="0"/>
      </w:pPr>
      <w:r w:rsidRPr="00602769">
        <w:t>- Vzorky kravského mléka zřeďte v poměru 1:2 ředicím pufrem č. 12.</w:t>
      </w:r>
    </w:p>
    <w:p w:rsidR="00C05EFA" w:rsidRPr="00602769" w:rsidRDefault="00ED693C" w:rsidP="00C05EFA">
      <w:pPr>
        <w:spacing w:after="0"/>
      </w:pPr>
      <w:r w:rsidRPr="00602769">
        <w:rPr>
          <w:b/>
        </w:rPr>
        <w:t xml:space="preserve">Poznámka: </w:t>
      </w:r>
      <w:r w:rsidRPr="00602769">
        <w:t>Testovat lze vzorky odtučněného i neodtučněného mléka.</w:t>
      </w:r>
    </w:p>
    <w:p w:rsidR="00ED693C" w:rsidRPr="00602769" w:rsidRDefault="00ED693C" w:rsidP="00C05EFA">
      <w:pPr>
        <w:spacing w:after="0"/>
      </w:pPr>
      <w:r w:rsidRPr="00602769">
        <w:t>3. Obsah jamek předřed</w:t>
      </w:r>
      <w:r w:rsidR="007A4A9A" w:rsidRPr="00602769">
        <w:t>í</w:t>
      </w:r>
      <w:r w:rsidRPr="00602769">
        <w:t>cí destičky homogenizujte pomocí třepačky mikrodestiček.</w:t>
      </w:r>
    </w:p>
    <w:p w:rsidR="00ED693C" w:rsidRPr="00602769" w:rsidRDefault="00ED693C" w:rsidP="00C05EFA">
      <w:pPr>
        <w:spacing w:after="0"/>
      </w:pPr>
      <w:r w:rsidRPr="00602769">
        <w:t>4. Inkubujte po dobu 15 minut až 2 hodin při teplotě 18–26°C.</w:t>
      </w:r>
    </w:p>
    <w:p w:rsidR="00ED693C" w:rsidRPr="00602769" w:rsidRDefault="00ED693C" w:rsidP="00C05EFA">
      <w:pPr>
        <w:spacing w:after="0"/>
      </w:pPr>
      <w:r w:rsidRPr="00602769">
        <w:t>5. Z každé jamky přeneste 100 μ</w:t>
      </w:r>
      <w:r w:rsidR="00AF6F92">
        <w:t>l</w:t>
      </w:r>
      <w:bookmarkStart w:id="0" w:name="_GoBack"/>
      <w:bookmarkEnd w:id="0"/>
      <w:r w:rsidRPr="00602769">
        <w:t xml:space="preserve"> obsahu do příslušných jamek potahované mikrodestičky. </w:t>
      </w:r>
    </w:p>
    <w:p w:rsidR="00ED693C" w:rsidRPr="00602769" w:rsidRDefault="00ED693C" w:rsidP="00C05EFA">
      <w:pPr>
        <w:spacing w:after="0"/>
      </w:pPr>
      <w:r w:rsidRPr="00602769">
        <w:t>6. Homogenizujte obsah jamek pomocí třepačky mikrodestiček.</w:t>
      </w:r>
    </w:p>
    <w:p w:rsidR="00ED693C" w:rsidRPr="00602769" w:rsidRDefault="00ED693C" w:rsidP="00ED693C">
      <w:pPr>
        <w:spacing w:after="0"/>
      </w:pPr>
      <w:r w:rsidRPr="00602769">
        <w:t>7. Mikrodestičky zakryjte a inkubujte po dobu 45 minut (±5 min.) při teplotě 18–26°C nebo přes noc</w:t>
      </w:r>
      <w:r w:rsidR="00602769">
        <w:t xml:space="preserve"> </w:t>
      </w:r>
      <w:r w:rsidRPr="00602769">
        <w:t>(16–24 hodin) při teplotě 2–8°C.</w:t>
      </w:r>
    </w:p>
    <w:p w:rsidR="00602769" w:rsidRDefault="00ED693C" w:rsidP="00ED693C">
      <w:pPr>
        <w:spacing w:after="0"/>
      </w:pPr>
      <w:r w:rsidRPr="00602769">
        <w:lastRenderedPageBreak/>
        <w:t>8. Odstraňte roztok a každou jamku 3-5x promyjte přibližně 300 µl mycího roztoku.  Destička nesmí mezi umýváním a před přidáním příští</w:t>
      </w:r>
      <w:r w:rsidR="009B7DE1" w:rsidRPr="00602769">
        <w:t>ho</w:t>
      </w:r>
      <w:r w:rsidRPr="00602769">
        <w:t xml:space="preserve"> </w:t>
      </w:r>
      <w:r w:rsidR="009B7DE1" w:rsidRPr="00602769">
        <w:t>činidla</w:t>
      </w:r>
      <w:r w:rsidRPr="00602769">
        <w:t xml:space="preserve"> vyschnout. Po posledním promytí odstraňte zbývající mycí tekutinu z každé destičky poklepáním na savý materiál.</w:t>
      </w:r>
    </w:p>
    <w:p w:rsidR="00CB4B7B" w:rsidRDefault="00CB4B7B" w:rsidP="00ED693C">
      <w:pPr>
        <w:spacing w:after="0"/>
      </w:pPr>
    </w:p>
    <w:p w:rsidR="00ED693C" w:rsidRPr="00602769" w:rsidRDefault="00ED693C" w:rsidP="00ED693C">
      <w:pPr>
        <w:spacing w:after="0"/>
      </w:pPr>
      <w:r w:rsidRPr="00602769">
        <w:rPr>
          <w:b/>
        </w:rPr>
        <w:t>Poznámka:</w:t>
      </w:r>
      <w:r w:rsidRPr="00602769">
        <w:t xml:space="preserve"> Používáte-li odtučněné mléko nebo mléko odebrané pod vrstvou smetany, tento způsob mytí dostačuje. Při použití plnotučného mléka se doporučuje metodu promývání modifikovat zařazením 1 minuty odmočení na každý mycí cyklus. Tento postup usnadňuje eliminaci tukových částeček, které by v příštím kroku nespecificky fixovaly konjugát. Důkladné mytí je nezbytné pro</w:t>
      </w:r>
      <w:r w:rsidR="00602769">
        <w:t> </w:t>
      </w:r>
      <w:r w:rsidRPr="00602769">
        <w:t>dosažení optimálních výsledků.</w:t>
      </w:r>
    </w:p>
    <w:p w:rsidR="001606B3" w:rsidRPr="00602769" w:rsidRDefault="001606B3" w:rsidP="001606B3">
      <w:pPr>
        <w:spacing w:after="0"/>
      </w:pPr>
      <w:r w:rsidRPr="00602769">
        <w:t>9. Přidejte 100 μl konjugátu do každé jamky.</w:t>
      </w:r>
    </w:p>
    <w:p w:rsidR="001606B3" w:rsidRPr="00602769" w:rsidRDefault="001606B3" w:rsidP="001606B3">
      <w:pPr>
        <w:spacing w:after="0"/>
      </w:pPr>
      <w:r w:rsidRPr="00602769">
        <w:t xml:space="preserve">10. Zakryjte destičku a inkubujte po dobu 30 minut (±3 min.) při 18–26°C. </w:t>
      </w:r>
    </w:p>
    <w:p w:rsidR="001606B3" w:rsidRPr="00602769" w:rsidRDefault="001606B3" w:rsidP="001606B3">
      <w:pPr>
        <w:spacing w:after="0"/>
      </w:pPr>
      <w:r w:rsidRPr="00602769">
        <w:t>11. Odstraňte roztok a každou jamku 3x promyjte př</w:t>
      </w:r>
      <w:r w:rsidR="00602769">
        <w:t xml:space="preserve">ibližně 300 µl mycího roztoku. </w:t>
      </w:r>
      <w:r w:rsidRPr="00602769">
        <w:t>Destička nesmí mezi umýváním a před přidáním příští</w:t>
      </w:r>
      <w:r w:rsidR="009B7DE1" w:rsidRPr="00602769">
        <w:t>ho</w:t>
      </w:r>
      <w:r w:rsidRPr="00602769">
        <w:t xml:space="preserve"> </w:t>
      </w:r>
      <w:r w:rsidR="009B7DE1" w:rsidRPr="00602769">
        <w:t>činidla</w:t>
      </w:r>
      <w:r w:rsidRPr="00602769">
        <w:t xml:space="preserve"> vyschnout. Po posledním promytí odstraňte zbývající mycí tekutinu z každé destičky poklepáváním na savý materiál. </w:t>
      </w:r>
    </w:p>
    <w:p w:rsidR="001606B3" w:rsidRPr="00602769" w:rsidRDefault="001606B3" w:rsidP="001606B3">
      <w:pPr>
        <w:spacing w:after="0"/>
      </w:pPr>
      <w:r w:rsidRPr="00602769">
        <w:t>12. Přidejte do každé jamky 100 μl TMB substrátu č. 9.</w:t>
      </w:r>
    </w:p>
    <w:p w:rsidR="001606B3" w:rsidRPr="00602769" w:rsidRDefault="001606B3" w:rsidP="001606B3">
      <w:pPr>
        <w:spacing w:after="0"/>
      </w:pPr>
      <w:r w:rsidRPr="00602769">
        <w:t>13. Inkubujte 10 minut (±3 min.) při 18–26</w:t>
      </w:r>
      <w:r w:rsidR="003F74DF" w:rsidRPr="00602769">
        <w:t xml:space="preserve"> </w:t>
      </w:r>
      <w:r w:rsidRPr="00602769">
        <w:t>°C mimo dosah přímého světla.</w:t>
      </w:r>
    </w:p>
    <w:p w:rsidR="001606B3" w:rsidRPr="00602769" w:rsidRDefault="001606B3" w:rsidP="001606B3">
      <w:pPr>
        <w:spacing w:after="0"/>
      </w:pPr>
      <w:r w:rsidRPr="00602769">
        <w:t>14. Přidejte do každé jamky</w:t>
      </w:r>
      <w:r w:rsidR="009B7DE1" w:rsidRPr="00602769">
        <w:t xml:space="preserve"> </w:t>
      </w:r>
      <w:r w:rsidRPr="00602769">
        <w:t>100 μl zastavovacího roztoku č. 3.</w:t>
      </w:r>
    </w:p>
    <w:p w:rsidR="001606B3" w:rsidRPr="00602769" w:rsidRDefault="001606B3" w:rsidP="001606B3">
      <w:pPr>
        <w:spacing w:after="0"/>
      </w:pPr>
      <w:r w:rsidRPr="00602769">
        <w:t xml:space="preserve">15. Změřte a zaznamenejte hodnoty optické hustoty vzorků a kontrol při vlnové délce 450 nm. </w:t>
      </w:r>
    </w:p>
    <w:p w:rsidR="001606B3" w:rsidRPr="00602769" w:rsidRDefault="001606B3" w:rsidP="001606B3">
      <w:pPr>
        <w:spacing w:after="0"/>
      </w:pPr>
    </w:p>
    <w:p w:rsidR="001606B3" w:rsidRPr="00602769" w:rsidRDefault="001606B3" w:rsidP="001606B3">
      <w:pPr>
        <w:spacing w:after="0"/>
      </w:pPr>
      <w:r w:rsidRPr="00602769">
        <w:rPr>
          <w:b/>
        </w:rPr>
        <w:t>Poznámka:</w:t>
      </w:r>
      <w:r w:rsidRPr="00602769">
        <w:t xml:space="preserve"> Při použití robotiky umožňuje inkubace mikrodestiček v inkubačních komůrkách pracovat bez krytů destiček. Využívání robotiky zároveň není kompatibilní s jemným poklepáváním nebo</w:t>
      </w:r>
      <w:r w:rsidR="00602769">
        <w:t> </w:t>
      </w:r>
      <w:r w:rsidRPr="00602769">
        <w:t>otíráním mikrotitračních destiček. Před odečítáním výsledků lze destičky uchovávat ve tmě až</w:t>
      </w:r>
      <w:r w:rsidR="00602769">
        <w:t> </w:t>
      </w:r>
      <w:r w:rsidRPr="00602769">
        <w:t>1</w:t>
      </w:r>
      <w:r w:rsidR="00602769">
        <w:t> </w:t>
      </w:r>
      <w:r w:rsidRPr="00602769">
        <w:t>hodinu.</w:t>
      </w:r>
    </w:p>
    <w:p w:rsidR="00602769" w:rsidRDefault="00602769" w:rsidP="001606B3">
      <w:pPr>
        <w:spacing w:after="0"/>
      </w:pPr>
    </w:p>
    <w:p w:rsidR="001606B3" w:rsidRPr="00602769" w:rsidRDefault="001606B3" w:rsidP="001606B3">
      <w:pPr>
        <w:spacing w:after="0"/>
      </w:pPr>
      <w:r w:rsidRPr="00602769">
        <w:t>16. Výpočty:</w:t>
      </w:r>
    </w:p>
    <w:p w:rsidR="001606B3" w:rsidRPr="00602769" w:rsidRDefault="001606B3" w:rsidP="001606B3">
      <w:pPr>
        <w:spacing w:after="0"/>
        <w:rPr>
          <w:b/>
        </w:rPr>
      </w:pPr>
      <w:r w:rsidRPr="00602769">
        <w:rPr>
          <w:b/>
        </w:rPr>
        <w:t>Kontroly:</w:t>
      </w:r>
    </w:p>
    <w:p w:rsidR="001606B3" w:rsidRPr="00602769" w:rsidRDefault="001606B3" w:rsidP="001606B3">
      <w:pPr>
        <w:spacing w:after="0"/>
      </w:pPr>
      <w:r w:rsidRPr="00602769">
        <w:t xml:space="preserve">PKx = </w:t>
      </w:r>
      <w:r w:rsidRPr="00602769">
        <w:rPr>
          <w:u w:val="single"/>
        </w:rPr>
        <w:t>PK1 A(450) + PK2 A(450)</w:t>
      </w:r>
    </w:p>
    <w:p w:rsidR="001606B3" w:rsidRPr="00602769" w:rsidRDefault="001606B3" w:rsidP="001606B3">
      <w:pPr>
        <w:spacing w:after="0"/>
      </w:pPr>
      <w:r w:rsidRPr="00602769">
        <w:t xml:space="preserve">                                 2</w:t>
      </w:r>
    </w:p>
    <w:p w:rsidR="00602769" w:rsidRDefault="00602769" w:rsidP="00ED693C">
      <w:pPr>
        <w:spacing w:after="0"/>
      </w:pPr>
    </w:p>
    <w:p w:rsidR="00ED693C" w:rsidRPr="00602769" w:rsidRDefault="001606B3" w:rsidP="00ED693C">
      <w:pPr>
        <w:spacing w:after="0"/>
        <w:rPr>
          <w:b/>
        </w:rPr>
      </w:pPr>
      <w:r w:rsidRPr="00602769">
        <w:rPr>
          <w:b/>
        </w:rPr>
        <w:t>Kritéria validity:</w:t>
      </w:r>
    </w:p>
    <w:p w:rsidR="00602769" w:rsidRDefault="001606B3" w:rsidP="00ED693C">
      <w:pPr>
        <w:spacing w:after="0"/>
      </w:pPr>
      <w:r w:rsidRPr="00602769">
        <w:t>PKx ≥ 0,350                           PKx / NK A(450) ≥ 3,00</w:t>
      </w:r>
    </w:p>
    <w:p w:rsidR="001606B3" w:rsidRPr="00602769" w:rsidRDefault="001606B3" w:rsidP="00ED693C">
      <w:pPr>
        <w:spacing w:after="0"/>
      </w:pPr>
    </w:p>
    <w:p w:rsidR="001606B3" w:rsidRPr="00602769" w:rsidRDefault="001606B3" w:rsidP="001606B3">
      <w:pPr>
        <w:spacing w:after="0"/>
      </w:pPr>
      <w:r w:rsidRPr="00602769">
        <w:t>Při neplatnosti výsledků je třeba předpokládat chybu v technice provedení. Doporučuje se důkladně znovu prostudovat př</w:t>
      </w:r>
      <w:r w:rsidR="009B7DE1" w:rsidRPr="00602769">
        <w:t>íbalovou informaci</w:t>
      </w:r>
      <w:r w:rsidRPr="00602769">
        <w:t xml:space="preserve"> a test provést znovu.</w:t>
      </w:r>
      <w:r w:rsidRPr="00602769">
        <w:br/>
        <w:t>Poznámka: Společnost IDEXX má přístrojové a softwarové systémy pro výpočet výsledků a</w:t>
      </w:r>
      <w:r w:rsidR="00602769">
        <w:t> </w:t>
      </w:r>
      <w:r w:rsidRPr="00602769">
        <w:t>poskytování souhrnů dat.</w:t>
      </w:r>
    </w:p>
    <w:p w:rsidR="001606B3" w:rsidRPr="00602769" w:rsidRDefault="001606B3" w:rsidP="001606B3">
      <w:pPr>
        <w:spacing w:after="0"/>
        <w:rPr>
          <w:b/>
        </w:rPr>
      </w:pPr>
    </w:p>
    <w:p w:rsidR="001606B3" w:rsidRPr="00602769" w:rsidRDefault="001606B3" w:rsidP="001606B3">
      <w:pPr>
        <w:spacing w:after="0"/>
        <w:rPr>
          <w:b/>
        </w:rPr>
      </w:pPr>
      <w:r w:rsidRPr="00602769">
        <w:rPr>
          <w:b/>
        </w:rPr>
        <w:t>Vzorky</w:t>
      </w:r>
    </w:p>
    <w:p w:rsidR="001606B3" w:rsidRPr="00602769" w:rsidRDefault="001606B3" w:rsidP="001606B3">
      <w:pPr>
        <w:spacing w:after="0"/>
      </w:pPr>
      <w:r w:rsidRPr="00602769">
        <w:t xml:space="preserve">S/P % = 100 X </w:t>
      </w:r>
      <w:r w:rsidRPr="00602769">
        <w:rPr>
          <w:u w:val="single"/>
        </w:rPr>
        <w:t>A(450) vzorku – NK A(450)</w:t>
      </w:r>
    </w:p>
    <w:p w:rsidR="001606B3" w:rsidRPr="00602769" w:rsidRDefault="001606B3" w:rsidP="001606B3">
      <w:pPr>
        <w:spacing w:after="0"/>
      </w:pPr>
      <w:r w:rsidRPr="00602769">
        <w:t xml:space="preserve">                                   P</w:t>
      </w:r>
      <w:r w:rsidR="009B7DE1" w:rsidRPr="00602769">
        <w:t>K</w:t>
      </w:r>
      <w:r w:rsidRPr="00602769">
        <w:t>x – NK A(450)</w:t>
      </w:r>
    </w:p>
    <w:p w:rsidR="001606B3" w:rsidRPr="00602769" w:rsidRDefault="001606B3" w:rsidP="001606B3">
      <w:pPr>
        <w:spacing w:after="0"/>
      </w:pPr>
    </w:p>
    <w:p w:rsidR="001606B3" w:rsidRPr="00602769" w:rsidRDefault="001606B3" w:rsidP="001606B3">
      <w:pPr>
        <w:spacing w:after="0"/>
      </w:pPr>
      <w:r w:rsidRPr="00602769">
        <w:t>17. Interpretace:</w:t>
      </w:r>
    </w:p>
    <w:p w:rsidR="001606B3" w:rsidRPr="00602769" w:rsidRDefault="001606B3" w:rsidP="001606B3">
      <w:pPr>
        <w:spacing w:after="0"/>
        <w:rPr>
          <w:b/>
        </w:rPr>
      </w:pPr>
      <w:r w:rsidRPr="00602769">
        <w:rPr>
          <w:b/>
        </w:rPr>
        <w:t>Sérum a plazma:</w:t>
      </w:r>
    </w:p>
    <w:p w:rsidR="001606B3" w:rsidRPr="00602769" w:rsidRDefault="001606B3" w:rsidP="001606B3">
      <w:pPr>
        <w:spacing w:after="0"/>
      </w:pPr>
      <w:r w:rsidRPr="00602769">
        <w:t>Negativní: S/P % ≤ 45 %</w:t>
      </w:r>
    </w:p>
    <w:p w:rsidR="001606B3" w:rsidRPr="00602769" w:rsidRDefault="001606B3" w:rsidP="001606B3">
      <w:pPr>
        <w:spacing w:after="0"/>
      </w:pPr>
      <w:r w:rsidRPr="00602769">
        <w:t>Suspektní: 45 % &lt; S/P % &lt; 55 %</w:t>
      </w:r>
    </w:p>
    <w:p w:rsidR="001606B3" w:rsidRPr="00602769" w:rsidRDefault="001606B3" w:rsidP="001606B3">
      <w:pPr>
        <w:spacing w:after="0"/>
      </w:pPr>
      <w:r w:rsidRPr="00602769">
        <w:t>Pozitivní: S/P % ≥ 55 %</w:t>
      </w:r>
    </w:p>
    <w:p w:rsidR="001606B3" w:rsidRPr="00602769" w:rsidRDefault="001606B3" w:rsidP="001606B3">
      <w:pPr>
        <w:spacing w:after="0"/>
      </w:pPr>
    </w:p>
    <w:p w:rsidR="001606B3" w:rsidRPr="00602769" w:rsidRDefault="001606B3" w:rsidP="001606B3">
      <w:pPr>
        <w:spacing w:after="0"/>
        <w:rPr>
          <w:b/>
        </w:rPr>
      </w:pPr>
      <w:r w:rsidRPr="00602769">
        <w:rPr>
          <w:b/>
        </w:rPr>
        <w:t>Kravské mléko</w:t>
      </w:r>
      <w:r w:rsidRPr="00602769">
        <w:rPr>
          <w:b/>
          <w:vertAlign w:val="superscript"/>
        </w:rPr>
        <w:t>(1)</w:t>
      </w:r>
      <w:r w:rsidRPr="00602769">
        <w:rPr>
          <w:b/>
        </w:rPr>
        <w:t>:</w:t>
      </w:r>
    </w:p>
    <w:p w:rsidR="001606B3" w:rsidRPr="00602769" w:rsidRDefault="001606B3" w:rsidP="00ED693C">
      <w:pPr>
        <w:spacing w:after="0"/>
      </w:pPr>
      <w:r w:rsidRPr="00602769">
        <w:t>Negativní: S/P % ≤ 20 %</w:t>
      </w:r>
    </w:p>
    <w:p w:rsidR="001606B3" w:rsidRPr="00602769" w:rsidRDefault="001606B3" w:rsidP="00ED693C">
      <w:pPr>
        <w:spacing w:after="0"/>
      </w:pPr>
      <w:r w:rsidRPr="00602769">
        <w:t>Suspektní: 20 % &lt; S/P % &lt; 30 %</w:t>
      </w:r>
    </w:p>
    <w:p w:rsidR="001606B3" w:rsidRPr="00602769" w:rsidRDefault="001606B3" w:rsidP="00ED693C">
      <w:pPr>
        <w:spacing w:after="0"/>
      </w:pPr>
      <w:r w:rsidRPr="00602769">
        <w:t>Pozitivní: S/P % ≥ 30 %</w:t>
      </w:r>
    </w:p>
    <w:p w:rsidR="00ED693C" w:rsidRPr="00602769" w:rsidRDefault="00ED693C" w:rsidP="00ED693C">
      <w:pPr>
        <w:spacing w:after="0"/>
      </w:pPr>
    </w:p>
    <w:p w:rsidR="001606B3" w:rsidRPr="00602769" w:rsidRDefault="001606B3" w:rsidP="00ED693C">
      <w:pPr>
        <w:spacing w:after="0"/>
        <w:rPr>
          <w:vertAlign w:val="superscript"/>
        </w:rPr>
      </w:pPr>
      <w:r w:rsidRPr="00602769">
        <w:t>Poznámka:</w:t>
      </w:r>
      <w:r w:rsidRPr="00602769">
        <w:rPr>
          <w:vertAlign w:val="superscript"/>
        </w:rPr>
        <w:t>(1)</w:t>
      </w:r>
    </w:p>
    <w:p w:rsidR="001606B3" w:rsidRPr="00602769" w:rsidRDefault="001606B3" w:rsidP="00ED693C">
      <w:pPr>
        <w:spacing w:after="0"/>
      </w:pPr>
      <w:r w:rsidRPr="00602769">
        <w:t xml:space="preserve">Následující pravidla pro interpretaci </w:t>
      </w:r>
      <w:r w:rsidR="00D42740" w:rsidRPr="00602769">
        <w:t>se uplatňují při analýze vzorků kravského mléka v Německu:</w:t>
      </w:r>
    </w:p>
    <w:p w:rsidR="00D42740" w:rsidRPr="00602769" w:rsidRDefault="00D42740" w:rsidP="00D42740">
      <w:pPr>
        <w:pStyle w:val="Odstavecseseznamem"/>
        <w:numPr>
          <w:ilvl w:val="0"/>
          <w:numId w:val="5"/>
        </w:numPr>
        <w:spacing w:after="0"/>
      </w:pPr>
      <w:r w:rsidRPr="00602769">
        <w:t>Vzorky s procentem S/P menším než nebo rovným 30 % se považují za negativní na přítomnost protilátek proti MAP</w:t>
      </w:r>
    </w:p>
    <w:p w:rsidR="00D42740" w:rsidRPr="00602769" w:rsidRDefault="00D42740" w:rsidP="00D42740">
      <w:pPr>
        <w:pStyle w:val="Odstavecseseznamem"/>
        <w:numPr>
          <w:ilvl w:val="0"/>
          <w:numId w:val="5"/>
        </w:numPr>
        <w:spacing w:after="0"/>
      </w:pPr>
      <w:r w:rsidRPr="00602769">
        <w:t>Vzorky s procentem S/P vyšším než 30 % a menším než 40 % se pokládají za suspektní a musí být otestovány znovu.</w:t>
      </w:r>
    </w:p>
    <w:p w:rsidR="00D42740" w:rsidRPr="00602769" w:rsidRDefault="00D42740" w:rsidP="00D42740">
      <w:pPr>
        <w:pStyle w:val="Odstavecseseznamem"/>
        <w:numPr>
          <w:ilvl w:val="0"/>
          <w:numId w:val="5"/>
        </w:numPr>
        <w:spacing w:after="0"/>
      </w:pPr>
      <w:r w:rsidRPr="00602769">
        <w:t>Vzorky s procentem S/P větším než nebo rovným 40 % se pokládají za pozitivní na přítomnost protilátek proti MAP.</w:t>
      </w:r>
    </w:p>
    <w:p w:rsidR="00D42740" w:rsidRPr="00602769" w:rsidRDefault="00D42740" w:rsidP="00D42740">
      <w:pPr>
        <w:spacing w:after="0"/>
      </w:pPr>
    </w:p>
    <w:p w:rsidR="00D42740" w:rsidRPr="00602769" w:rsidRDefault="00D42740" w:rsidP="00D42740">
      <w:pPr>
        <w:spacing w:after="0"/>
        <w:rPr>
          <w:b/>
        </w:rPr>
      </w:pPr>
      <w:r w:rsidRPr="00602769">
        <w:rPr>
          <w:b/>
        </w:rPr>
        <w:t>Technická podpora:</w:t>
      </w:r>
    </w:p>
    <w:p w:rsidR="00D42740" w:rsidRPr="00602769" w:rsidRDefault="00D42740" w:rsidP="00D42740">
      <w:pPr>
        <w:spacing w:after="0"/>
      </w:pPr>
    </w:p>
    <w:p w:rsidR="00D42740" w:rsidRPr="00602769" w:rsidRDefault="00D42740" w:rsidP="00D42740">
      <w:pPr>
        <w:spacing w:after="0"/>
      </w:pPr>
      <w:r w:rsidRPr="00602769">
        <w:t>IDEXX USA Tel: +1 800 548 9997 nebo +1 207 556 4895</w:t>
      </w:r>
    </w:p>
    <w:p w:rsidR="00D42740" w:rsidRPr="00602769" w:rsidRDefault="00D42740" w:rsidP="00D42740">
      <w:pPr>
        <w:spacing w:after="0"/>
      </w:pPr>
      <w:r w:rsidRPr="00602769">
        <w:t>IDEXX Evropa Tel: +800 727 43399</w:t>
      </w:r>
    </w:p>
    <w:p w:rsidR="00D42740" w:rsidRPr="00602769" w:rsidRDefault="00D42740" w:rsidP="00D42740">
      <w:pPr>
        <w:spacing w:after="0"/>
      </w:pPr>
      <w:r w:rsidRPr="00602769">
        <w:t>Obraťte se na manažera nebo distributora společnosti IDEXX pro Vaši oblast nebo navštivte naši webovou stránku: www.idexx.com/production/contactlpd</w:t>
      </w:r>
    </w:p>
    <w:p w:rsidR="00D42740" w:rsidRPr="00602769" w:rsidRDefault="00D42740" w:rsidP="00D42740">
      <w:pPr>
        <w:spacing w:after="0"/>
      </w:pPr>
    </w:p>
    <w:p w:rsidR="00D42740" w:rsidRPr="00602769" w:rsidRDefault="00D42740" w:rsidP="00D42740">
      <w:pPr>
        <w:spacing w:after="0"/>
      </w:pPr>
      <w:r w:rsidRPr="00602769">
        <w:t>IDEXX a Test With Confidence jsou ochranné známky nebo registrované ochranné známky</w:t>
      </w:r>
    </w:p>
    <w:p w:rsidR="00D42740" w:rsidRPr="00602769" w:rsidRDefault="00D42740" w:rsidP="00D42740">
      <w:pPr>
        <w:spacing w:after="0"/>
      </w:pPr>
      <w:r w:rsidRPr="00602769">
        <w:t>společnosti IDEXX Laboratories, Inc. nebo jejích přidružených společností ve Spojených státech amerických a/nebo v jiných zemích.</w:t>
      </w:r>
    </w:p>
    <w:p w:rsidR="00D42740" w:rsidRPr="00602769" w:rsidRDefault="00D42740" w:rsidP="00D42740">
      <w:pPr>
        <w:spacing w:after="0"/>
      </w:pPr>
    </w:p>
    <w:p w:rsidR="00D42740" w:rsidRPr="00602769" w:rsidRDefault="00D42740" w:rsidP="00D42740">
      <w:pPr>
        <w:spacing w:after="0"/>
      </w:pPr>
      <w:r w:rsidRPr="00602769">
        <w:t>©20</w:t>
      </w:r>
      <w:r w:rsidR="009B7DE1" w:rsidRPr="00602769">
        <w:t>22</w:t>
      </w:r>
      <w:r w:rsidRPr="00602769">
        <w:t xml:space="preserve"> IDEXX Laboratories, Inc. Všechna práva vyhrazena.</w:t>
      </w:r>
    </w:p>
    <w:p w:rsidR="009B7DE1" w:rsidRPr="00602769" w:rsidRDefault="009B7DE1" w:rsidP="00D42740">
      <w:pPr>
        <w:spacing w:after="0"/>
      </w:pPr>
    </w:p>
    <w:p w:rsidR="009B7DE1" w:rsidRPr="00602769" w:rsidRDefault="009B7DE1" w:rsidP="00D42740">
      <w:pPr>
        <w:spacing w:after="0"/>
      </w:pPr>
    </w:p>
    <w:p w:rsidR="00D42740" w:rsidRPr="00602769" w:rsidRDefault="00D42740" w:rsidP="00D42740">
      <w:pPr>
        <w:spacing w:after="0"/>
      </w:pPr>
    </w:p>
    <w:p w:rsidR="00D42740" w:rsidRPr="00602769" w:rsidRDefault="009B7DE1" w:rsidP="009B7DE1">
      <w:pPr>
        <w:spacing w:after="0"/>
        <w:jc w:val="center"/>
      </w:pPr>
      <w:r w:rsidRPr="00602769">
        <w:rPr>
          <w:b/>
        </w:rPr>
        <w:t>VAROVÁNÍ</w:t>
      </w:r>
    </w:p>
    <w:p w:rsidR="00D42740" w:rsidRPr="00602769" w:rsidRDefault="00D42740" w:rsidP="00D42740">
      <w:pPr>
        <w:spacing w:after="0"/>
        <w:rPr>
          <w:b/>
        </w:rPr>
      </w:pPr>
    </w:p>
    <w:p w:rsidR="00D42740" w:rsidRPr="00602769" w:rsidRDefault="009B7DE1" w:rsidP="00D42740">
      <w:pPr>
        <w:spacing w:after="0"/>
      </w:pPr>
      <w:r w:rsidRPr="00602769">
        <w:rPr>
          <w:b/>
          <w:lang w:eastAsia="cs-CZ"/>
        </w:rPr>
        <w:drawing>
          <wp:inline distT="0" distB="0" distL="0" distR="0">
            <wp:extent cx="5759450" cy="2667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266700"/>
                    </a:xfrm>
                    <a:prstGeom prst="rect">
                      <a:avLst/>
                    </a:prstGeom>
                    <a:noFill/>
                    <a:ln>
                      <a:noFill/>
                    </a:ln>
                  </pic:spPr>
                </pic:pic>
              </a:graphicData>
            </a:graphic>
          </wp:inline>
        </w:drawing>
      </w:r>
      <w:r w:rsidR="00D42740" w:rsidRPr="00602769">
        <w:rPr>
          <w:b/>
        </w:rPr>
        <w:t>Pozitivní kontrola/Negativní kontrola</w:t>
      </w:r>
      <w:r w:rsidRPr="00602769">
        <w:rPr>
          <w:b/>
        </w:rPr>
        <w:t>/Koncentrovaný konjugát</w:t>
      </w:r>
      <w:r w:rsidR="00D42740" w:rsidRPr="00602769">
        <w:rPr>
          <w:b/>
        </w:rPr>
        <w:t xml:space="preserve"> – </w:t>
      </w:r>
      <w:r w:rsidR="00B83EA5" w:rsidRPr="00602769">
        <w:t>Může vyvolat alergickou kožní reakci. Škodlivý pro vodní mikroorgani</w:t>
      </w:r>
      <w:r w:rsidR="007A4A9A" w:rsidRPr="00602769">
        <w:t>s</w:t>
      </w:r>
      <w:r w:rsidR="00B83EA5" w:rsidRPr="00602769">
        <w:t>my, s dlouhodobými účinky. Zamezte vdechování mlhy/par. Při podráždění kůže nebo vyrážce: Vyhledejte lékařskou pomoc/ošetření.</w:t>
      </w:r>
    </w:p>
    <w:p w:rsidR="00D42740" w:rsidRPr="00602769" w:rsidRDefault="00D42740" w:rsidP="00D42740">
      <w:pPr>
        <w:spacing w:after="0"/>
        <w:rPr>
          <w:b/>
        </w:rPr>
      </w:pPr>
    </w:p>
    <w:p w:rsidR="00D42740" w:rsidRPr="00602769" w:rsidRDefault="00B83EA5" w:rsidP="00B83EA5">
      <w:r w:rsidRPr="00602769">
        <w:rPr>
          <w:b/>
          <w:lang w:eastAsia="cs-CZ"/>
        </w:rPr>
        <w:drawing>
          <wp:inline distT="0" distB="0" distL="0" distR="0">
            <wp:extent cx="5753100" cy="260350"/>
            <wp:effectExtent l="0" t="0" r="0" b="635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260350"/>
                    </a:xfrm>
                    <a:prstGeom prst="rect">
                      <a:avLst/>
                    </a:prstGeom>
                    <a:noFill/>
                    <a:ln>
                      <a:noFill/>
                    </a:ln>
                  </pic:spPr>
                </pic:pic>
              </a:graphicData>
            </a:graphic>
          </wp:inline>
        </w:drawing>
      </w:r>
      <w:r w:rsidRPr="00602769">
        <w:rPr>
          <w:b/>
        </w:rPr>
        <w:t>Ředící pufr č. 12</w:t>
      </w:r>
      <w:r w:rsidR="00D42740" w:rsidRPr="00602769">
        <w:t xml:space="preserve"> </w:t>
      </w:r>
      <w:r w:rsidR="00D42740" w:rsidRPr="00602769">
        <w:rPr>
          <w:b/>
        </w:rPr>
        <w:t xml:space="preserve">– </w:t>
      </w:r>
      <w:r w:rsidRPr="00602769">
        <w:t>Způsobuje vážné podráždění očí. Používejte ochranné brýle/obličejový štít.</w:t>
      </w:r>
      <w:r w:rsidRPr="00602769">
        <w:rPr>
          <w:sz w:val="24"/>
          <w:szCs w:val="24"/>
        </w:rPr>
        <w:t xml:space="preserve"> </w:t>
      </w:r>
      <w:r w:rsidRPr="00602769">
        <w:rPr>
          <w:szCs w:val="24"/>
        </w:rPr>
        <w:t>PŘI</w:t>
      </w:r>
      <w:r w:rsidR="00602769">
        <w:rPr>
          <w:szCs w:val="24"/>
        </w:rPr>
        <w:t> </w:t>
      </w:r>
      <w:r w:rsidRPr="00602769">
        <w:rPr>
          <w:szCs w:val="24"/>
        </w:rPr>
        <w:t>ZASAŽENÍ OČÍ: Několik minut opatrně vyplachujte vodou. Vyjměte kontaktní čočky,</w:t>
      </w:r>
      <w:r w:rsidR="00602769">
        <w:rPr>
          <w:szCs w:val="24"/>
        </w:rPr>
        <w:br/>
      </w:r>
      <w:r w:rsidRPr="00602769">
        <w:rPr>
          <w:szCs w:val="24"/>
        </w:rPr>
        <w:t>jsou-li</w:t>
      </w:r>
      <w:r w:rsidR="00602769">
        <w:rPr>
          <w:szCs w:val="24"/>
        </w:rPr>
        <w:t> </w:t>
      </w:r>
      <w:r w:rsidRPr="00602769">
        <w:rPr>
          <w:szCs w:val="24"/>
        </w:rPr>
        <w:t>nasazeny a pokud je lze vyjmout snadno. Pokračujte ve vyplachování. Přetrvává-li podráždění očí: Vyhledejte lékařskou pomoc/ošetření.</w:t>
      </w:r>
    </w:p>
    <w:p w:rsidR="00D42740" w:rsidRPr="00602769" w:rsidRDefault="00D42740" w:rsidP="00D42740">
      <w:pPr>
        <w:spacing w:after="0"/>
      </w:pPr>
    </w:p>
    <w:p w:rsidR="003C2A86" w:rsidRPr="00602769" w:rsidRDefault="00B83EA5" w:rsidP="003C2A86">
      <w:pPr>
        <w:rPr>
          <w:sz w:val="24"/>
        </w:rPr>
      </w:pPr>
      <w:r w:rsidRPr="00602769">
        <w:rPr>
          <w:b/>
          <w:lang w:eastAsia="cs-CZ"/>
        </w:rPr>
        <w:lastRenderedPageBreak/>
        <w:drawing>
          <wp:inline distT="0" distB="0" distL="0" distR="0">
            <wp:extent cx="5746750" cy="438150"/>
            <wp:effectExtent l="0" t="0" r="635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6750" cy="438150"/>
                    </a:xfrm>
                    <a:prstGeom prst="rect">
                      <a:avLst/>
                    </a:prstGeom>
                    <a:noFill/>
                    <a:ln>
                      <a:noFill/>
                    </a:ln>
                  </pic:spPr>
                </pic:pic>
              </a:graphicData>
            </a:graphic>
          </wp:inline>
        </w:drawing>
      </w:r>
      <w:r w:rsidR="00D42740" w:rsidRPr="00602769">
        <w:rPr>
          <w:b/>
        </w:rPr>
        <w:t>Zastavovací roztok</w:t>
      </w:r>
      <w:r w:rsidRPr="00602769">
        <w:rPr>
          <w:b/>
        </w:rPr>
        <w:t xml:space="preserve"> – </w:t>
      </w:r>
      <w:r w:rsidRPr="00602769">
        <w:t xml:space="preserve">Způsobuje těžké poleptání kůže a poškození očí. Může vyvolat alergickou kožní reakci. Způsobuje vážné poškození očí. </w:t>
      </w:r>
      <w:r w:rsidR="003C2A86" w:rsidRPr="00602769">
        <w:rPr>
          <w:szCs w:val="17"/>
        </w:rPr>
        <w:t xml:space="preserve">Nevdechujte prach/dým/plyn/mlhu/páry/aerosoly. Používejte ochranné rukavice/ochranný oděv/ochranné brýle/obličejový štít. </w:t>
      </w:r>
      <w:r w:rsidR="003C2A86" w:rsidRPr="00602769">
        <w:rPr>
          <w:szCs w:val="24"/>
        </w:rPr>
        <w:t xml:space="preserve">PŘI STYKU S KŮŽÍ (nebo s vlasy): Veškeré kontaminované části oděvu okamžitě svlékněte. Opláchněte kůži vodou. PŘI ZASAŽENÍ OČÍ: Několik minut opatrně vyplachujte vodou. Vyjměte kontaktní čočky, jsou-li </w:t>
      </w:r>
      <w:r w:rsidR="00AF6F92" w:rsidRPr="00602769">
        <w:rPr>
          <w:szCs w:val="24"/>
        </w:rPr>
        <w:t>nasazeny, a pokud</w:t>
      </w:r>
      <w:r w:rsidR="003C2A86" w:rsidRPr="00602769">
        <w:rPr>
          <w:szCs w:val="24"/>
        </w:rPr>
        <w:t xml:space="preserve"> je lze vyjmout snadno. Pokračujte ve vyplachování. </w:t>
      </w:r>
      <w:r w:rsidR="003C2A86" w:rsidRPr="00602769">
        <w:rPr>
          <w:szCs w:val="17"/>
        </w:rPr>
        <w:t xml:space="preserve">Okamžitě volejte TOXIKOLOGICKÉ INFORMAČNÍ STŘEDISKO /lékaře/. </w:t>
      </w:r>
      <w:r w:rsidR="003C2A86" w:rsidRPr="00602769">
        <w:t>Při podráždění kůže nebo vyrážce: Vyhledejte lékařskou pomoc/ošetření.</w:t>
      </w:r>
    </w:p>
    <w:p w:rsidR="00D42740" w:rsidRPr="00602769" w:rsidRDefault="00D42740" w:rsidP="00D42740">
      <w:pPr>
        <w:spacing w:after="0"/>
      </w:pPr>
    </w:p>
    <w:p w:rsidR="003C2A86" w:rsidRPr="00602769" w:rsidRDefault="003C2A86" w:rsidP="003C2A86">
      <w:pPr>
        <w:rPr>
          <w:rFonts w:cs="TTE1965D00t00"/>
          <w:b/>
          <w:color w:val="000000"/>
        </w:rPr>
      </w:pPr>
      <w:r w:rsidRPr="00602769">
        <w:rPr>
          <w:rFonts w:cs="TTE1965D00t00"/>
          <w:b/>
          <w:color w:val="000000"/>
        </w:rPr>
        <w:t>Popis symbolů</w:t>
      </w:r>
    </w:p>
    <w:p w:rsidR="003C2A86" w:rsidRPr="00602769" w:rsidRDefault="003C2A86" w:rsidP="003C2A86">
      <w:pPr>
        <w:autoSpaceDE w:val="0"/>
        <w:autoSpaceDN w:val="0"/>
        <w:adjustRightInd w:val="0"/>
        <w:spacing w:after="0" w:line="240" w:lineRule="auto"/>
        <w:ind w:left="2268" w:hanging="2268"/>
        <w:jc w:val="both"/>
        <w:rPr>
          <w:rFonts w:cs="TTE1965D00t00"/>
          <w:color w:val="000000"/>
        </w:rPr>
      </w:pPr>
      <w:r w:rsidRPr="00602769">
        <w:rPr>
          <w:rFonts w:cs="TTE1965D00t00"/>
          <w:color w:val="000000"/>
          <w:lang w:eastAsia="cs-CZ"/>
        </w:rPr>
        <w:drawing>
          <wp:inline distT="0" distB="0" distL="0" distR="0" wp14:anchorId="1FD60980" wp14:editId="71372B9E">
            <wp:extent cx="445135" cy="314960"/>
            <wp:effectExtent l="0" t="0" r="0" b="889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135" cy="314960"/>
                    </a:xfrm>
                    <a:prstGeom prst="rect">
                      <a:avLst/>
                    </a:prstGeom>
                    <a:noFill/>
                    <a:ln>
                      <a:noFill/>
                    </a:ln>
                  </pic:spPr>
                </pic:pic>
              </a:graphicData>
            </a:graphic>
          </wp:inline>
        </w:drawing>
      </w:r>
      <w:r w:rsidRPr="00602769">
        <w:rPr>
          <w:rFonts w:cs="TTE1965D00t00"/>
          <w:color w:val="000000"/>
        </w:rPr>
        <w:tab/>
        <w:t>Kód šarže</w:t>
      </w:r>
    </w:p>
    <w:p w:rsidR="003C2A86" w:rsidRPr="00602769" w:rsidRDefault="003C2A86" w:rsidP="003C2A86">
      <w:pPr>
        <w:autoSpaceDE w:val="0"/>
        <w:autoSpaceDN w:val="0"/>
        <w:adjustRightInd w:val="0"/>
        <w:spacing w:after="0" w:line="240" w:lineRule="auto"/>
        <w:ind w:left="2268" w:hanging="2268"/>
        <w:jc w:val="both"/>
        <w:rPr>
          <w:rFonts w:cs="TTE1965D00t00"/>
          <w:color w:val="000000"/>
        </w:rPr>
      </w:pPr>
    </w:p>
    <w:p w:rsidR="003C2A86" w:rsidRPr="00602769" w:rsidRDefault="003C2A86" w:rsidP="003C2A86">
      <w:pPr>
        <w:autoSpaceDE w:val="0"/>
        <w:autoSpaceDN w:val="0"/>
        <w:adjustRightInd w:val="0"/>
        <w:spacing w:after="0" w:line="240" w:lineRule="auto"/>
        <w:ind w:left="2268" w:hanging="2268"/>
        <w:jc w:val="both"/>
        <w:rPr>
          <w:rFonts w:cs="TTE1965D00t00"/>
          <w:color w:val="000000"/>
        </w:rPr>
      </w:pPr>
      <w:r w:rsidRPr="00602769">
        <w:rPr>
          <w:rFonts w:cs="TTE1965D00t00"/>
          <w:color w:val="000000"/>
          <w:lang w:eastAsia="cs-CZ"/>
        </w:rPr>
        <w:drawing>
          <wp:inline distT="0" distB="0" distL="0" distR="0" wp14:anchorId="6C914E79" wp14:editId="1D7C5E63">
            <wp:extent cx="522605" cy="421640"/>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605" cy="421640"/>
                    </a:xfrm>
                    <a:prstGeom prst="rect">
                      <a:avLst/>
                    </a:prstGeom>
                    <a:noFill/>
                    <a:ln>
                      <a:noFill/>
                    </a:ln>
                  </pic:spPr>
                </pic:pic>
              </a:graphicData>
            </a:graphic>
          </wp:inline>
        </w:drawing>
      </w:r>
      <w:r w:rsidRPr="00602769">
        <w:rPr>
          <w:rFonts w:cs="TTE1965D00t00"/>
          <w:color w:val="000000"/>
        </w:rPr>
        <w:tab/>
        <w:t>Sériové číslo</w:t>
      </w:r>
    </w:p>
    <w:p w:rsidR="003C2A86" w:rsidRPr="00602769" w:rsidRDefault="003C2A86" w:rsidP="003C2A86">
      <w:pPr>
        <w:autoSpaceDE w:val="0"/>
        <w:autoSpaceDN w:val="0"/>
        <w:adjustRightInd w:val="0"/>
        <w:spacing w:after="0" w:line="240" w:lineRule="auto"/>
        <w:ind w:left="2268" w:hanging="2268"/>
        <w:jc w:val="both"/>
        <w:rPr>
          <w:rFonts w:cs="TTE1965D00t00"/>
          <w:color w:val="000000"/>
        </w:rPr>
      </w:pPr>
    </w:p>
    <w:p w:rsidR="003C2A86" w:rsidRPr="00602769" w:rsidRDefault="003C2A86" w:rsidP="003C2A86">
      <w:pPr>
        <w:autoSpaceDE w:val="0"/>
        <w:autoSpaceDN w:val="0"/>
        <w:adjustRightInd w:val="0"/>
        <w:spacing w:after="0" w:line="240" w:lineRule="auto"/>
        <w:ind w:left="2268" w:hanging="2268"/>
        <w:jc w:val="both"/>
        <w:rPr>
          <w:rFonts w:cs="TTE1965D00t00"/>
          <w:color w:val="000000"/>
        </w:rPr>
      </w:pPr>
      <w:r w:rsidRPr="00602769">
        <w:rPr>
          <w:rFonts w:cs="TTE1965D00t00"/>
          <w:color w:val="000000"/>
          <w:lang w:eastAsia="cs-CZ"/>
        </w:rPr>
        <w:drawing>
          <wp:inline distT="0" distB="0" distL="0" distR="0" wp14:anchorId="473DBB21" wp14:editId="2640BF8D">
            <wp:extent cx="487045" cy="421640"/>
            <wp:effectExtent l="0" t="0" r="8255"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045" cy="421640"/>
                    </a:xfrm>
                    <a:prstGeom prst="rect">
                      <a:avLst/>
                    </a:prstGeom>
                    <a:noFill/>
                    <a:ln>
                      <a:noFill/>
                    </a:ln>
                  </pic:spPr>
                </pic:pic>
              </a:graphicData>
            </a:graphic>
          </wp:inline>
        </w:drawing>
      </w:r>
      <w:r w:rsidRPr="00602769">
        <w:rPr>
          <w:rFonts w:cs="TTE1965D00t00"/>
          <w:color w:val="000000"/>
        </w:rPr>
        <w:tab/>
        <w:t>Katalogové číslo</w:t>
      </w:r>
    </w:p>
    <w:p w:rsidR="003C2A86" w:rsidRPr="00602769" w:rsidRDefault="003C2A86" w:rsidP="003C2A86">
      <w:pPr>
        <w:autoSpaceDE w:val="0"/>
        <w:autoSpaceDN w:val="0"/>
        <w:adjustRightInd w:val="0"/>
        <w:spacing w:after="0" w:line="240" w:lineRule="auto"/>
        <w:ind w:left="2268" w:hanging="2268"/>
        <w:jc w:val="both"/>
        <w:rPr>
          <w:rFonts w:cs="TTE1965D00t00"/>
          <w:color w:val="000000"/>
        </w:rPr>
      </w:pPr>
    </w:p>
    <w:p w:rsidR="003C2A86" w:rsidRPr="00602769" w:rsidRDefault="003C2A86" w:rsidP="003C2A86">
      <w:pPr>
        <w:autoSpaceDE w:val="0"/>
        <w:autoSpaceDN w:val="0"/>
        <w:adjustRightInd w:val="0"/>
        <w:spacing w:after="0" w:line="240" w:lineRule="auto"/>
        <w:ind w:left="2268" w:hanging="2268"/>
        <w:jc w:val="both"/>
        <w:rPr>
          <w:rFonts w:cs="TTE1965D00t00"/>
          <w:color w:val="000000"/>
        </w:rPr>
      </w:pPr>
      <w:r w:rsidRPr="00602769">
        <w:rPr>
          <w:rFonts w:cs="TTE1965D00t00"/>
          <w:color w:val="000000"/>
          <w:lang w:eastAsia="cs-CZ"/>
        </w:rPr>
        <w:drawing>
          <wp:inline distT="0" distB="0" distL="0" distR="0" wp14:anchorId="1D01408B" wp14:editId="5415D070">
            <wp:extent cx="563880" cy="409575"/>
            <wp:effectExtent l="0" t="0" r="7620" b="9525"/>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3880" cy="409575"/>
                    </a:xfrm>
                    <a:prstGeom prst="rect">
                      <a:avLst/>
                    </a:prstGeom>
                    <a:noFill/>
                    <a:ln>
                      <a:noFill/>
                    </a:ln>
                  </pic:spPr>
                </pic:pic>
              </a:graphicData>
            </a:graphic>
          </wp:inline>
        </w:drawing>
      </w:r>
      <w:r w:rsidRPr="00602769">
        <w:rPr>
          <w:rFonts w:cs="TTE1965D00t00"/>
          <w:color w:val="000000"/>
        </w:rPr>
        <w:tab/>
        <w:t>Diagnostika in vitro</w:t>
      </w:r>
    </w:p>
    <w:p w:rsidR="003C2A86" w:rsidRPr="00602769" w:rsidRDefault="003C2A86" w:rsidP="003C2A86">
      <w:pPr>
        <w:autoSpaceDE w:val="0"/>
        <w:autoSpaceDN w:val="0"/>
        <w:adjustRightInd w:val="0"/>
        <w:spacing w:after="0" w:line="240" w:lineRule="auto"/>
        <w:ind w:left="2268" w:hanging="2268"/>
        <w:jc w:val="both"/>
        <w:rPr>
          <w:rFonts w:cs="TTE1965D00t00"/>
          <w:color w:val="000000"/>
        </w:rPr>
      </w:pPr>
    </w:p>
    <w:p w:rsidR="003C2A86" w:rsidRPr="00602769" w:rsidRDefault="003C2A86" w:rsidP="003C2A86">
      <w:pPr>
        <w:autoSpaceDE w:val="0"/>
        <w:autoSpaceDN w:val="0"/>
        <w:adjustRightInd w:val="0"/>
        <w:spacing w:after="0" w:line="240" w:lineRule="auto"/>
        <w:ind w:left="2268" w:hanging="2268"/>
        <w:jc w:val="both"/>
        <w:rPr>
          <w:rFonts w:cs="TTE1965D00t00"/>
          <w:color w:val="000000"/>
        </w:rPr>
      </w:pPr>
      <w:r w:rsidRPr="00602769">
        <w:rPr>
          <w:rFonts w:cs="TTE1965D00t00"/>
          <w:color w:val="000000"/>
          <w:lang w:eastAsia="cs-CZ"/>
        </w:rPr>
        <w:drawing>
          <wp:inline distT="0" distB="0" distL="0" distR="0" wp14:anchorId="63EA3E83" wp14:editId="2C6D2206">
            <wp:extent cx="563880" cy="445135"/>
            <wp:effectExtent l="0" t="0" r="762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880" cy="445135"/>
                    </a:xfrm>
                    <a:prstGeom prst="rect">
                      <a:avLst/>
                    </a:prstGeom>
                    <a:noFill/>
                    <a:ln>
                      <a:noFill/>
                    </a:ln>
                  </pic:spPr>
                </pic:pic>
              </a:graphicData>
            </a:graphic>
          </wp:inline>
        </w:drawing>
      </w:r>
      <w:r w:rsidRPr="00602769">
        <w:rPr>
          <w:rFonts w:cs="TTE1965D00t00"/>
          <w:color w:val="000000"/>
        </w:rPr>
        <w:tab/>
        <w:t>Autorizovaný zástupce v Evropském společenství</w:t>
      </w:r>
    </w:p>
    <w:p w:rsidR="003C2A86" w:rsidRPr="00602769" w:rsidRDefault="003C2A86" w:rsidP="003C2A86">
      <w:pPr>
        <w:autoSpaceDE w:val="0"/>
        <w:autoSpaceDN w:val="0"/>
        <w:adjustRightInd w:val="0"/>
        <w:spacing w:after="0" w:line="240" w:lineRule="auto"/>
        <w:ind w:left="2268" w:hanging="2268"/>
        <w:jc w:val="both"/>
        <w:rPr>
          <w:rFonts w:cs="TTE1965D00t00"/>
          <w:color w:val="000000"/>
        </w:rPr>
      </w:pPr>
    </w:p>
    <w:p w:rsidR="003C2A86" w:rsidRPr="00602769" w:rsidRDefault="003C2A86" w:rsidP="003C2A86">
      <w:pPr>
        <w:autoSpaceDE w:val="0"/>
        <w:autoSpaceDN w:val="0"/>
        <w:adjustRightInd w:val="0"/>
        <w:spacing w:after="0" w:line="240" w:lineRule="auto"/>
        <w:ind w:left="2268" w:hanging="2268"/>
        <w:jc w:val="both"/>
        <w:rPr>
          <w:rFonts w:cs="TTE1965D00t00"/>
          <w:color w:val="000000"/>
        </w:rPr>
      </w:pPr>
      <w:r w:rsidRPr="00602769">
        <w:rPr>
          <w:rFonts w:cs="TTE1965D00t00"/>
          <w:color w:val="000000"/>
          <w:lang w:eastAsia="cs-CZ"/>
        </w:rPr>
        <w:drawing>
          <wp:inline distT="0" distB="0" distL="0" distR="0" wp14:anchorId="71BF1260" wp14:editId="4A30D0AE">
            <wp:extent cx="754380" cy="379730"/>
            <wp:effectExtent l="0" t="0" r="7620" b="127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4380" cy="379730"/>
                    </a:xfrm>
                    <a:prstGeom prst="rect">
                      <a:avLst/>
                    </a:prstGeom>
                    <a:noFill/>
                    <a:ln>
                      <a:noFill/>
                    </a:ln>
                  </pic:spPr>
                </pic:pic>
              </a:graphicData>
            </a:graphic>
          </wp:inline>
        </w:drawing>
      </w:r>
      <w:r w:rsidRPr="00602769">
        <w:rPr>
          <w:rFonts w:cs="TTE1965D00t00"/>
          <w:color w:val="000000"/>
        </w:rPr>
        <w:tab/>
        <w:t>Pozitivní kontrolní vzorek</w:t>
      </w:r>
    </w:p>
    <w:p w:rsidR="003C2A86" w:rsidRPr="00602769" w:rsidRDefault="003C2A86" w:rsidP="003C2A86">
      <w:pPr>
        <w:autoSpaceDE w:val="0"/>
        <w:autoSpaceDN w:val="0"/>
        <w:adjustRightInd w:val="0"/>
        <w:spacing w:after="0" w:line="240" w:lineRule="auto"/>
        <w:ind w:left="2268" w:hanging="2268"/>
        <w:jc w:val="both"/>
        <w:rPr>
          <w:rFonts w:cs="TTE1965D00t00"/>
          <w:color w:val="000000"/>
        </w:rPr>
      </w:pPr>
    </w:p>
    <w:p w:rsidR="003C2A86" w:rsidRPr="00602769" w:rsidRDefault="003C2A86" w:rsidP="003C2A86">
      <w:pPr>
        <w:autoSpaceDE w:val="0"/>
        <w:autoSpaceDN w:val="0"/>
        <w:adjustRightInd w:val="0"/>
        <w:spacing w:after="0" w:line="240" w:lineRule="auto"/>
        <w:ind w:left="2268" w:hanging="2268"/>
        <w:jc w:val="both"/>
        <w:rPr>
          <w:rFonts w:cs="TTE1965D00t00"/>
          <w:color w:val="000000"/>
        </w:rPr>
      </w:pPr>
      <w:r w:rsidRPr="00602769">
        <w:rPr>
          <w:rFonts w:cs="TTE1965D00t00"/>
          <w:color w:val="000000"/>
          <w:lang w:eastAsia="cs-CZ"/>
        </w:rPr>
        <w:drawing>
          <wp:inline distT="0" distB="0" distL="0" distR="0" wp14:anchorId="4DC27AF4" wp14:editId="38F3B104">
            <wp:extent cx="789940" cy="297180"/>
            <wp:effectExtent l="0" t="0" r="0" b="762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89940" cy="297180"/>
                    </a:xfrm>
                    <a:prstGeom prst="rect">
                      <a:avLst/>
                    </a:prstGeom>
                    <a:noFill/>
                    <a:ln>
                      <a:noFill/>
                    </a:ln>
                  </pic:spPr>
                </pic:pic>
              </a:graphicData>
            </a:graphic>
          </wp:inline>
        </w:drawing>
      </w:r>
      <w:r w:rsidRPr="00602769">
        <w:rPr>
          <w:rFonts w:cs="TTE1965D00t00"/>
          <w:color w:val="000000"/>
        </w:rPr>
        <w:tab/>
        <w:t>Negativní kontrolní vzorek</w:t>
      </w:r>
    </w:p>
    <w:p w:rsidR="003C2A86" w:rsidRPr="00602769" w:rsidRDefault="003C2A86" w:rsidP="003C2A86">
      <w:pPr>
        <w:autoSpaceDE w:val="0"/>
        <w:autoSpaceDN w:val="0"/>
        <w:adjustRightInd w:val="0"/>
        <w:spacing w:after="0" w:line="240" w:lineRule="auto"/>
        <w:ind w:left="2268" w:hanging="2268"/>
        <w:jc w:val="both"/>
        <w:rPr>
          <w:rFonts w:cs="TTE1965D00t00"/>
          <w:color w:val="000000"/>
        </w:rPr>
      </w:pPr>
    </w:p>
    <w:p w:rsidR="003C2A86" w:rsidRPr="00602769" w:rsidRDefault="003C2A86" w:rsidP="003C2A86">
      <w:pPr>
        <w:autoSpaceDE w:val="0"/>
        <w:autoSpaceDN w:val="0"/>
        <w:adjustRightInd w:val="0"/>
        <w:spacing w:after="0" w:line="240" w:lineRule="auto"/>
        <w:ind w:left="2268" w:hanging="2268"/>
        <w:jc w:val="both"/>
        <w:rPr>
          <w:rFonts w:cs="TTE1965D00t00"/>
          <w:color w:val="000000"/>
        </w:rPr>
      </w:pPr>
      <w:r w:rsidRPr="00602769">
        <w:rPr>
          <w:rFonts w:cs="TTE1965D00t00"/>
          <w:color w:val="000000"/>
          <w:lang w:eastAsia="cs-CZ"/>
        </w:rPr>
        <w:drawing>
          <wp:inline distT="0" distB="0" distL="0" distR="0" wp14:anchorId="77DAC024" wp14:editId="1E0A0F2E">
            <wp:extent cx="445135" cy="581660"/>
            <wp:effectExtent l="0" t="0" r="0" b="889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5135" cy="581660"/>
                    </a:xfrm>
                    <a:prstGeom prst="rect">
                      <a:avLst/>
                    </a:prstGeom>
                    <a:noFill/>
                    <a:ln>
                      <a:noFill/>
                    </a:ln>
                  </pic:spPr>
                </pic:pic>
              </a:graphicData>
            </a:graphic>
          </wp:inline>
        </w:drawing>
      </w:r>
      <w:r w:rsidRPr="00602769">
        <w:rPr>
          <w:rFonts w:cs="TTE1965D00t00"/>
          <w:color w:val="000000"/>
        </w:rPr>
        <w:tab/>
        <w:t>Použijte do</w:t>
      </w:r>
    </w:p>
    <w:p w:rsidR="003C2A86" w:rsidRPr="00602769" w:rsidRDefault="003C2A86" w:rsidP="003C2A86">
      <w:pPr>
        <w:autoSpaceDE w:val="0"/>
        <w:autoSpaceDN w:val="0"/>
        <w:adjustRightInd w:val="0"/>
        <w:spacing w:after="0" w:line="240" w:lineRule="auto"/>
        <w:ind w:left="2268" w:hanging="2268"/>
        <w:jc w:val="both"/>
        <w:rPr>
          <w:rFonts w:cs="TTE1965D00t00"/>
          <w:color w:val="000000"/>
        </w:rPr>
      </w:pPr>
    </w:p>
    <w:p w:rsidR="003C2A86" w:rsidRPr="00602769" w:rsidRDefault="003C2A86" w:rsidP="003C2A86">
      <w:pPr>
        <w:autoSpaceDE w:val="0"/>
        <w:autoSpaceDN w:val="0"/>
        <w:adjustRightInd w:val="0"/>
        <w:spacing w:after="0" w:line="240" w:lineRule="auto"/>
        <w:ind w:left="2268" w:hanging="2268"/>
        <w:jc w:val="both"/>
        <w:rPr>
          <w:rFonts w:cs="TTE1965D00t00"/>
          <w:color w:val="000000"/>
        </w:rPr>
      </w:pPr>
      <w:r w:rsidRPr="00602769">
        <w:rPr>
          <w:rFonts w:cs="TTE1965D00t00"/>
          <w:color w:val="000000"/>
          <w:lang w:eastAsia="cs-CZ"/>
        </w:rPr>
        <w:drawing>
          <wp:inline distT="0" distB="0" distL="0" distR="0" wp14:anchorId="02F512FC" wp14:editId="0EE5F4AA">
            <wp:extent cx="487045" cy="487045"/>
            <wp:effectExtent l="0" t="0" r="8255" b="825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7045" cy="487045"/>
                    </a:xfrm>
                    <a:prstGeom prst="rect">
                      <a:avLst/>
                    </a:prstGeom>
                    <a:noFill/>
                    <a:ln>
                      <a:noFill/>
                    </a:ln>
                  </pic:spPr>
                </pic:pic>
              </a:graphicData>
            </a:graphic>
          </wp:inline>
        </w:drawing>
      </w:r>
      <w:r w:rsidRPr="00602769">
        <w:rPr>
          <w:rFonts w:cs="TTE1965D00t00"/>
          <w:color w:val="000000"/>
        </w:rPr>
        <w:tab/>
        <w:t>Datum výroby</w:t>
      </w:r>
    </w:p>
    <w:p w:rsidR="003C2A86" w:rsidRPr="00602769" w:rsidRDefault="003C2A86" w:rsidP="003C2A86">
      <w:pPr>
        <w:autoSpaceDE w:val="0"/>
        <w:autoSpaceDN w:val="0"/>
        <w:adjustRightInd w:val="0"/>
        <w:spacing w:after="0" w:line="240" w:lineRule="auto"/>
        <w:ind w:left="2268" w:hanging="2268"/>
        <w:jc w:val="both"/>
        <w:rPr>
          <w:rFonts w:cs="TTE1965D00t00"/>
          <w:color w:val="000000"/>
        </w:rPr>
      </w:pPr>
    </w:p>
    <w:p w:rsidR="003C2A86" w:rsidRPr="00602769" w:rsidRDefault="003C2A86" w:rsidP="003C2A86">
      <w:pPr>
        <w:autoSpaceDE w:val="0"/>
        <w:autoSpaceDN w:val="0"/>
        <w:adjustRightInd w:val="0"/>
        <w:spacing w:after="0" w:line="240" w:lineRule="auto"/>
        <w:ind w:left="2268" w:hanging="2268"/>
        <w:jc w:val="both"/>
        <w:rPr>
          <w:rFonts w:cs="TTE1965D00t00"/>
          <w:color w:val="000000"/>
        </w:rPr>
      </w:pPr>
      <w:r w:rsidRPr="00602769">
        <w:rPr>
          <w:rFonts w:cs="TTE1965D00t00"/>
          <w:color w:val="000000"/>
          <w:lang w:eastAsia="cs-CZ"/>
        </w:rPr>
        <w:lastRenderedPageBreak/>
        <w:drawing>
          <wp:inline distT="0" distB="0" distL="0" distR="0" wp14:anchorId="26E7CA32" wp14:editId="25449FA1">
            <wp:extent cx="487045" cy="611505"/>
            <wp:effectExtent l="0" t="0" r="8255"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7045" cy="611505"/>
                    </a:xfrm>
                    <a:prstGeom prst="rect">
                      <a:avLst/>
                    </a:prstGeom>
                    <a:noFill/>
                    <a:ln>
                      <a:noFill/>
                    </a:ln>
                  </pic:spPr>
                </pic:pic>
              </a:graphicData>
            </a:graphic>
          </wp:inline>
        </w:drawing>
      </w:r>
      <w:r w:rsidRPr="00602769">
        <w:rPr>
          <w:rFonts w:cs="TTE1965D00t00"/>
          <w:color w:val="000000"/>
        </w:rPr>
        <w:tab/>
        <w:t>Výrobce</w:t>
      </w:r>
    </w:p>
    <w:p w:rsidR="003C2A86" w:rsidRPr="00602769" w:rsidRDefault="003C2A86" w:rsidP="003C2A86">
      <w:pPr>
        <w:autoSpaceDE w:val="0"/>
        <w:autoSpaceDN w:val="0"/>
        <w:adjustRightInd w:val="0"/>
        <w:spacing w:after="0" w:line="240" w:lineRule="auto"/>
        <w:ind w:left="2268" w:hanging="2268"/>
        <w:jc w:val="both"/>
        <w:rPr>
          <w:rFonts w:cs="TTE1965D00t00"/>
          <w:color w:val="000000"/>
        </w:rPr>
      </w:pPr>
    </w:p>
    <w:p w:rsidR="003C2A86" w:rsidRPr="00602769" w:rsidRDefault="003C2A86" w:rsidP="003C2A86">
      <w:pPr>
        <w:autoSpaceDE w:val="0"/>
        <w:autoSpaceDN w:val="0"/>
        <w:adjustRightInd w:val="0"/>
        <w:spacing w:after="0" w:line="240" w:lineRule="auto"/>
        <w:ind w:left="2268" w:hanging="2268"/>
        <w:jc w:val="both"/>
        <w:rPr>
          <w:rFonts w:cs="TTE1965D00t00"/>
          <w:color w:val="000000"/>
        </w:rPr>
      </w:pPr>
      <w:r w:rsidRPr="00602769">
        <w:rPr>
          <w:rFonts w:cs="TTE1965D00t00"/>
          <w:color w:val="000000"/>
          <w:lang w:eastAsia="cs-CZ"/>
        </w:rPr>
        <w:drawing>
          <wp:inline distT="0" distB="0" distL="0" distR="0" wp14:anchorId="54ACB78F" wp14:editId="010ABB26">
            <wp:extent cx="445135" cy="647065"/>
            <wp:effectExtent l="0" t="0" r="0" b="63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5135" cy="647065"/>
                    </a:xfrm>
                    <a:prstGeom prst="rect">
                      <a:avLst/>
                    </a:prstGeom>
                    <a:noFill/>
                    <a:ln>
                      <a:noFill/>
                    </a:ln>
                  </pic:spPr>
                </pic:pic>
              </a:graphicData>
            </a:graphic>
          </wp:inline>
        </w:drawing>
      </w:r>
      <w:r w:rsidRPr="00602769">
        <w:rPr>
          <w:rFonts w:cs="TTE1965D00t00"/>
          <w:color w:val="000000"/>
        </w:rPr>
        <w:tab/>
        <w:t>Teplotní omezení</w:t>
      </w:r>
    </w:p>
    <w:p w:rsidR="003C2A86" w:rsidRPr="00602769" w:rsidRDefault="003C2A86" w:rsidP="003C2A86">
      <w:pPr>
        <w:autoSpaceDE w:val="0"/>
        <w:autoSpaceDN w:val="0"/>
        <w:adjustRightInd w:val="0"/>
        <w:spacing w:after="0" w:line="240" w:lineRule="auto"/>
        <w:ind w:left="2268" w:hanging="2268"/>
        <w:jc w:val="both"/>
        <w:rPr>
          <w:rFonts w:cs="TTE1965D00t00"/>
          <w:color w:val="000000"/>
        </w:rPr>
      </w:pPr>
    </w:p>
    <w:p w:rsidR="003C2A86" w:rsidRPr="00602769" w:rsidRDefault="003C2A86" w:rsidP="003C2A86">
      <w:pPr>
        <w:autoSpaceDE w:val="0"/>
        <w:autoSpaceDN w:val="0"/>
        <w:adjustRightInd w:val="0"/>
        <w:spacing w:after="0" w:line="240" w:lineRule="auto"/>
        <w:ind w:left="2268" w:hanging="2268"/>
        <w:jc w:val="both"/>
        <w:rPr>
          <w:rFonts w:cs="TTE1965D00t00"/>
          <w:color w:val="000000"/>
        </w:rPr>
      </w:pPr>
      <w:r w:rsidRPr="00602769">
        <w:rPr>
          <w:rFonts w:cs="TTE1965D00t00"/>
          <w:color w:val="000000"/>
          <w:lang w:eastAsia="cs-CZ"/>
        </w:rPr>
        <w:drawing>
          <wp:inline distT="0" distB="0" distL="0" distR="0" wp14:anchorId="13BA5E40" wp14:editId="6FBE6EA0">
            <wp:extent cx="599440" cy="647065"/>
            <wp:effectExtent l="0" t="0" r="0" b="635"/>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9440" cy="647065"/>
                    </a:xfrm>
                    <a:prstGeom prst="rect">
                      <a:avLst/>
                    </a:prstGeom>
                    <a:noFill/>
                    <a:ln>
                      <a:noFill/>
                    </a:ln>
                  </pic:spPr>
                </pic:pic>
              </a:graphicData>
            </a:graphic>
          </wp:inline>
        </w:drawing>
      </w:r>
      <w:r w:rsidRPr="00602769">
        <w:rPr>
          <w:rFonts w:cs="TTE1965D00t00"/>
          <w:color w:val="000000"/>
        </w:rPr>
        <w:tab/>
        <w:t>Čtěte návod na použití</w:t>
      </w:r>
    </w:p>
    <w:p w:rsidR="003C2A86" w:rsidRPr="00602769" w:rsidRDefault="003C2A86" w:rsidP="003C2A86">
      <w:pPr>
        <w:autoSpaceDE w:val="0"/>
        <w:autoSpaceDN w:val="0"/>
        <w:adjustRightInd w:val="0"/>
        <w:spacing w:after="0" w:line="240" w:lineRule="auto"/>
        <w:ind w:left="2268" w:hanging="2268"/>
        <w:jc w:val="both"/>
        <w:rPr>
          <w:rFonts w:cs="TTE1965D00t00"/>
          <w:color w:val="000000"/>
        </w:rPr>
      </w:pPr>
    </w:p>
    <w:p w:rsidR="003C2A86" w:rsidRPr="00602769" w:rsidRDefault="003C2A86" w:rsidP="003C2A86">
      <w:pPr>
        <w:spacing w:after="0"/>
        <w:rPr>
          <w:i/>
        </w:rPr>
      </w:pPr>
      <w:r w:rsidRPr="00602769">
        <w:rPr>
          <w:rFonts w:cs="Swiss721BT-Bold"/>
          <w:b/>
          <w:bCs/>
          <w:color w:val="000000"/>
          <w:sz w:val="24"/>
          <w:szCs w:val="24"/>
          <w:lang w:eastAsia="cs-CZ"/>
        </w:rPr>
        <w:drawing>
          <wp:inline distT="0" distB="0" distL="0" distR="0" wp14:anchorId="77A6F05D" wp14:editId="5A600829">
            <wp:extent cx="332740" cy="302895"/>
            <wp:effectExtent l="0" t="0" r="0" b="1905"/>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2740" cy="302895"/>
                    </a:xfrm>
                    <a:prstGeom prst="rect">
                      <a:avLst/>
                    </a:prstGeom>
                    <a:noFill/>
                    <a:ln>
                      <a:noFill/>
                    </a:ln>
                  </pic:spPr>
                </pic:pic>
              </a:graphicData>
            </a:graphic>
          </wp:inline>
        </w:drawing>
      </w:r>
      <w:r w:rsidRPr="00602769">
        <w:rPr>
          <w:rFonts w:cs="Swiss721BT-Bold"/>
          <w:b/>
          <w:bCs/>
          <w:color w:val="000000"/>
          <w:sz w:val="24"/>
          <w:szCs w:val="24"/>
        </w:rPr>
        <w:t xml:space="preserve"> </w:t>
      </w:r>
      <w:r w:rsidRPr="00602769">
        <w:rPr>
          <w:rFonts w:cs="Swiss721BT-Bold"/>
          <w:bCs/>
          <w:color w:val="000000"/>
          <w:sz w:val="24"/>
          <w:szCs w:val="24"/>
        </w:rPr>
        <w:t xml:space="preserve"> </w:t>
      </w:r>
      <w:r w:rsidRPr="00602769">
        <w:rPr>
          <w:rFonts w:cs="Swiss721BT-Bold"/>
          <w:bCs/>
          <w:color w:val="000000"/>
          <w:sz w:val="24"/>
          <w:szCs w:val="24"/>
        </w:rPr>
        <w:tab/>
      </w:r>
      <w:r w:rsidRPr="00602769">
        <w:rPr>
          <w:rFonts w:cs="Swiss721BT-Bold"/>
          <w:bCs/>
          <w:color w:val="000000"/>
          <w:sz w:val="24"/>
          <w:szCs w:val="24"/>
        </w:rPr>
        <w:tab/>
      </w:r>
      <w:r w:rsidRPr="00602769">
        <w:rPr>
          <w:rFonts w:cs="Swiss721BT-Bold"/>
          <w:bCs/>
          <w:color w:val="000000"/>
          <w:sz w:val="24"/>
          <w:szCs w:val="24"/>
        </w:rPr>
        <w:tab/>
      </w:r>
      <w:r w:rsidRPr="00602769">
        <w:rPr>
          <w:rFonts w:cs="Swiss721BT-Bold"/>
          <w:bCs/>
          <w:color w:val="000000"/>
        </w:rPr>
        <w:t>Větší změna v návodu na použití</w:t>
      </w:r>
    </w:p>
    <w:p w:rsidR="003C2A86" w:rsidRPr="00602769" w:rsidRDefault="003C2A86" w:rsidP="003C2A86">
      <w:pPr>
        <w:spacing w:after="0"/>
      </w:pPr>
    </w:p>
    <w:p w:rsidR="003C2A86" w:rsidRPr="00602769" w:rsidRDefault="003C2A86" w:rsidP="003C2A86"/>
    <w:p w:rsidR="00D42740" w:rsidRPr="00602769" w:rsidRDefault="00D42740" w:rsidP="00D42740">
      <w:pPr>
        <w:spacing w:after="0"/>
      </w:pPr>
    </w:p>
    <w:p w:rsidR="00D42740" w:rsidRPr="00602769" w:rsidRDefault="00D42740" w:rsidP="003C2A86">
      <w:pPr>
        <w:spacing w:after="0"/>
        <w:jc w:val="right"/>
      </w:pPr>
      <w:r w:rsidRPr="00602769">
        <w:t>IDEXX Laboratories, Inc.</w:t>
      </w:r>
    </w:p>
    <w:p w:rsidR="00D42740" w:rsidRPr="00602769" w:rsidRDefault="00D42740" w:rsidP="003C2A86">
      <w:pPr>
        <w:spacing w:after="0"/>
        <w:jc w:val="right"/>
      </w:pPr>
      <w:r w:rsidRPr="00602769">
        <w:t>One IDEXX Drive</w:t>
      </w:r>
    </w:p>
    <w:p w:rsidR="00D42740" w:rsidRPr="00602769" w:rsidRDefault="00D42740" w:rsidP="003C2A86">
      <w:pPr>
        <w:spacing w:after="0"/>
        <w:jc w:val="right"/>
      </w:pPr>
      <w:r w:rsidRPr="00602769">
        <w:t>Westbrook, Maine 04092</w:t>
      </w:r>
    </w:p>
    <w:p w:rsidR="00D42740" w:rsidRPr="00602769" w:rsidRDefault="00D42740" w:rsidP="003C2A86">
      <w:pPr>
        <w:spacing w:after="0"/>
        <w:jc w:val="right"/>
      </w:pPr>
      <w:r w:rsidRPr="00602769">
        <w:t>USA</w:t>
      </w:r>
    </w:p>
    <w:p w:rsidR="00D42740" w:rsidRPr="00602769" w:rsidRDefault="00D42740" w:rsidP="003C2A86">
      <w:pPr>
        <w:spacing w:after="0"/>
        <w:jc w:val="right"/>
      </w:pPr>
    </w:p>
    <w:p w:rsidR="00D42740" w:rsidRPr="00602769" w:rsidRDefault="00D42740" w:rsidP="003C2A86">
      <w:pPr>
        <w:spacing w:after="0"/>
        <w:jc w:val="right"/>
        <w:rPr>
          <w:i/>
        </w:rPr>
      </w:pPr>
      <w:r w:rsidRPr="00602769">
        <w:rPr>
          <w:i/>
        </w:rPr>
        <w:t>Výrobce</w:t>
      </w:r>
    </w:p>
    <w:p w:rsidR="00D42740" w:rsidRPr="00602769" w:rsidRDefault="00D42740" w:rsidP="003C2A86">
      <w:pPr>
        <w:spacing w:after="0"/>
        <w:jc w:val="right"/>
      </w:pPr>
      <w:r w:rsidRPr="00602769">
        <w:t>IDEXX Montpellier SAS</w:t>
      </w:r>
    </w:p>
    <w:p w:rsidR="00D42740" w:rsidRPr="00602769" w:rsidRDefault="00D42740" w:rsidP="003C2A86">
      <w:pPr>
        <w:spacing w:after="0"/>
        <w:jc w:val="right"/>
      </w:pPr>
      <w:r w:rsidRPr="00602769">
        <w:t>326 rue de la Galéra</w:t>
      </w:r>
    </w:p>
    <w:p w:rsidR="00D42740" w:rsidRPr="00602769" w:rsidRDefault="00D42740" w:rsidP="003C2A86">
      <w:pPr>
        <w:spacing w:after="0"/>
        <w:jc w:val="right"/>
      </w:pPr>
      <w:r w:rsidRPr="00602769">
        <w:t>34090 Montpellier</w:t>
      </w:r>
    </w:p>
    <w:p w:rsidR="00D42740" w:rsidRPr="00602769" w:rsidRDefault="00D42740" w:rsidP="003C2A86">
      <w:pPr>
        <w:spacing w:after="0"/>
        <w:jc w:val="right"/>
      </w:pPr>
      <w:r w:rsidRPr="00602769">
        <w:t>Francie</w:t>
      </w:r>
    </w:p>
    <w:p w:rsidR="00D42740" w:rsidRPr="00602769" w:rsidRDefault="00D42740" w:rsidP="003C2A86">
      <w:pPr>
        <w:spacing w:after="0"/>
        <w:jc w:val="right"/>
      </w:pPr>
    </w:p>
    <w:p w:rsidR="00D42740" w:rsidRPr="00602769" w:rsidRDefault="00D42740" w:rsidP="003C2A86">
      <w:pPr>
        <w:spacing w:after="0"/>
        <w:jc w:val="right"/>
        <w:rPr>
          <w:i/>
        </w:rPr>
      </w:pPr>
      <w:r w:rsidRPr="00602769">
        <w:rPr>
          <w:i/>
        </w:rPr>
        <w:t>Zástupce pro EU</w:t>
      </w:r>
    </w:p>
    <w:p w:rsidR="00D42740" w:rsidRPr="00602769" w:rsidRDefault="00D42740" w:rsidP="003C2A86">
      <w:pPr>
        <w:spacing w:after="0"/>
        <w:jc w:val="right"/>
      </w:pPr>
      <w:r w:rsidRPr="00602769">
        <w:t>IDEXX Europe B.V.</w:t>
      </w:r>
    </w:p>
    <w:p w:rsidR="00D42740" w:rsidRPr="00602769" w:rsidRDefault="00D42740" w:rsidP="003C2A86">
      <w:pPr>
        <w:spacing w:after="0"/>
        <w:jc w:val="right"/>
      </w:pPr>
      <w:r w:rsidRPr="00602769">
        <w:t>P.O. Box 1334</w:t>
      </w:r>
    </w:p>
    <w:p w:rsidR="00D42740" w:rsidRPr="00602769" w:rsidRDefault="00D42740" w:rsidP="003C2A86">
      <w:pPr>
        <w:spacing w:after="0"/>
        <w:jc w:val="right"/>
      </w:pPr>
      <w:r w:rsidRPr="00602769">
        <w:t>2130 EK Hoofddorp</w:t>
      </w:r>
    </w:p>
    <w:p w:rsidR="00D42740" w:rsidRPr="00602769" w:rsidRDefault="00D42740" w:rsidP="003C2A86">
      <w:pPr>
        <w:spacing w:after="0"/>
        <w:jc w:val="right"/>
      </w:pPr>
      <w:r w:rsidRPr="00602769">
        <w:t>Nizozemsko</w:t>
      </w:r>
    </w:p>
    <w:p w:rsidR="003C2A86" w:rsidRPr="00602769" w:rsidRDefault="003C2A86" w:rsidP="003C2A86">
      <w:pPr>
        <w:spacing w:after="0"/>
        <w:jc w:val="right"/>
      </w:pPr>
      <w:r w:rsidRPr="00602769">
        <w:t>idexx.com</w:t>
      </w:r>
    </w:p>
    <w:p w:rsidR="003C2A86" w:rsidRPr="00602769" w:rsidRDefault="003C2A86" w:rsidP="003C2A86">
      <w:pPr>
        <w:spacing w:after="0"/>
        <w:jc w:val="right"/>
      </w:pPr>
      <w:r w:rsidRPr="00602769">
        <w:t>IDEXX</w:t>
      </w:r>
    </w:p>
    <w:p w:rsidR="00E2488D" w:rsidRPr="00602769" w:rsidRDefault="00E2488D" w:rsidP="00DD76D0"/>
    <w:p w:rsidR="00CB4B7B" w:rsidRDefault="00CB4B7B">
      <w:r>
        <w:br w:type="page"/>
      </w:r>
    </w:p>
    <w:p w:rsidR="00E2488D" w:rsidRPr="00602769" w:rsidRDefault="00E2488D" w:rsidP="00DD76D0"/>
    <w:p w:rsidR="00DD76D0" w:rsidRPr="00602769" w:rsidRDefault="00DD76D0" w:rsidP="00DD76D0">
      <w:r w:rsidRPr="00602769">
        <w:t xml:space="preserve">IDEXX </w:t>
      </w:r>
      <w:r w:rsidRPr="00602769">
        <w:rPr>
          <w:b/>
        </w:rPr>
        <w:t>Paratuberculosis Verification</w:t>
      </w:r>
      <w:r w:rsidRPr="00602769">
        <w:rPr>
          <w:b/>
        </w:rPr>
        <w:tab/>
      </w:r>
      <w:r w:rsidRPr="00602769">
        <w:rPr>
          <w:b/>
        </w:rPr>
        <w:tab/>
      </w:r>
      <w:r w:rsidRPr="00602769">
        <w:rPr>
          <w:b/>
        </w:rPr>
        <w:tab/>
      </w:r>
      <w:r w:rsidRPr="00602769">
        <w:rPr>
          <w:b/>
        </w:rPr>
        <w:tab/>
      </w:r>
      <w:r w:rsidRPr="00602769">
        <w:rPr>
          <w:b/>
        </w:rPr>
        <w:tab/>
      </w:r>
      <w:r w:rsidRPr="00602769">
        <w:rPr>
          <w:b/>
        </w:rPr>
        <w:tab/>
      </w:r>
      <w:r w:rsidRPr="00602769">
        <w:rPr>
          <w:b/>
        </w:rPr>
        <w:tab/>
        <w:t xml:space="preserve">     </w:t>
      </w:r>
      <w:r w:rsidRPr="00602769">
        <w:t>česká verze</w:t>
      </w:r>
    </w:p>
    <w:p w:rsidR="00DD76D0" w:rsidRPr="00602769" w:rsidRDefault="00DD76D0" w:rsidP="00DD76D0">
      <w:pPr>
        <w:jc w:val="right"/>
        <w:rPr>
          <w:b/>
          <w:i/>
        </w:rPr>
      </w:pPr>
      <w:r w:rsidRPr="00602769">
        <w:rPr>
          <w:b/>
        </w:rPr>
        <w:t xml:space="preserve">Testovací sada na průkaz protilátek proti </w:t>
      </w:r>
      <w:r w:rsidRPr="00602769">
        <w:rPr>
          <w:b/>
          <w:i/>
        </w:rPr>
        <w:t>Mycobacterium paratuberculosis</w:t>
      </w:r>
    </w:p>
    <w:p w:rsidR="00DD76D0" w:rsidRPr="00602769" w:rsidRDefault="00DD76D0" w:rsidP="00DD76D0">
      <w:pPr>
        <w:jc w:val="right"/>
        <w:rPr>
          <w:b/>
        </w:rPr>
      </w:pPr>
      <w:r w:rsidRPr="00602769">
        <w:rPr>
          <w:b/>
        </w:rPr>
        <w:t>Pouze k veterinárnímu užití</w:t>
      </w:r>
    </w:p>
    <w:p w:rsidR="00DD76D0" w:rsidRPr="00602769" w:rsidRDefault="00DD76D0" w:rsidP="00DD76D0">
      <w:pPr>
        <w:rPr>
          <w:b/>
        </w:rPr>
      </w:pPr>
      <w:r w:rsidRPr="00602769">
        <w:rPr>
          <w:b/>
        </w:rPr>
        <w:t>Název a zamýšlené užití</w:t>
      </w:r>
    </w:p>
    <w:p w:rsidR="00DD76D0" w:rsidRPr="00602769" w:rsidRDefault="00DD76D0" w:rsidP="00DD76D0">
      <w:r w:rsidRPr="00602769">
        <w:t xml:space="preserve">IDEXX Paratuberculosis Verification je enzymatický imunologický test firmy IDEXX určený k detekci protilátek proti </w:t>
      </w:r>
      <w:r w:rsidRPr="00602769">
        <w:rPr>
          <w:i/>
        </w:rPr>
        <w:t xml:space="preserve">Mycobacterium avium </w:t>
      </w:r>
      <w:r w:rsidRPr="00602769">
        <w:t>spp</w:t>
      </w:r>
      <w:r w:rsidR="00D4024C" w:rsidRPr="00602769">
        <w:t>.</w:t>
      </w:r>
      <w:r w:rsidRPr="00602769">
        <w:rPr>
          <w:i/>
        </w:rPr>
        <w:t xml:space="preserve"> paratuberculosis </w:t>
      </w:r>
      <w:r w:rsidRPr="00602769">
        <w:t xml:space="preserve">(MAP) v individuálních vzorcích kravského séra, plazmy a mléka, a v individuálních vzorcích séra a plazmy malých přežvýkavců. </w:t>
      </w:r>
    </w:p>
    <w:p w:rsidR="00DD76D0" w:rsidRPr="00602769" w:rsidRDefault="00DD76D0" w:rsidP="00DD76D0">
      <w:pPr>
        <w:rPr>
          <w:b/>
        </w:rPr>
      </w:pPr>
      <w:r w:rsidRPr="00602769">
        <w:rPr>
          <w:b/>
        </w:rPr>
        <w:t>Obecné informace</w:t>
      </w:r>
    </w:p>
    <w:p w:rsidR="00DD76D0" w:rsidRPr="00602769" w:rsidRDefault="00DD76D0" w:rsidP="00DD76D0">
      <w:r w:rsidRPr="00602769">
        <w:t xml:space="preserve">Paratuberkulóza, nebo též Johnova nemoc, je chronická enteritida přežvýkavců, jejímiž hlavními příznaky jsou hojný průjem a hubnutí. Zvířata se obvykle nakazí v prvním roce života pozřením potravy kontaminované výkaly jiných infikovaných zvířat. Jelikož inkubační doba může trvat mnoho měsíců až několik let, onemocnění se často klinicky manifestuje až poté, co zvíře dospěje. Neexistuje žádná účinná léčba a infikované zvíře na onemocnění nakonec umírá. Metoda popsaná v návodu této sady je velmi podobná metodě popsané v doporučení 5b/009 (Příručka doporučených diagnostických metod a nároků na biologické produkty, díl III – Paratuberkulóza 5b/009, Paříž: Světová organizace pro zdraví zvířat, 1989-91). Antigen nanesený na dně jamek je protoplazmatickým extraktem </w:t>
      </w:r>
      <w:r w:rsidRPr="00602769">
        <w:rPr>
          <w:i/>
        </w:rPr>
        <w:t>Mycobacterium paratuberculosis</w:t>
      </w:r>
      <w:r w:rsidRPr="00602769">
        <w:t xml:space="preserve">. Vzorky se nejprve inkubují s extraktem </w:t>
      </w:r>
      <w:r w:rsidRPr="00602769">
        <w:rPr>
          <w:i/>
        </w:rPr>
        <w:t>Mycobacterium phlei</w:t>
      </w:r>
      <w:r w:rsidRPr="00602769">
        <w:t xml:space="preserve"> pro</w:t>
      </w:r>
      <w:r w:rsidR="00602769">
        <w:t> </w:t>
      </w:r>
      <w:r w:rsidRPr="00602769">
        <w:t xml:space="preserve">neutralizaci případné zkřížené reakce s atypickými mykobakteriemi. </w:t>
      </w:r>
    </w:p>
    <w:p w:rsidR="00DD76D0" w:rsidRPr="00602769" w:rsidRDefault="00DD76D0" w:rsidP="00DD76D0">
      <w:pPr>
        <w:rPr>
          <w:b/>
        </w:rPr>
      </w:pPr>
      <w:r w:rsidRPr="00602769">
        <w:rPr>
          <w:b/>
        </w:rPr>
        <w:t>Popis a principy</w:t>
      </w:r>
    </w:p>
    <w:p w:rsidR="00DD76D0" w:rsidRPr="00602769" w:rsidRDefault="00DD76D0" w:rsidP="00DD76D0">
      <w:r w:rsidRPr="00602769">
        <w:t xml:space="preserve">Mikrodestičky jsou potaženy střídavě kontrolním antigenem (-Ag) a antigenem MAP (+Ag). Vzorky určené k testování se předinkubují s extraktem </w:t>
      </w:r>
      <w:r w:rsidRPr="00602769">
        <w:rPr>
          <w:i/>
        </w:rPr>
        <w:t>Mycobacterium phlei</w:t>
      </w:r>
      <w:r w:rsidRPr="00602769">
        <w:t xml:space="preserve"> pro navázání nespecifických protilátek. Následně se vzorky přenesou do jamek potažených mikrodestiček, kde se inkubují. V průběhu inkubace testovaných vzorků se specifické protilátky proti MAP navážou na antigen v +Ag jamkách a vytváří na povrchu jamek imunokomplexy antigen-protilátka. Po vymytí nenavázaného materiálu se přidá anti-ruminantní konjugát enzymu a protilátky, který se naváže na imunokomplex antigenu a protilátky. Nenavázaný konjugát se vymyje a přidá se enzymový substrát (TMB). V přítomnosti enzymu je substrát oxidován a vzniká modrá sloučenina, která po blokování zežloutne. Následný rozvoj zbarvení je přímo úměrný množství protilátky proti MAP v testovaném vzorku. Netto extinkce (NE) reprezentuje množství navázaných specifických protilátek. NE se získá odečtením hodnoty optické hustoty vznikající v -Ag jamkách od hodnoty optické hustoty vznikající v +Ag jamkách, do nichž byl přidán stejný vzorek (kontrolní a testovaný). Výsledek se získá porovnáním NE vzorku s průměrem NE pozitivní kontroly.</w:t>
      </w:r>
    </w:p>
    <w:p w:rsidR="00DD76D0" w:rsidRPr="00602769" w:rsidRDefault="00DD76D0" w:rsidP="00DD76D0">
      <w:pPr>
        <w:tabs>
          <w:tab w:val="left" w:pos="7515"/>
        </w:tabs>
      </w:pPr>
      <w:r w:rsidRPr="00602769">
        <w:t>Činidla                                                                                               Objem</w:t>
      </w:r>
    </w:p>
    <w:tbl>
      <w:tblPr>
        <w:tblStyle w:val="Mkatabulky"/>
        <w:tblW w:w="0" w:type="auto"/>
        <w:tblLook w:val="04A0" w:firstRow="1" w:lastRow="0" w:firstColumn="1" w:lastColumn="0" w:noHBand="0" w:noVBand="1"/>
      </w:tblPr>
      <w:tblGrid>
        <w:gridCol w:w="446"/>
        <w:gridCol w:w="4620"/>
        <w:gridCol w:w="1356"/>
      </w:tblGrid>
      <w:tr w:rsidR="00DD76D0" w:rsidRPr="00602769" w:rsidTr="0036615D">
        <w:tc>
          <w:tcPr>
            <w:tcW w:w="446" w:type="dxa"/>
          </w:tcPr>
          <w:p w:rsidR="00DD76D0" w:rsidRPr="00602769" w:rsidRDefault="00DD76D0" w:rsidP="0036615D">
            <w:r w:rsidRPr="00602769">
              <w:t>1</w:t>
            </w:r>
          </w:p>
        </w:tc>
        <w:tc>
          <w:tcPr>
            <w:tcW w:w="4620" w:type="dxa"/>
          </w:tcPr>
          <w:p w:rsidR="00DD76D0" w:rsidRPr="00602769" w:rsidRDefault="00DD76D0" w:rsidP="0036615D">
            <w:r w:rsidRPr="00602769">
              <w:t>Destičky potažené antigenem MAP</w:t>
            </w:r>
          </w:p>
        </w:tc>
        <w:tc>
          <w:tcPr>
            <w:tcW w:w="1356" w:type="dxa"/>
          </w:tcPr>
          <w:p w:rsidR="00DD76D0" w:rsidRPr="00602769" w:rsidRDefault="00DD76D0" w:rsidP="0036615D">
            <w:r w:rsidRPr="00602769">
              <w:t>5</w:t>
            </w:r>
          </w:p>
        </w:tc>
      </w:tr>
      <w:tr w:rsidR="00DD76D0" w:rsidRPr="00602769" w:rsidTr="0036615D">
        <w:tc>
          <w:tcPr>
            <w:tcW w:w="446" w:type="dxa"/>
          </w:tcPr>
          <w:p w:rsidR="00DD76D0" w:rsidRPr="00602769" w:rsidRDefault="00DD76D0" w:rsidP="0036615D">
            <w:r w:rsidRPr="00602769">
              <w:t>2</w:t>
            </w:r>
          </w:p>
        </w:tc>
        <w:tc>
          <w:tcPr>
            <w:tcW w:w="4620" w:type="dxa"/>
          </w:tcPr>
          <w:p w:rsidR="00DD76D0" w:rsidRPr="00602769" w:rsidRDefault="00DD76D0" w:rsidP="0036615D">
            <w:r w:rsidRPr="00602769">
              <w:t xml:space="preserve">Pozitivní kontrolní vzorek </w:t>
            </w:r>
          </w:p>
        </w:tc>
        <w:tc>
          <w:tcPr>
            <w:tcW w:w="1356" w:type="dxa"/>
          </w:tcPr>
          <w:p w:rsidR="00DD76D0" w:rsidRPr="00602769" w:rsidRDefault="00DD76D0" w:rsidP="0036615D">
            <w:r w:rsidRPr="00602769">
              <w:t>1 x 0,5 ml</w:t>
            </w:r>
          </w:p>
        </w:tc>
      </w:tr>
      <w:tr w:rsidR="00DD76D0" w:rsidRPr="00602769" w:rsidTr="0036615D">
        <w:tc>
          <w:tcPr>
            <w:tcW w:w="446" w:type="dxa"/>
          </w:tcPr>
          <w:p w:rsidR="00DD76D0" w:rsidRPr="00602769" w:rsidRDefault="00DD76D0" w:rsidP="0036615D">
            <w:r w:rsidRPr="00602769">
              <w:t>3</w:t>
            </w:r>
          </w:p>
        </w:tc>
        <w:tc>
          <w:tcPr>
            <w:tcW w:w="4620" w:type="dxa"/>
          </w:tcPr>
          <w:p w:rsidR="00DD76D0" w:rsidRPr="00602769" w:rsidRDefault="00DD76D0" w:rsidP="0036615D">
            <w:r w:rsidRPr="00602769">
              <w:t xml:space="preserve">Negativní kontrolní vzorek </w:t>
            </w:r>
          </w:p>
        </w:tc>
        <w:tc>
          <w:tcPr>
            <w:tcW w:w="1356" w:type="dxa"/>
          </w:tcPr>
          <w:p w:rsidR="00DD76D0" w:rsidRPr="00602769" w:rsidRDefault="00DD76D0" w:rsidP="0036615D">
            <w:r w:rsidRPr="00602769">
              <w:t>1 x 0,5 ml</w:t>
            </w:r>
          </w:p>
        </w:tc>
      </w:tr>
      <w:tr w:rsidR="00DD76D0" w:rsidRPr="00602769" w:rsidTr="0036615D">
        <w:tc>
          <w:tcPr>
            <w:tcW w:w="446" w:type="dxa"/>
          </w:tcPr>
          <w:p w:rsidR="00DD76D0" w:rsidRPr="00602769" w:rsidRDefault="00DD76D0" w:rsidP="0036615D">
            <w:r w:rsidRPr="00602769">
              <w:t>4a</w:t>
            </w:r>
          </w:p>
        </w:tc>
        <w:tc>
          <w:tcPr>
            <w:tcW w:w="4620" w:type="dxa"/>
          </w:tcPr>
          <w:p w:rsidR="00DD76D0" w:rsidRPr="00602769" w:rsidRDefault="00DD76D0" w:rsidP="0036615D">
            <w:r w:rsidRPr="00602769">
              <w:t xml:space="preserve">Koncentrovaný konjugát </w:t>
            </w:r>
          </w:p>
        </w:tc>
        <w:tc>
          <w:tcPr>
            <w:tcW w:w="1356" w:type="dxa"/>
          </w:tcPr>
          <w:p w:rsidR="00DD76D0" w:rsidRPr="00602769" w:rsidRDefault="00DD76D0" w:rsidP="0036615D">
            <w:r w:rsidRPr="00602769">
              <w:t>1 x 0,75 ml</w:t>
            </w:r>
          </w:p>
        </w:tc>
      </w:tr>
      <w:tr w:rsidR="00DD76D0" w:rsidRPr="00602769" w:rsidTr="0036615D">
        <w:tc>
          <w:tcPr>
            <w:tcW w:w="446" w:type="dxa"/>
          </w:tcPr>
          <w:p w:rsidR="00DD76D0" w:rsidRPr="00602769" w:rsidRDefault="00DD76D0" w:rsidP="0036615D">
            <w:r w:rsidRPr="00602769">
              <w:t>4b</w:t>
            </w:r>
          </w:p>
        </w:tc>
        <w:tc>
          <w:tcPr>
            <w:tcW w:w="4620" w:type="dxa"/>
          </w:tcPr>
          <w:p w:rsidR="00DD76D0" w:rsidRPr="00602769" w:rsidRDefault="00DD76D0" w:rsidP="0036615D">
            <w:r w:rsidRPr="00602769">
              <w:t>Ředicí pufr č. 1</w:t>
            </w:r>
          </w:p>
        </w:tc>
        <w:tc>
          <w:tcPr>
            <w:tcW w:w="1356" w:type="dxa"/>
          </w:tcPr>
          <w:p w:rsidR="00DD76D0" w:rsidRPr="00602769" w:rsidRDefault="00DD76D0" w:rsidP="0036615D">
            <w:r w:rsidRPr="00602769">
              <w:t>1 x 120 ml</w:t>
            </w:r>
          </w:p>
        </w:tc>
      </w:tr>
      <w:tr w:rsidR="00DD76D0" w:rsidRPr="00602769" w:rsidTr="0036615D">
        <w:tc>
          <w:tcPr>
            <w:tcW w:w="446" w:type="dxa"/>
          </w:tcPr>
          <w:p w:rsidR="00DD76D0" w:rsidRPr="00602769" w:rsidRDefault="00DD76D0" w:rsidP="0036615D">
            <w:r w:rsidRPr="00602769">
              <w:t>5</w:t>
            </w:r>
          </w:p>
        </w:tc>
        <w:tc>
          <w:tcPr>
            <w:tcW w:w="4620" w:type="dxa"/>
          </w:tcPr>
          <w:p w:rsidR="00DD76D0" w:rsidRPr="00602769" w:rsidRDefault="00DD76D0" w:rsidP="0036615D">
            <w:r w:rsidRPr="00602769">
              <w:t>Ředicí pufr č. 12</w:t>
            </w:r>
          </w:p>
        </w:tc>
        <w:tc>
          <w:tcPr>
            <w:tcW w:w="1356" w:type="dxa"/>
          </w:tcPr>
          <w:p w:rsidR="00DD76D0" w:rsidRPr="00602769" w:rsidRDefault="00DD76D0" w:rsidP="0036615D">
            <w:r w:rsidRPr="00602769">
              <w:t>1 x 100 ml</w:t>
            </w:r>
          </w:p>
        </w:tc>
      </w:tr>
      <w:tr w:rsidR="00DD76D0" w:rsidRPr="00602769" w:rsidTr="0036615D">
        <w:tc>
          <w:tcPr>
            <w:tcW w:w="446" w:type="dxa"/>
          </w:tcPr>
          <w:p w:rsidR="00DD76D0" w:rsidRPr="00602769" w:rsidRDefault="00DD76D0" w:rsidP="0036615D">
            <w:r w:rsidRPr="00602769">
              <w:lastRenderedPageBreak/>
              <w:t>A</w:t>
            </w:r>
          </w:p>
        </w:tc>
        <w:tc>
          <w:tcPr>
            <w:tcW w:w="4620" w:type="dxa"/>
          </w:tcPr>
          <w:p w:rsidR="00DD76D0" w:rsidRPr="00602769" w:rsidRDefault="00DD76D0" w:rsidP="0036615D">
            <w:r w:rsidRPr="00602769">
              <w:t>TMB substrát č. 9</w:t>
            </w:r>
          </w:p>
        </w:tc>
        <w:tc>
          <w:tcPr>
            <w:tcW w:w="1356" w:type="dxa"/>
          </w:tcPr>
          <w:p w:rsidR="00DD76D0" w:rsidRPr="00602769" w:rsidRDefault="00DD76D0" w:rsidP="0036615D">
            <w:r w:rsidRPr="00602769">
              <w:t>1 x 60 ml</w:t>
            </w:r>
          </w:p>
        </w:tc>
      </w:tr>
      <w:tr w:rsidR="00DD76D0" w:rsidRPr="00602769" w:rsidTr="0036615D">
        <w:tc>
          <w:tcPr>
            <w:tcW w:w="446" w:type="dxa"/>
          </w:tcPr>
          <w:p w:rsidR="00DD76D0" w:rsidRPr="00602769" w:rsidRDefault="00DD76D0" w:rsidP="0036615D">
            <w:r w:rsidRPr="00602769">
              <w:t>B</w:t>
            </w:r>
          </w:p>
        </w:tc>
        <w:tc>
          <w:tcPr>
            <w:tcW w:w="4620" w:type="dxa"/>
          </w:tcPr>
          <w:p w:rsidR="00DD76D0" w:rsidRPr="00602769" w:rsidRDefault="00DD76D0" w:rsidP="0036615D">
            <w:r w:rsidRPr="00602769">
              <w:t>Zastavovací roztok č. 3</w:t>
            </w:r>
          </w:p>
        </w:tc>
        <w:tc>
          <w:tcPr>
            <w:tcW w:w="1356" w:type="dxa"/>
          </w:tcPr>
          <w:p w:rsidR="00DD76D0" w:rsidRPr="00602769" w:rsidRDefault="00DD76D0" w:rsidP="0036615D">
            <w:r w:rsidRPr="00602769">
              <w:t>1 x 60 ml</w:t>
            </w:r>
          </w:p>
        </w:tc>
      </w:tr>
      <w:tr w:rsidR="00DD76D0" w:rsidRPr="00602769" w:rsidTr="0036615D">
        <w:tc>
          <w:tcPr>
            <w:tcW w:w="446" w:type="dxa"/>
          </w:tcPr>
          <w:p w:rsidR="00DD76D0" w:rsidRPr="00602769" w:rsidRDefault="00DD76D0" w:rsidP="0036615D">
            <w:r w:rsidRPr="00602769">
              <w:t>C</w:t>
            </w:r>
          </w:p>
        </w:tc>
        <w:tc>
          <w:tcPr>
            <w:tcW w:w="4620" w:type="dxa"/>
          </w:tcPr>
          <w:p w:rsidR="00DD76D0" w:rsidRPr="00602769" w:rsidRDefault="00DD76D0" w:rsidP="0036615D">
            <w:r w:rsidRPr="00602769">
              <w:t>Mycí koncentrát (20x)</w:t>
            </w:r>
          </w:p>
        </w:tc>
        <w:tc>
          <w:tcPr>
            <w:tcW w:w="1356" w:type="dxa"/>
          </w:tcPr>
          <w:p w:rsidR="00DD76D0" w:rsidRPr="00602769" w:rsidRDefault="00DD76D0" w:rsidP="0036615D">
            <w:r w:rsidRPr="00602769">
              <w:t>1 x 100 ml</w:t>
            </w:r>
          </w:p>
        </w:tc>
      </w:tr>
      <w:tr w:rsidR="00DD76D0" w:rsidRPr="00602769" w:rsidTr="0036615D">
        <w:tc>
          <w:tcPr>
            <w:tcW w:w="5066" w:type="dxa"/>
            <w:gridSpan w:val="2"/>
          </w:tcPr>
          <w:p w:rsidR="00DD76D0" w:rsidRPr="00602769" w:rsidRDefault="00DD76D0" w:rsidP="0036615D">
            <w:r w:rsidRPr="00602769">
              <w:t>Další součásti sady: Sáček se zipovým uzávěrem</w:t>
            </w:r>
          </w:p>
        </w:tc>
        <w:tc>
          <w:tcPr>
            <w:tcW w:w="1356" w:type="dxa"/>
          </w:tcPr>
          <w:p w:rsidR="00DD76D0" w:rsidRPr="00602769" w:rsidRDefault="00DD76D0" w:rsidP="0036615D">
            <w:r w:rsidRPr="00602769">
              <w:t>1</w:t>
            </w:r>
          </w:p>
        </w:tc>
      </w:tr>
    </w:tbl>
    <w:p w:rsidR="00DD76D0" w:rsidRPr="00602769" w:rsidRDefault="00DD76D0" w:rsidP="00DD76D0">
      <w:r w:rsidRPr="00602769">
        <w:br/>
        <w:t>Poznámka: Popis symbolů použitých v této příbalové informaci a popisků této testovací sady najdete v tabulce na konci informace.</w:t>
      </w:r>
    </w:p>
    <w:p w:rsidR="00DD76D0" w:rsidRPr="00602769" w:rsidRDefault="00DD76D0" w:rsidP="00DD76D0">
      <w:pPr>
        <w:spacing w:after="0"/>
        <w:rPr>
          <w:b/>
        </w:rPr>
      </w:pPr>
      <w:r w:rsidRPr="00602769">
        <w:rPr>
          <w:b/>
        </w:rPr>
        <w:t>Uchovávání</w:t>
      </w:r>
    </w:p>
    <w:p w:rsidR="00DD76D0" w:rsidRPr="00602769" w:rsidRDefault="00DD76D0" w:rsidP="00DD76D0">
      <w:pPr>
        <w:spacing w:after="0"/>
      </w:pPr>
    </w:p>
    <w:p w:rsidR="00DD76D0" w:rsidRPr="00602769" w:rsidRDefault="00DD76D0" w:rsidP="00DD76D0">
      <w:pPr>
        <w:spacing w:after="0"/>
      </w:pPr>
      <w:r w:rsidRPr="00602769">
        <w:t>Činidla uchovávejte při teplotě 2–8 °C. Činidla jsou za předpokladu řádného skladování stabilní do</w:t>
      </w:r>
      <w:r w:rsidR="00602769">
        <w:t> </w:t>
      </w:r>
      <w:r w:rsidRPr="00602769">
        <w:t>data exspirace.</w:t>
      </w:r>
    </w:p>
    <w:p w:rsidR="00DD76D0" w:rsidRPr="00602769" w:rsidRDefault="00DD76D0" w:rsidP="00DD76D0">
      <w:pPr>
        <w:spacing w:after="0"/>
      </w:pPr>
    </w:p>
    <w:p w:rsidR="00DD76D0" w:rsidRPr="00602769" w:rsidRDefault="00DD76D0" w:rsidP="00DD76D0">
      <w:pPr>
        <w:spacing w:after="0"/>
        <w:rPr>
          <w:b/>
        </w:rPr>
      </w:pPr>
      <w:r w:rsidRPr="00602769">
        <w:rPr>
          <w:b/>
        </w:rPr>
        <w:t>Potřebné materiály, které nejsou součástí soupravy</w:t>
      </w:r>
    </w:p>
    <w:p w:rsidR="00DD76D0" w:rsidRPr="00602769" w:rsidRDefault="00DD76D0" w:rsidP="00DD76D0">
      <w:pPr>
        <w:spacing w:after="0"/>
      </w:pPr>
    </w:p>
    <w:p w:rsidR="00DD76D0" w:rsidRPr="00602769" w:rsidRDefault="00DD76D0" w:rsidP="00DD76D0">
      <w:pPr>
        <w:pStyle w:val="Odstavecseseznamem"/>
        <w:numPr>
          <w:ilvl w:val="0"/>
          <w:numId w:val="1"/>
        </w:numPr>
        <w:spacing w:after="0"/>
      </w:pPr>
      <w:r w:rsidRPr="00602769">
        <w:t>Přesné pipety nebo multikanálové pipety</w:t>
      </w:r>
    </w:p>
    <w:p w:rsidR="00DD76D0" w:rsidRPr="00602769" w:rsidRDefault="00DD76D0" w:rsidP="00DD76D0">
      <w:pPr>
        <w:pStyle w:val="Odstavecseseznamem"/>
        <w:numPr>
          <w:ilvl w:val="0"/>
          <w:numId w:val="1"/>
        </w:numPr>
        <w:spacing w:after="0"/>
      </w:pPr>
      <w:r w:rsidRPr="00602769">
        <w:t>Jednorázové pipetovací špičky</w:t>
      </w:r>
    </w:p>
    <w:p w:rsidR="00DD76D0" w:rsidRPr="00602769" w:rsidRDefault="00DD76D0" w:rsidP="00DD76D0">
      <w:pPr>
        <w:pStyle w:val="Odstavecseseznamem"/>
        <w:numPr>
          <w:ilvl w:val="0"/>
          <w:numId w:val="1"/>
        </w:numPr>
        <w:spacing w:after="0"/>
      </w:pPr>
      <w:r w:rsidRPr="00602769">
        <w:t>Odměrný válec pro přípravu promývacího roztoku</w:t>
      </w:r>
    </w:p>
    <w:p w:rsidR="00DD76D0" w:rsidRPr="00602769" w:rsidRDefault="00DD76D0" w:rsidP="00DD76D0">
      <w:pPr>
        <w:pStyle w:val="Odstavecseseznamem"/>
        <w:numPr>
          <w:ilvl w:val="0"/>
          <w:numId w:val="1"/>
        </w:numPr>
        <w:spacing w:after="0"/>
      </w:pPr>
      <w:r w:rsidRPr="00602769">
        <w:t>Čtečka mikrodestiček s 96 jamkami (vybavená filtrem s vlnovou délkou 450 nm)</w:t>
      </w:r>
    </w:p>
    <w:p w:rsidR="00DD76D0" w:rsidRPr="00602769" w:rsidRDefault="00DD76D0" w:rsidP="00DD76D0">
      <w:pPr>
        <w:pStyle w:val="Odstavecseseznamem"/>
        <w:numPr>
          <w:ilvl w:val="0"/>
          <w:numId w:val="1"/>
        </w:numPr>
        <w:spacing w:after="0"/>
      </w:pPr>
      <w:r w:rsidRPr="00602769">
        <w:t>Mycí zařízení na mikrodestičky (manuální, poloautomatický nebo automatický systém)</w:t>
      </w:r>
    </w:p>
    <w:p w:rsidR="00DD76D0" w:rsidRPr="00602769" w:rsidRDefault="00DD76D0" w:rsidP="00DD76D0">
      <w:pPr>
        <w:pStyle w:val="Odstavecseseznamem"/>
        <w:numPr>
          <w:ilvl w:val="0"/>
          <w:numId w:val="1"/>
        </w:numPr>
        <w:spacing w:after="0"/>
      </w:pPr>
      <w:r w:rsidRPr="00602769">
        <w:t>Pro přípravu činidel používaných při testu používejte pouze destilovanou nebo</w:t>
      </w:r>
      <w:r w:rsidR="00602769">
        <w:t> </w:t>
      </w:r>
      <w:r w:rsidRPr="00602769">
        <w:t>deionizovanou vodu</w:t>
      </w:r>
    </w:p>
    <w:p w:rsidR="00DD76D0" w:rsidRPr="00602769" w:rsidRDefault="00DD76D0" w:rsidP="00DD76D0">
      <w:pPr>
        <w:pStyle w:val="Odstavecseseznamem"/>
        <w:numPr>
          <w:ilvl w:val="0"/>
          <w:numId w:val="1"/>
        </w:numPr>
        <w:spacing w:after="0"/>
      </w:pPr>
      <w:r w:rsidRPr="00602769">
        <w:t>Vortex nebo ekvivalentní zařízení</w:t>
      </w:r>
    </w:p>
    <w:p w:rsidR="00DD76D0" w:rsidRPr="00602769" w:rsidRDefault="00DD76D0" w:rsidP="00DD76D0">
      <w:pPr>
        <w:pStyle w:val="Odstavecseseznamem"/>
        <w:numPr>
          <w:ilvl w:val="0"/>
          <w:numId w:val="1"/>
        </w:numPr>
        <w:spacing w:after="0"/>
      </w:pPr>
      <w:r w:rsidRPr="00602769">
        <w:t>Kryty na mikrodestičky (víčka, hliníková nebo přilnavá fólie)</w:t>
      </w:r>
    </w:p>
    <w:p w:rsidR="00DD76D0" w:rsidRPr="00602769" w:rsidRDefault="00DD76D0" w:rsidP="00DD76D0">
      <w:pPr>
        <w:pStyle w:val="Odstavecseseznamem"/>
        <w:numPr>
          <w:ilvl w:val="0"/>
          <w:numId w:val="1"/>
        </w:numPr>
        <w:spacing w:after="0"/>
      </w:pPr>
      <w:r w:rsidRPr="00602769">
        <w:t>Třepačka mikrodestiček</w:t>
      </w:r>
    </w:p>
    <w:p w:rsidR="00DD76D0" w:rsidRPr="00602769" w:rsidRDefault="00DD76D0" w:rsidP="00DD76D0">
      <w:pPr>
        <w:pStyle w:val="Odstavecseseznamem"/>
        <w:numPr>
          <w:ilvl w:val="0"/>
          <w:numId w:val="1"/>
        </w:numPr>
        <w:spacing w:after="0"/>
      </w:pPr>
      <w:r w:rsidRPr="00602769">
        <w:t>Nepotahovaná mikrodestička pro preinkubaci</w:t>
      </w:r>
    </w:p>
    <w:p w:rsidR="00DD76D0" w:rsidRPr="00602769" w:rsidRDefault="00DD76D0" w:rsidP="00DD76D0">
      <w:pPr>
        <w:pStyle w:val="Odstavecseseznamem"/>
        <w:numPr>
          <w:ilvl w:val="0"/>
          <w:numId w:val="1"/>
        </w:numPr>
        <w:spacing w:after="0"/>
      </w:pPr>
      <w:r w:rsidRPr="00602769">
        <w:t>Centrifuga (přetížení 2000x g)</w:t>
      </w:r>
    </w:p>
    <w:p w:rsidR="00DD76D0" w:rsidRPr="00602769" w:rsidRDefault="00DD76D0" w:rsidP="00DD76D0">
      <w:pPr>
        <w:spacing w:after="0"/>
      </w:pPr>
    </w:p>
    <w:p w:rsidR="00DD76D0" w:rsidRPr="00602769" w:rsidRDefault="00DD76D0" w:rsidP="00DD76D0">
      <w:pPr>
        <w:spacing w:after="0"/>
        <w:rPr>
          <w:b/>
        </w:rPr>
      </w:pPr>
      <w:r w:rsidRPr="00602769">
        <w:rPr>
          <w:b/>
        </w:rPr>
        <w:t>Bezpečnostní opatření a upozornění pro uživatele</w:t>
      </w:r>
    </w:p>
    <w:p w:rsidR="00DD76D0" w:rsidRPr="00602769" w:rsidRDefault="00DD76D0" w:rsidP="00DD76D0">
      <w:pPr>
        <w:spacing w:after="0"/>
      </w:pPr>
    </w:p>
    <w:p w:rsidR="00DD76D0" w:rsidRPr="00602769" w:rsidRDefault="00DD76D0" w:rsidP="00DD76D0">
      <w:pPr>
        <w:pStyle w:val="Odstavecseseznamem"/>
        <w:numPr>
          <w:ilvl w:val="0"/>
          <w:numId w:val="2"/>
        </w:numPr>
        <w:spacing w:after="0"/>
      </w:pPr>
      <w:r w:rsidRPr="00602769">
        <w:t>Se všemi biologickými materiály zacházejte jako s potenciálně infekčními.</w:t>
      </w:r>
    </w:p>
    <w:p w:rsidR="00DD76D0" w:rsidRPr="00602769" w:rsidRDefault="00DD76D0" w:rsidP="00DD76D0">
      <w:pPr>
        <w:pStyle w:val="Odstavecseseznamem"/>
        <w:numPr>
          <w:ilvl w:val="0"/>
          <w:numId w:val="2"/>
        </w:numPr>
        <w:spacing w:after="0"/>
      </w:pPr>
      <w:r w:rsidRPr="00602769">
        <w:t>Při manipulaci se vzorky a činidly používejte ochranné rukavice / ochranný oděv / ochranu očí nebo obličeje.</w:t>
      </w:r>
    </w:p>
    <w:p w:rsidR="00DD76D0" w:rsidRPr="00602769" w:rsidRDefault="00DD76D0" w:rsidP="00DD76D0">
      <w:pPr>
        <w:pStyle w:val="Odstavecseseznamem"/>
        <w:numPr>
          <w:ilvl w:val="0"/>
          <w:numId w:val="2"/>
        </w:numPr>
        <w:spacing w:after="0"/>
      </w:pPr>
      <w:r w:rsidRPr="00602769">
        <w:t>Další informace najdete v materiálových bezpečnostních listech.</w:t>
      </w:r>
    </w:p>
    <w:p w:rsidR="00DD76D0" w:rsidRPr="00602769" w:rsidRDefault="00DD76D0" w:rsidP="00DD76D0">
      <w:pPr>
        <w:pStyle w:val="Odstavecseseznamem"/>
        <w:numPr>
          <w:ilvl w:val="0"/>
          <w:numId w:val="2"/>
        </w:numPr>
        <w:spacing w:after="0"/>
      </w:pPr>
      <w:r w:rsidRPr="00602769">
        <w:t>Upozornění a bezpečnostní opatření pro použití činidel naleznete na konci této příbalové informace.</w:t>
      </w:r>
    </w:p>
    <w:p w:rsidR="00DD76D0" w:rsidRPr="00602769" w:rsidRDefault="00DD76D0" w:rsidP="00DD76D0">
      <w:pPr>
        <w:spacing w:after="0"/>
        <w:rPr>
          <w:b/>
        </w:rPr>
      </w:pPr>
    </w:p>
    <w:p w:rsidR="00DD76D0" w:rsidRPr="00602769" w:rsidRDefault="00DD76D0" w:rsidP="00DD76D0">
      <w:pPr>
        <w:spacing w:after="0"/>
        <w:rPr>
          <w:b/>
        </w:rPr>
      </w:pPr>
      <w:r w:rsidRPr="00602769">
        <w:rPr>
          <w:b/>
        </w:rPr>
        <w:t>Laboratorní praxe</w:t>
      </w:r>
    </w:p>
    <w:p w:rsidR="00DD76D0" w:rsidRPr="00602769" w:rsidRDefault="00DD76D0" w:rsidP="00DD76D0">
      <w:pPr>
        <w:spacing w:after="0"/>
      </w:pPr>
    </w:p>
    <w:p w:rsidR="00DD76D0" w:rsidRPr="00602769" w:rsidRDefault="00DD76D0" w:rsidP="00DD76D0">
      <w:pPr>
        <w:pStyle w:val="Odstavecseseznamem"/>
        <w:numPr>
          <w:ilvl w:val="0"/>
          <w:numId w:val="3"/>
        </w:numPr>
        <w:spacing w:after="0"/>
      </w:pPr>
      <w:r w:rsidRPr="00602769">
        <w:t>Pro dosažení optimálních výsledků přesně dodržujte tento protokol. K zachování přesnosti a</w:t>
      </w:r>
      <w:r w:rsidR="00CB4B7B">
        <w:t> </w:t>
      </w:r>
      <w:r w:rsidRPr="00602769">
        <w:t>správnosti je nezbytné pečlivé pipetování, měření času a promývání během postupu. Pro</w:t>
      </w:r>
      <w:r w:rsidR="00CB4B7B">
        <w:t> </w:t>
      </w:r>
      <w:r w:rsidRPr="00602769">
        <w:t>každý vzorek a kontrolu použijte vždy novou pipetovací špičku.</w:t>
      </w:r>
    </w:p>
    <w:p w:rsidR="00DD76D0" w:rsidRPr="00602769" w:rsidRDefault="00DD76D0" w:rsidP="00DD76D0">
      <w:pPr>
        <w:pStyle w:val="Odstavecseseznamem"/>
        <w:numPr>
          <w:ilvl w:val="0"/>
          <w:numId w:val="3"/>
        </w:numPr>
        <w:spacing w:after="0"/>
      </w:pPr>
      <w:r w:rsidRPr="00602769">
        <w:t xml:space="preserve">Roztok TMB nevystavujte silnému světlu nebo jakýmkoli oxidačním činidlům. Pro manipulaci s roztokem TMB používejte čisté skleněné nebo plastové nádoby. </w:t>
      </w:r>
    </w:p>
    <w:p w:rsidR="00DD76D0" w:rsidRPr="00602769" w:rsidRDefault="00DD76D0" w:rsidP="00DD76D0">
      <w:pPr>
        <w:pStyle w:val="Odstavecseseznamem"/>
        <w:numPr>
          <w:ilvl w:val="0"/>
          <w:numId w:val="3"/>
        </w:numPr>
        <w:spacing w:after="0"/>
      </w:pPr>
      <w:r w:rsidRPr="00602769">
        <w:lastRenderedPageBreak/>
        <w:t>Všechny odpady je třeba před likvidací řádně dekontaminovat. Obsah likvidujte v souladu s</w:t>
      </w:r>
      <w:r w:rsidR="00CB4B7B">
        <w:t> </w:t>
      </w:r>
      <w:r w:rsidRPr="00602769">
        <w:t>místními, regionálními a státními předpisy.</w:t>
      </w:r>
    </w:p>
    <w:p w:rsidR="00DD76D0" w:rsidRPr="00602769" w:rsidRDefault="00DD76D0" w:rsidP="00DD76D0">
      <w:pPr>
        <w:pStyle w:val="Odstavecseseznamem"/>
        <w:numPr>
          <w:ilvl w:val="0"/>
          <w:numId w:val="3"/>
        </w:numPr>
        <w:spacing w:after="0"/>
      </w:pPr>
      <w:r w:rsidRPr="00602769">
        <w:t>Snažte se zabránit kontaminaci složek soupravy. Nenalévejte nepoužitá činidla zpět do</w:t>
      </w:r>
      <w:r w:rsidR="00CB4B7B">
        <w:t> </w:t>
      </w:r>
      <w:r w:rsidRPr="00602769">
        <w:t>nádob.</w:t>
      </w:r>
    </w:p>
    <w:p w:rsidR="00DD76D0" w:rsidRPr="00602769" w:rsidRDefault="00DD76D0" w:rsidP="00DD76D0">
      <w:pPr>
        <w:pStyle w:val="Odstavecseseznamem"/>
        <w:numPr>
          <w:ilvl w:val="0"/>
          <w:numId w:val="3"/>
        </w:numPr>
        <w:spacing w:after="0"/>
      </w:pPr>
      <w:r w:rsidRPr="00602769">
        <w:t>Nepoužívejte soupravu po datu exspirace.</w:t>
      </w:r>
    </w:p>
    <w:p w:rsidR="00DD76D0" w:rsidRPr="00602769" w:rsidRDefault="00DD76D0" w:rsidP="00DD76D0">
      <w:pPr>
        <w:spacing w:after="0"/>
      </w:pPr>
    </w:p>
    <w:p w:rsidR="00DD76D0" w:rsidRPr="00602769" w:rsidRDefault="00DD76D0" w:rsidP="00DD76D0">
      <w:pPr>
        <w:rPr>
          <w:b/>
        </w:rPr>
      </w:pPr>
      <w:r w:rsidRPr="00602769">
        <w:rPr>
          <w:b/>
          <w:caps/>
        </w:rPr>
        <w:t>P</w:t>
      </w:r>
      <w:r w:rsidRPr="00602769">
        <w:rPr>
          <w:b/>
        </w:rPr>
        <w:t>říprava činidel</w:t>
      </w:r>
    </w:p>
    <w:p w:rsidR="00DD76D0" w:rsidRPr="00602769" w:rsidRDefault="00DD76D0" w:rsidP="00DD76D0">
      <w:pPr>
        <w:rPr>
          <w:b/>
        </w:rPr>
      </w:pPr>
      <w:r w:rsidRPr="00602769">
        <w:rPr>
          <w:b/>
        </w:rPr>
        <w:t>Mycí roztok</w:t>
      </w:r>
    </w:p>
    <w:p w:rsidR="00DD76D0" w:rsidRPr="00602769" w:rsidRDefault="00DD76D0" w:rsidP="00DD76D0">
      <w:pPr>
        <w:spacing w:after="0"/>
      </w:pPr>
      <w:r w:rsidRPr="00602769">
        <w:t>Koncentrát mycího roztoku (20x) musí být před užitím zředěn destilovanou/deionizovanou vodou v poměru 1:20 (např. 15 ml koncentrátu (20x) na 285 ml destilované vody). Tento roztok bude dále nazýván „mycí roztok“.</w:t>
      </w:r>
    </w:p>
    <w:p w:rsidR="00CB4B7B" w:rsidRDefault="00DD76D0" w:rsidP="00DD76D0">
      <w:pPr>
        <w:spacing w:after="0"/>
      </w:pPr>
      <w:r w:rsidRPr="00602769">
        <w:t xml:space="preserve">Poznámka: Koncentrát mycího roztoku (20x) by měl být </w:t>
      </w:r>
      <w:r w:rsidR="00AF6F92" w:rsidRPr="00602769">
        <w:t>zahřát</w:t>
      </w:r>
      <w:r w:rsidRPr="00602769">
        <w:t xml:space="preserve"> na teplotu 18–26°C a dobře promíchán, aby se rozpustily veškeré sražené soli. Mycí roztok je při teplotě 2–8°C stabilní po dobu až</w:t>
      </w:r>
      <w:r w:rsidR="00CB4B7B">
        <w:t> </w:t>
      </w:r>
      <w:r w:rsidRPr="00602769">
        <w:t>3 dnů.</w:t>
      </w:r>
    </w:p>
    <w:p w:rsidR="00DD76D0" w:rsidRPr="00602769" w:rsidRDefault="00DD76D0" w:rsidP="00DD76D0">
      <w:pPr>
        <w:spacing w:after="0"/>
      </w:pPr>
    </w:p>
    <w:p w:rsidR="00CB4B7B" w:rsidRDefault="00DD76D0" w:rsidP="00DD76D0">
      <w:pPr>
        <w:rPr>
          <w:b/>
        </w:rPr>
      </w:pPr>
      <w:r w:rsidRPr="00602769">
        <w:rPr>
          <w:b/>
        </w:rPr>
        <w:t>Konjugát</w:t>
      </w:r>
    </w:p>
    <w:p w:rsidR="00CB4B7B" w:rsidRDefault="00DD76D0" w:rsidP="00CB4B7B">
      <w:pPr>
        <w:spacing w:before="100" w:beforeAutospacing="1" w:after="100" w:afterAutospacing="1" w:line="240" w:lineRule="auto"/>
        <w:contextualSpacing/>
      </w:pPr>
      <w:r w:rsidRPr="00602769">
        <w:t>Koncentrovaný konjugát musí být zředěn:</w:t>
      </w:r>
    </w:p>
    <w:p w:rsidR="00CB4B7B" w:rsidRDefault="00DD76D0" w:rsidP="00CB4B7B">
      <w:pPr>
        <w:spacing w:before="100" w:beforeAutospacing="1" w:after="100" w:afterAutospacing="1" w:line="240" w:lineRule="auto"/>
        <w:contextualSpacing/>
      </w:pPr>
      <w:r w:rsidRPr="00602769">
        <w:t>- pro krátký protokol inkubace ředicím pufrem č. 1 v poměru 1:100</w:t>
      </w:r>
    </w:p>
    <w:p w:rsidR="00DD76D0" w:rsidRPr="00602769" w:rsidRDefault="00DD76D0" w:rsidP="00CB4B7B">
      <w:pPr>
        <w:spacing w:before="100" w:beforeAutospacing="1" w:after="100" w:afterAutospacing="1" w:line="240" w:lineRule="auto"/>
        <w:contextualSpacing/>
      </w:pPr>
      <w:r w:rsidRPr="00602769">
        <w:t>- pro protokol inkubace přes noc ředicím pufrem č. 1 v poměru 1:200</w:t>
      </w:r>
    </w:p>
    <w:p w:rsidR="00DD76D0" w:rsidRPr="00602769" w:rsidRDefault="00DD76D0" w:rsidP="00DD76D0">
      <w:r w:rsidRPr="00602769">
        <w:t xml:space="preserve">Poznámka: Zředěný roztok konjugátu je při teplotě 18–26°C stabilní po dobu až 8 hodin. </w:t>
      </w:r>
    </w:p>
    <w:p w:rsidR="00CB4B7B" w:rsidRDefault="00DD76D0" w:rsidP="00DD76D0">
      <w:pPr>
        <w:rPr>
          <w:b/>
        </w:rPr>
      </w:pPr>
      <w:r w:rsidRPr="00602769">
        <w:rPr>
          <w:b/>
        </w:rPr>
        <w:t>Příprava vzorků</w:t>
      </w:r>
    </w:p>
    <w:p w:rsidR="00DD76D0" w:rsidRPr="00602769" w:rsidRDefault="00DD76D0" w:rsidP="00DD76D0">
      <w:r w:rsidRPr="00602769">
        <w:t>Vzorky a kontrolní vzorky se předřeďují a předinkubují na nepotažené prediluční mikrotitrační destičce (viz Postup testu). Vzorky mléka: lze použít plnotučné i odtučněné mléko (získané centrifugací).</w:t>
      </w:r>
    </w:p>
    <w:p w:rsidR="00DD76D0" w:rsidRPr="00602769" w:rsidRDefault="00DD76D0" w:rsidP="00DD76D0">
      <w:pPr>
        <w:rPr>
          <w:b/>
        </w:rPr>
      </w:pPr>
      <w:r w:rsidRPr="00602769">
        <w:rPr>
          <w:b/>
        </w:rPr>
        <w:t>Postup testu</w:t>
      </w:r>
    </w:p>
    <w:p w:rsidR="00DD76D0" w:rsidRPr="00602769" w:rsidRDefault="00DD76D0" w:rsidP="00DD76D0">
      <w:pPr>
        <w:spacing w:after="0"/>
      </w:pPr>
      <w:r w:rsidRPr="00602769">
        <w:t>Všechna činidla použité v tomto testu musí mít teplotu 18–26°C. Činidla se míchají jemným obracením nebo kroužením.</w:t>
      </w:r>
    </w:p>
    <w:p w:rsidR="00DD76D0" w:rsidRPr="00602769" w:rsidRDefault="00DD76D0" w:rsidP="00DD76D0">
      <w:pPr>
        <w:spacing w:after="0"/>
      </w:pPr>
    </w:p>
    <w:p w:rsidR="00DD76D0" w:rsidRPr="00602769" w:rsidRDefault="00DD76D0" w:rsidP="00DD76D0">
      <w:pPr>
        <w:pStyle w:val="Odstavecseseznamem"/>
        <w:spacing w:after="0"/>
        <w:ind w:left="0"/>
      </w:pPr>
      <w:r w:rsidRPr="00602769">
        <w:t xml:space="preserve">1. Připravte si antigenem potažené mikrodestičky a zaznamenejte umístění vzorků. Pokud používáte pouze část destiček, oddělte počet jamek odpovídající počtu testovaných vzorků a zbývající uložte společně s desikantem v sáčku se zipovým uzávěrem do chladna (2–8°C). </w:t>
      </w:r>
    </w:p>
    <w:p w:rsidR="00CB4B7B" w:rsidRDefault="00DD76D0" w:rsidP="00DD76D0">
      <w:pPr>
        <w:spacing w:after="0"/>
      </w:pPr>
      <w:r w:rsidRPr="00602769">
        <w:t xml:space="preserve">2. Na prediluční nepotahované mikrodestičce zřeďte a předinkubujte vzorky a kontrolní vzorky v přítomnosti </w:t>
      </w:r>
      <w:r w:rsidRPr="00602769">
        <w:rPr>
          <w:i/>
        </w:rPr>
        <w:t>Mycobacterium phlei</w:t>
      </w:r>
      <w:r w:rsidRPr="00602769">
        <w:t>:</w:t>
      </w:r>
      <w:r w:rsidRPr="00602769">
        <w:br/>
        <w:t>- Negativní kontrolní vzorek (NK) zřeďte v poměru 1:20 ředicím pufrem č. 12 a umístěte do jedné jamky.</w:t>
      </w:r>
    </w:p>
    <w:p w:rsidR="00CB4B7B" w:rsidRDefault="00DD76D0" w:rsidP="00DD76D0">
      <w:pPr>
        <w:spacing w:after="0"/>
      </w:pPr>
      <w:r w:rsidRPr="00602769">
        <w:t>- Pozitivní kontrolní vzorek (PK) zřeďte v poměru 1:20 ředicím pufrem č. 12 a umístěte do dvou jamek.</w:t>
      </w:r>
    </w:p>
    <w:p w:rsidR="00CB4B7B" w:rsidRDefault="00DD76D0" w:rsidP="00DD76D0">
      <w:pPr>
        <w:spacing w:after="0"/>
      </w:pPr>
      <w:r w:rsidRPr="00602769">
        <w:t>- Vzorky séra/plazmy zřeďte v poměru 1:20 ředicím pufrem č. 12.</w:t>
      </w:r>
    </w:p>
    <w:p w:rsidR="00DD76D0" w:rsidRPr="00602769" w:rsidRDefault="00DD76D0" w:rsidP="00DD76D0">
      <w:pPr>
        <w:spacing w:after="0"/>
      </w:pPr>
      <w:r w:rsidRPr="00602769">
        <w:t xml:space="preserve">- Vzorky kravského mléka zřeďte v poměru 1:2 ředicím pufrem č. 12. </w:t>
      </w:r>
    </w:p>
    <w:p w:rsidR="00DD76D0" w:rsidRPr="00602769" w:rsidRDefault="00DD76D0" w:rsidP="00DD76D0">
      <w:pPr>
        <w:spacing w:after="0"/>
      </w:pPr>
      <w:r w:rsidRPr="00602769">
        <w:t>3. Obsah jamek předřed</w:t>
      </w:r>
      <w:r w:rsidR="00D4024C" w:rsidRPr="00602769">
        <w:t>í</w:t>
      </w:r>
      <w:r w:rsidRPr="00602769">
        <w:t>cí destičky homogenizujte pomocí třepačky mikrodestiček.</w:t>
      </w:r>
    </w:p>
    <w:p w:rsidR="00DD76D0" w:rsidRPr="00602769" w:rsidRDefault="00DD76D0" w:rsidP="00DD76D0">
      <w:pPr>
        <w:spacing w:after="0"/>
      </w:pPr>
      <w:r w:rsidRPr="00602769">
        <w:t>4. Inkubujte po dobu 15 minut až 2 hodin při teplotě 18–26°C.</w:t>
      </w:r>
    </w:p>
    <w:p w:rsidR="00CB4B7B" w:rsidRDefault="00DD76D0" w:rsidP="00DD76D0">
      <w:pPr>
        <w:spacing w:after="0"/>
      </w:pPr>
      <w:r w:rsidRPr="00602769">
        <w:lastRenderedPageBreak/>
        <w:t>5. Z každé jamky přeneste 100 μL obsahu do příslušných jamek potahované mikrodestičky:</w:t>
      </w:r>
    </w:p>
    <w:p w:rsidR="00CB4B7B" w:rsidRDefault="00DD76D0" w:rsidP="00DD76D0">
      <w:pPr>
        <w:spacing w:after="0"/>
      </w:pPr>
      <w:r w:rsidRPr="00602769">
        <w:t>- 100 μL předředěné negativní kontroly do jedné -Ag jamky (lichý sloupec) a jedné +Ag destičky (sudý sloupec).</w:t>
      </w:r>
    </w:p>
    <w:p w:rsidR="00CB4B7B" w:rsidRDefault="00DD76D0" w:rsidP="00DD76D0">
      <w:pPr>
        <w:spacing w:after="0"/>
      </w:pPr>
      <w:r w:rsidRPr="00602769">
        <w:t>- 100 μL předředěné pozitivní kontroly do dvou -Ag jamek (lichý sloupec) a dvou +Ag jamek (sudý sloupec).</w:t>
      </w:r>
    </w:p>
    <w:p w:rsidR="00DD76D0" w:rsidRPr="00602769" w:rsidRDefault="00DD76D0" w:rsidP="00DD76D0">
      <w:pPr>
        <w:spacing w:after="0"/>
      </w:pPr>
      <w:r w:rsidRPr="00602769">
        <w:t xml:space="preserve">- 100 μL předředěného testovaného vzorku (sérum, plazma nebo mléko) do jedné -Ag jamky (lichý sloupec) a jedné +Ag jamky (sudý sloupec). </w:t>
      </w:r>
    </w:p>
    <w:p w:rsidR="00DD76D0" w:rsidRPr="00602769" w:rsidRDefault="00DD76D0" w:rsidP="00DD76D0">
      <w:pPr>
        <w:spacing w:after="0"/>
      </w:pPr>
      <w:r w:rsidRPr="00602769">
        <w:t>6. Homogenizujte obsah jamek pomocí třepačky mikrodestiček.</w:t>
      </w:r>
    </w:p>
    <w:p w:rsidR="00DD76D0" w:rsidRPr="00602769" w:rsidRDefault="00DD76D0" w:rsidP="00DD76D0">
      <w:pPr>
        <w:spacing w:after="0"/>
      </w:pPr>
      <w:r w:rsidRPr="00602769">
        <w:t>7. Mikrodestičky zakryjte a inkubujte po dobu 45 minut (±5 min.) při teplotě 18–26°C nebo přes noc</w:t>
      </w:r>
      <w:r w:rsidR="00CB4B7B">
        <w:t xml:space="preserve"> </w:t>
      </w:r>
      <w:r w:rsidRPr="00602769">
        <w:t>(16–24 hodin) při teplotě 2–8°C.</w:t>
      </w:r>
    </w:p>
    <w:p w:rsidR="00CB4B7B" w:rsidRDefault="00DD76D0" w:rsidP="00DD76D0">
      <w:pPr>
        <w:spacing w:after="0"/>
      </w:pPr>
      <w:r w:rsidRPr="00602769">
        <w:t>8. Odstraňte roztok a každou jamku 3-5x promyjte přibližně 300 µl mycího roztoku.  Destička nesmí mezi umýváním a před přidáním dalšího činidla vyschnout. Po posledním promytí odstraňte zbývající mycí tekutinu z každé destičky poklepáním na savý materiál.</w:t>
      </w:r>
    </w:p>
    <w:p w:rsidR="00CB4B7B" w:rsidRDefault="00CB4B7B" w:rsidP="00DD76D0">
      <w:pPr>
        <w:spacing w:after="0"/>
      </w:pPr>
    </w:p>
    <w:p w:rsidR="00DD76D0" w:rsidRPr="00602769" w:rsidRDefault="00DD76D0" w:rsidP="00DD76D0">
      <w:pPr>
        <w:spacing w:after="0"/>
      </w:pPr>
      <w:r w:rsidRPr="00602769">
        <w:rPr>
          <w:b/>
        </w:rPr>
        <w:t>Poznámka:</w:t>
      </w:r>
      <w:r w:rsidRPr="00602769">
        <w:t xml:space="preserve"> Používáte-li odtučněné mléko nebo mléko odebrané pod vrstvou smetany, tento způsob mytí dostačuje. Při použití plnotučného mléka se doporučuje metodu promývání modifikovat zařazením 1 minuty odmočení na každý mycí cyklus. Tento postup usnadňuje eliminaci tukových částeček, které by v příštím kroku nespecificky fixovaly konjugát. Důkladné mytí je nezbytné pro</w:t>
      </w:r>
      <w:r w:rsidR="00CB4B7B">
        <w:t> </w:t>
      </w:r>
      <w:r w:rsidRPr="00602769">
        <w:t>dosažení optimálních výsledků.</w:t>
      </w:r>
    </w:p>
    <w:p w:rsidR="00DD76D0" w:rsidRPr="00602769" w:rsidRDefault="00DD76D0" w:rsidP="00DD76D0">
      <w:pPr>
        <w:spacing w:after="0"/>
      </w:pPr>
      <w:r w:rsidRPr="00602769">
        <w:t>9. Přidejte do každé jamky 100 μl zředěného konjugátu.</w:t>
      </w:r>
    </w:p>
    <w:p w:rsidR="00DD76D0" w:rsidRPr="00602769" w:rsidRDefault="00DD76D0" w:rsidP="00DD76D0">
      <w:pPr>
        <w:spacing w:after="0"/>
      </w:pPr>
      <w:r w:rsidRPr="00602769">
        <w:t xml:space="preserve">10. Zakryjte destičku a inkubujte po dobu 30 minut (±3 min.) při 18–26°C. </w:t>
      </w:r>
    </w:p>
    <w:p w:rsidR="00DD76D0" w:rsidRPr="00602769" w:rsidRDefault="00DD76D0" w:rsidP="00DD76D0">
      <w:pPr>
        <w:spacing w:after="0"/>
      </w:pPr>
      <w:r w:rsidRPr="00602769">
        <w:t xml:space="preserve">11. Odstraňte roztok a každou jamku 3x promyjte přibližně 300 µl mycího roztoku.  Destička nesmí mezi umýváním a před přidáním dalšího činidla vyschnout. Po posledním promytí odstraňte zbývající mycí tekutinu z každé destičky poklepáváním na savý materiál. </w:t>
      </w:r>
    </w:p>
    <w:p w:rsidR="00DD76D0" w:rsidRPr="00602769" w:rsidRDefault="00DD76D0" w:rsidP="00DD76D0">
      <w:pPr>
        <w:spacing w:after="0"/>
      </w:pPr>
      <w:r w:rsidRPr="00602769">
        <w:t>12. Přidejte do každé jamky 100 μl TMB substrátu č. 9.</w:t>
      </w:r>
    </w:p>
    <w:p w:rsidR="00DD76D0" w:rsidRPr="00602769" w:rsidRDefault="00DD76D0" w:rsidP="00DD76D0">
      <w:pPr>
        <w:spacing w:after="0"/>
      </w:pPr>
      <w:r w:rsidRPr="00602769">
        <w:t>13. Inkubujte 10 minut (±3 min.) při 18–26°C mimo dosah přímého světla.</w:t>
      </w:r>
    </w:p>
    <w:p w:rsidR="00DD76D0" w:rsidRPr="00602769" w:rsidRDefault="00DD76D0" w:rsidP="00DD76D0">
      <w:pPr>
        <w:spacing w:after="0"/>
      </w:pPr>
      <w:r w:rsidRPr="00602769">
        <w:t>14. Přidejte do každé jamky 100 μl zastavovacího roztoku č. 3.</w:t>
      </w:r>
    </w:p>
    <w:p w:rsidR="00DD76D0" w:rsidRPr="00602769" w:rsidRDefault="00DD76D0" w:rsidP="00DD76D0">
      <w:pPr>
        <w:spacing w:after="0"/>
      </w:pPr>
      <w:r w:rsidRPr="00602769">
        <w:t xml:space="preserve">15. Změřte a zaznamenejte hodnoty optické hustoty vzorků a kontrol při vlnové délce 450 nm. </w:t>
      </w:r>
    </w:p>
    <w:p w:rsidR="00DD76D0" w:rsidRPr="00602769" w:rsidRDefault="00DD76D0" w:rsidP="00DD76D0">
      <w:pPr>
        <w:spacing w:after="0"/>
      </w:pPr>
    </w:p>
    <w:p w:rsidR="00DD76D0" w:rsidRPr="00602769" w:rsidRDefault="00DD76D0" w:rsidP="00DD76D0">
      <w:pPr>
        <w:spacing w:after="0"/>
      </w:pPr>
      <w:r w:rsidRPr="00602769">
        <w:rPr>
          <w:b/>
        </w:rPr>
        <w:t>Poznámka:</w:t>
      </w:r>
      <w:r w:rsidRPr="00602769">
        <w:t xml:space="preserve"> Při použití robotiky umožňuje inkubace mikrodestiček v inkubačních komůrkách pracovat bez krytů destiček. Využívání robotiky zároveň není kompatibilní s jemným poklepáváním nebo</w:t>
      </w:r>
      <w:r w:rsidR="00CB4B7B">
        <w:t> </w:t>
      </w:r>
      <w:r w:rsidRPr="00602769">
        <w:t>otíráním mikrotitračních destiček. Před odečítáním výsledků lze destičky uchovávat ve tmě až</w:t>
      </w:r>
      <w:r w:rsidR="00CB4B7B">
        <w:t> </w:t>
      </w:r>
      <w:r w:rsidRPr="00602769">
        <w:t>1</w:t>
      </w:r>
      <w:r w:rsidR="00CB4B7B">
        <w:t> </w:t>
      </w:r>
      <w:r w:rsidRPr="00602769">
        <w:t>hodinu.</w:t>
      </w:r>
    </w:p>
    <w:p w:rsidR="00DD76D0" w:rsidRPr="00602769" w:rsidRDefault="00DD76D0" w:rsidP="00DD76D0">
      <w:pPr>
        <w:spacing w:after="0"/>
      </w:pPr>
    </w:p>
    <w:p w:rsidR="00DD76D0" w:rsidRPr="00602769" w:rsidRDefault="00DD76D0" w:rsidP="00DD76D0">
      <w:pPr>
        <w:spacing w:after="0"/>
      </w:pPr>
      <w:r w:rsidRPr="00602769">
        <w:t xml:space="preserve">16. Výpočty: </w:t>
      </w:r>
    </w:p>
    <w:p w:rsidR="00DD76D0" w:rsidRPr="00602769" w:rsidRDefault="00DD76D0" w:rsidP="00DD76D0">
      <w:pPr>
        <w:spacing w:after="0"/>
      </w:pPr>
      <w:r w:rsidRPr="00602769">
        <w:t xml:space="preserve">Kontroly: </w:t>
      </w:r>
    </w:p>
    <w:p w:rsidR="00DD76D0" w:rsidRPr="00602769" w:rsidRDefault="00DD76D0" w:rsidP="00DD76D0">
      <w:pPr>
        <w:spacing w:after="0"/>
        <w:rPr>
          <w:u w:val="single"/>
          <w:vertAlign w:val="subscript"/>
        </w:rPr>
      </w:pPr>
      <w:r w:rsidRPr="00602769">
        <w:t xml:space="preserve">PKx = </w:t>
      </w:r>
      <w:r w:rsidRPr="00602769">
        <w:rPr>
          <w:u w:val="single"/>
        </w:rPr>
        <w:t>PK1</w:t>
      </w:r>
      <w:r w:rsidRPr="00602769">
        <w:rPr>
          <w:u w:val="single"/>
          <w:vertAlign w:val="subscript"/>
        </w:rPr>
        <w:t>+Ag</w:t>
      </w:r>
      <w:r w:rsidRPr="00602769">
        <w:rPr>
          <w:u w:val="single"/>
        </w:rPr>
        <w:t xml:space="preserve"> A</w:t>
      </w:r>
      <w:r w:rsidRPr="00602769">
        <w:rPr>
          <w:u w:val="single"/>
          <w:vertAlign w:val="subscript"/>
        </w:rPr>
        <w:t>450</w:t>
      </w:r>
      <w:r w:rsidRPr="00602769">
        <w:rPr>
          <w:u w:val="single"/>
        </w:rPr>
        <w:t xml:space="preserve"> + PK2</w:t>
      </w:r>
      <w:r w:rsidRPr="00602769">
        <w:rPr>
          <w:u w:val="single"/>
          <w:vertAlign w:val="subscript"/>
        </w:rPr>
        <w:t>+Ag</w:t>
      </w:r>
      <w:r w:rsidRPr="00602769">
        <w:rPr>
          <w:u w:val="single"/>
        </w:rPr>
        <w:t xml:space="preserve"> A</w:t>
      </w:r>
      <w:r w:rsidRPr="00602769">
        <w:rPr>
          <w:u w:val="single"/>
          <w:vertAlign w:val="subscript"/>
        </w:rPr>
        <w:t>450</w:t>
      </w:r>
    </w:p>
    <w:p w:rsidR="00DD76D0" w:rsidRPr="00602769" w:rsidRDefault="00DD76D0" w:rsidP="00DD76D0">
      <w:pPr>
        <w:spacing w:after="0"/>
      </w:pPr>
      <w:r w:rsidRPr="00602769">
        <w:t xml:space="preserve">                                       2</w:t>
      </w:r>
    </w:p>
    <w:p w:rsidR="00DD76D0" w:rsidRPr="00602769" w:rsidRDefault="00DD76D0" w:rsidP="00DD76D0">
      <w:pPr>
        <w:spacing w:after="0"/>
      </w:pPr>
    </w:p>
    <w:p w:rsidR="00DD76D0" w:rsidRPr="00602769" w:rsidRDefault="00DD76D0" w:rsidP="00DD76D0">
      <w:pPr>
        <w:spacing w:after="0"/>
      </w:pPr>
      <w:r w:rsidRPr="00602769">
        <w:t>NE</w:t>
      </w:r>
      <w:r w:rsidRPr="00602769">
        <w:rPr>
          <w:vertAlign w:val="subscript"/>
        </w:rPr>
        <w:t>NK</w:t>
      </w:r>
      <w:r w:rsidRPr="00602769">
        <w:t xml:space="preserve"> = NK</w:t>
      </w:r>
      <w:r w:rsidRPr="00602769">
        <w:rPr>
          <w:vertAlign w:val="subscript"/>
        </w:rPr>
        <w:t>+Ag</w:t>
      </w:r>
      <w:r w:rsidRPr="00602769">
        <w:t xml:space="preserve"> A</w:t>
      </w:r>
      <w:r w:rsidRPr="00602769">
        <w:rPr>
          <w:vertAlign w:val="subscript"/>
        </w:rPr>
        <w:t>450</w:t>
      </w:r>
      <w:r w:rsidRPr="00602769">
        <w:t xml:space="preserve"> – NK</w:t>
      </w:r>
      <w:r w:rsidRPr="00602769">
        <w:rPr>
          <w:vertAlign w:val="subscript"/>
        </w:rPr>
        <w:t>-Ag</w:t>
      </w:r>
      <w:r w:rsidRPr="00602769">
        <w:t xml:space="preserve"> A</w:t>
      </w:r>
      <w:r w:rsidRPr="00602769">
        <w:rPr>
          <w:vertAlign w:val="subscript"/>
        </w:rPr>
        <w:t>450</w:t>
      </w:r>
    </w:p>
    <w:p w:rsidR="00DD76D0" w:rsidRPr="00602769" w:rsidRDefault="00DD76D0" w:rsidP="00DD76D0">
      <w:pPr>
        <w:spacing w:after="0"/>
      </w:pPr>
    </w:p>
    <w:p w:rsidR="00DD76D0" w:rsidRPr="00602769" w:rsidRDefault="00DD76D0" w:rsidP="00DD76D0">
      <w:pPr>
        <w:spacing w:after="0"/>
      </w:pPr>
      <w:r w:rsidRPr="00602769">
        <w:t>NEx</w:t>
      </w:r>
      <w:r w:rsidRPr="00602769">
        <w:rPr>
          <w:vertAlign w:val="subscript"/>
        </w:rPr>
        <w:t>PK</w:t>
      </w:r>
      <w:r w:rsidRPr="00602769">
        <w:t xml:space="preserve"> = </w:t>
      </w:r>
      <w:r w:rsidRPr="00602769">
        <w:rPr>
          <w:u w:val="single"/>
        </w:rPr>
        <w:t>(PK1</w:t>
      </w:r>
      <w:r w:rsidRPr="00602769">
        <w:rPr>
          <w:u w:val="single"/>
          <w:vertAlign w:val="subscript"/>
        </w:rPr>
        <w:t>+Ag</w:t>
      </w:r>
      <w:r w:rsidRPr="00602769">
        <w:rPr>
          <w:u w:val="single"/>
        </w:rPr>
        <w:t xml:space="preserve"> A</w:t>
      </w:r>
      <w:r w:rsidRPr="00602769">
        <w:rPr>
          <w:u w:val="single"/>
          <w:vertAlign w:val="subscript"/>
        </w:rPr>
        <w:t>450</w:t>
      </w:r>
      <w:r w:rsidRPr="00602769">
        <w:rPr>
          <w:u w:val="single"/>
        </w:rPr>
        <w:t xml:space="preserve"> – PK1</w:t>
      </w:r>
      <w:r w:rsidRPr="00602769">
        <w:rPr>
          <w:u w:val="single"/>
          <w:vertAlign w:val="subscript"/>
        </w:rPr>
        <w:t>-Ag</w:t>
      </w:r>
      <w:r w:rsidRPr="00602769">
        <w:rPr>
          <w:u w:val="single"/>
        </w:rPr>
        <w:t xml:space="preserve"> A</w:t>
      </w:r>
      <w:r w:rsidRPr="00602769">
        <w:rPr>
          <w:u w:val="single"/>
          <w:vertAlign w:val="subscript"/>
        </w:rPr>
        <w:t>450</w:t>
      </w:r>
      <w:r w:rsidRPr="00602769">
        <w:rPr>
          <w:u w:val="single"/>
        </w:rPr>
        <w:t>) + (PK2</w:t>
      </w:r>
      <w:r w:rsidRPr="00602769">
        <w:rPr>
          <w:u w:val="single"/>
          <w:vertAlign w:val="subscript"/>
        </w:rPr>
        <w:t>+Ag</w:t>
      </w:r>
      <w:r w:rsidRPr="00602769">
        <w:rPr>
          <w:u w:val="single"/>
        </w:rPr>
        <w:t xml:space="preserve"> A</w:t>
      </w:r>
      <w:r w:rsidRPr="00602769">
        <w:rPr>
          <w:u w:val="single"/>
          <w:vertAlign w:val="subscript"/>
        </w:rPr>
        <w:t>450</w:t>
      </w:r>
      <w:r w:rsidRPr="00602769">
        <w:rPr>
          <w:u w:val="single"/>
        </w:rPr>
        <w:t xml:space="preserve"> – PK2</w:t>
      </w:r>
      <w:r w:rsidRPr="00602769">
        <w:rPr>
          <w:u w:val="single"/>
          <w:vertAlign w:val="subscript"/>
        </w:rPr>
        <w:t>-Ag</w:t>
      </w:r>
      <w:r w:rsidRPr="00602769">
        <w:rPr>
          <w:u w:val="single"/>
        </w:rPr>
        <w:t xml:space="preserve"> A</w:t>
      </w:r>
      <w:r w:rsidRPr="00602769">
        <w:rPr>
          <w:u w:val="single"/>
          <w:vertAlign w:val="subscript"/>
        </w:rPr>
        <w:t>450</w:t>
      </w:r>
      <w:r w:rsidRPr="00602769">
        <w:rPr>
          <w:u w:val="single"/>
        </w:rPr>
        <w:t>)</w:t>
      </w:r>
    </w:p>
    <w:p w:rsidR="00DD76D0" w:rsidRPr="00602769" w:rsidRDefault="00DD76D0" w:rsidP="00DD76D0">
      <w:pPr>
        <w:spacing w:after="0"/>
      </w:pPr>
      <w:r w:rsidRPr="00602769">
        <w:t xml:space="preserve">                                                                     2</w:t>
      </w:r>
    </w:p>
    <w:p w:rsidR="00DD76D0" w:rsidRPr="00602769" w:rsidRDefault="00DD76D0" w:rsidP="00DD76D0">
      <w:pPr>
        <w:spacing w:after="0"/>
      </w:pPr>
      <w:r w:rsidRPr="00602769">
        <w:t>Vypočítejte průměry pozitivní kontroly (PKx), netto extinkci průměru pozitivní kontroly (NEx</w:t>
      </w:r>
      <w:r w:rsidRPr="00602769">
        <w:rPr>
          <w:vertAlign w:val="subscript"/>
        </w:rPr>
        <w:t>PC</w:t>
      </w:r>
      <w:r w:rsidRPr="00602769">
        <w:t>) a</w:t>
      </w:r>
      <w:r w:rsidR="00CB4B7B">
        <w:t> </w:t>
      </w:r>
      <w:r w:rsidRPr="00602769">
        <w:t>netto extinkci negativní kontroly (NE</w:t>
      </w:r>
      <w:r w:rsidRPr="00602769">
        <w:rPr>
          <w:vertAlign w:val="subscript"/>
        </w:rPr>
        <w:t>NK</w:t>
      </w:r>
      <w:r w:rsidRPr="00602769">
        <w:t xml:space="preserve">). </w:t>
      </w:r>
    </w:p>
    <w:p w:rsidR="00DD76D0" w:rsidRPr="00602769" w:rsidRDefault="00DD76D0" w:rsidP="00DD76D0">
      <w:pPr>
        <w:spacing w:after="0"/>
      </w:pPr>
    </w:p>
    <w:p w:rsidR="00DD76D0" w:rsidRPr="00602769" w:rsidRDefault="00DD76D0" w:rsidP="00DD76D0">
      <w:pPr>
        <w:spacing w:after="0"/>
      </w:pPr>
      <w:r w:rsidRPr="00602769">
        <w:lastRenderedPageBreak/>
        <w:t>Kritéria validity:</w:t>
      </w:r>
    </w:p>
    <w:p w:rsidR="00CB4B7B" w:rsidRDefault="00DD76D0" w:rsidP="00DD76D0">
      <w:pPr>
        <w:spacing w:after="0"/>
      </w:pPr>
      <w:r w:rsidRPr="00602769">
        <w:t>PKx ≥ 0,350                                        NExPK / NENK ≥ 3,50</w:t>
      </w:r>
    </w:p>
    <w:p w:rsidR="00DD76D0" w:rsidRPr="00602769" w:rsidRDefault="00DD76D0" w:rsidP="00DD76D0">
      <w:pPr>
        <w:spacing w:after="0"/>
      </w:pPr>
    </w:p>
    <w:p w:rsidR="00DD76D0" w:rsidRPr="00602769" w:rsidRDefault="00DD76D0" w:rsidP="00DD76D0">
      <w:pPr>
        <w:spacing w:after="0"/>
      </w:pPr>
      <w:r w:rsidRPr="00602769">
        <w:t>Poznámka: je-li hodnota netto extinkce negativní kontroly (NE</w:t>
      </w:r>
      <w:r w:rsidRPr="00602769">
        <w:rPr>
          <w:vertAlign w:val="subscript"/>
        </w:rPr>
        <w:t>NK</w:t>
      </w:r>
      <w:r w:rsidRPr="00602769">
        <w:t>) menší než nula, použijte její absolutní hodnotu. Pokud je rovna nule, použijte standardně hodnotu NEX</w:t>
      </w:r>
      <w:r w:rsidRPr="00602769">
        <w:rPr>
          <w:vertAlign w:val="subscript"/>
        </w:rPr>
        <w:t>NK</w:t>
      </w:r>
      <w:r w:rsidRPr="00602769">
        <w:t xml:space="preserve"> = 0,001.</w:t>
      </w:r>
    </w:p>
    <w:p w:rsidR="00DD76D0" w:rsidRPr="00602769" w:rsidRDefault="00DD76D0" w:rsidP="00DD76D0">
      <w:pPr>
        <w:spacing w:after="0"/>
      </w:pPr>
      <w:r w:rsidRPr="00602769">
        <w:t xml:space="preserve"> </w:t>
      </w:r>
    </w:p>
    <w:p w:rsidR="00DD76D0" w:rsidRPr="00602769" w:rsidRDefault="00DD76D0" w:rsidP="00DD76D0">
      <w:r w:rsidRPr="00602769">
        <w:t>Při neplatnosti výsledků je třeba předpokládat chybu v technice provedení. Doporučuje se důkladně znovu prostudovat přiložený leták a test provést znovu.</w:t>
      </w:r>
    </w:p>
    <w:p w:rsidR="00CB4B7B" w:rsidRDefault="00DD76D0" w:rsidP="00DD76D0">
      <w:pPr>
        <w:rPr>
          <w:b/>
        </w:rPr>
      </w:pPr>
      <w:r w:rsidRPr="00602769">
        <w:rPr>
          <w:b/>
        </w:rPr>
        <w:t>Vzorky</w:t>
      </w:r>
    </w:p>
    <w:p w:rsidR="00DD76D0" w:rsidRPr="00602769" w:rsidRDefault="00DD76D0" w:rsidP="00DD76D0">
      <w:r w:rsidRPr="00602769">
        <w:t>NE = S</w:t>
      </w:r>
      <w:r w:rsidRPr="00602769">
        <w:rPr>
          <w:vertAlign w:val="subscript"/>
        </w:rPr>
        <w:t>+Ag</w:t>
      </w:r>
      <w:r w:rsidRPr="00602769">
        <w:t xml:space="preserve"> A</w:t>
      </w:r>
      <w:r w:rsidRPr="00602769">
        <w:rPr>
          <w:vertAlign w:val="subscript"/>
        </w:rPr>
        <w:t>450</w:t>
      </w:r>
      <w:r w:rsidRPr="00602769">
        <w:t xml:space="preserve"> – S</w:t>
      </w:r>
      <w:r w:rsidRPr="00602769">
        <w:rPr>
          <w:vertAlign w:val="subscript"/>
        </w:rPr>
        <w:t>-Ag</w:t>
      </w:r>
      <w:r w:rsidRPr="00602769">
        <w:t xml:space="preserve"> A</w:t>
      </w:r>
      <w:r w:rsidRPr="00602769">
        <w:rPr>
          <w:vertAlign w:val="subscript"/>
        </w:rPr>
        <w:t xml:space="preserve">450 </w:t>
      </w:r>
      <w:r w:rsidRPr="00602769">
        <w:t xml:space="preserve">                                              S/P % = 100 x (NE / NEx</w:t>
      </w:r>
      <w:r w:rsidRPr="00602769">
        <w:rPr>
          <w:vertAlign w:val="subscript"/>
        </w:rPr>
        <w:t>PC</w:t>
      </w:r>
      <w:r w:rsidRPr="00602769">
        <w:t>)</w:t>
      </w:r>
    </w:p>
    <w:p w:rsidR="00DD76D0" w:rsidRPr="00602769" w:rsidRDefault="00DD76D0" w:rsidP="00DD76D0">
      <w:r w:rsidRPr="00602769">
        <w:t>Vypočítejte hodnotu netto extinkce pro každý vzorek odečtením odpovídající hodnoty OD450 získané z kontrolní jamky (S</w:t>
      </w:r>
      <w:r w:rsidRPr="00602769">
        <w:rPr>
          <w:vertAlign w:val="subscript"/>
        </w:rPr>
        <w:t>–Ag</w:t>
      </w:r>
      <w:r w:rsidRPr="00602769">
        <w:t xml:space="preserve"> A</w:t>
      </w:r>
      <w:r w:rsidRPr="00602769">
        <w:rPr>
          <w:vertAlign w:val="subscript"/>
        </w:rPr>
        <w:t>450</w:t>
      </w:r>
      <w:r w:rsidRPr="00602769">
        <w:t>) od hodnoty OD450 získané z potažené jamky (S</w:t>
      </w:r>
      <w:r w:rsidRPr="00602769">
        <w:rPr>
          <w:vertAlign w:val="subscript"/>
        </w:rPr>
        <w:t>+Ag</w:t>
      </w:r>
      <w:r w:rsidRPr="00602769">
        <w:t xml:space="preserve"> A</w:t>
      </w:r>
      <w:r w:rsidRPr="00602769">
        <w:rPr>
          <w:vertAlign w:val="subscript"/>
        </w:rPr>
        <w:t>450</w:t>
      </w:r>
      <w:r w:rsidRPr="00602769">
        <w:t>).</w:t>
      </w:r>
    </w:p>
    <w:p w:rsidR="00DD76D0" w:rsidRPr="00602769" w:rsidRDefault="00DD76D0" w:rsidP="00DD76D0">
      <w:pPr>
        <w:rPr>
          <w:b/>
        </w:rPr>
      </w:pPr>
      <w:r w:rsidRPr="00602769">
        <w:rPr>
          <w:b/>
        </w:rPr>
        <w:t xml:space="preserve">17. Interpretace: </w:t>
      </w:r>
    </w:p>
    <w:p w:rsidR="00DD76D0" w:rsidRPr="00602769" w:rsidRDefault="00DD76D0" w:rsidP="00DD76D0">
      <w:pPr>
        <w:rPr>
          <w:b/>
        </w:rPr>
      </w:pPr>
      <w:r w:rsidRPr="00602769">
        <w:rPr>
          <w:b/>
        </w:rPr>
        <w:t>Sérum a plazma:</w:t>
      </w:r>
    </w:p>
    <w:p w:rsidR="00DD76D0" w:rsidRPr="00602769" w:rsidRDefault="00DD76D0" w:rsidP="00DD76D0">
      <w:r w:rsidRPr="00602769">
        <w:t>Negativní: S/P % ≤ 45</w:t>
      </w:r>
    </w:p>
    <w:p w:rsidR="00DD76D0" w:rsidRPr="00602769" w:rsidRDefault="00DD76D0" w:rsidP="00DD76D0">
      <w:r w:rsidRPr="00602769">
        <w:t>Suspektní: 45 &lt; S/P % &lt; 55</w:t>
      </w:r>
    </w:p>
    <w:p w:rsidR="00DD76D0" w:rsidRPr="00602769" w:rsidRDefault="00DD76D0" w:rsidP="00DD76D0">
      <w:r w:rsidRPr="00602769">
        <w:t>Pozitivní: S/P % ≥ 55</w:t>
      </w:r>
    </w:p>
    <w:p w:rsidR="00DD76D0" w:rsidRPr="00602769" w:rsidRDefault="00DD76D0" w:rsidP="00DD76D0">
      <w:r w:rsidRPr="00602769">
        <w:rPr>
          <w:b/>
        </w:rPr>
        <w:t>Kravské mléko:</w:t>
      </w:r>
      <w:r w:rsidRPr="00602769">
        <w:rPr>
          <w:b/>
        </w:rPr>
        <w:br/>
      </w:r>
      <w:r w:rsidRPr="00602769">
        <w:t>Negativní: S/P % ≤ 20</w:t>
      </w:r>
    </w:p>
    <w:p w:rsidR="00DD76D0" w:rsidRPr="00602769" w:rsidRDefault="00DD76D0" w:rsidP="00DD76D0">
      <w:r w:rsidRPr="00602769">
        <w:t>Suspektní: 20 &lt; S/P % &lt; 30</w:t>
      </w:r>
    </w:p>
    <w:p w:rsidR="00DD76D0" w:rsidRPr="00602769" w:rsidRDefault="00DD76D0" w:rsidP="00DD76D0">
      <w:r w:rsidRPr="00602769">
        <w:t>Pozitivní: S/P % ≥ 30</w:t>
      </w:r>
    </w:p>
    <w:p w:rsidR="00DD76D0" w:rsidRPr="00602769" w:rsidRDefault="00DD76D0" w:rsidP="00CB4B7B">
      <w:pPr>
        <w:spacing w:before="100" w:beforeAutospacing="1" w:after="100" w:afterAutospacing="1" w:line="240" w:lineRule="auto"/>
        <w:contextualSpacing/>
      </w:pPr>
      <w:r w:rsidRPr="00602769">
        <w:t>Poznámka: Společnost IDEXX má k dispozici přístrojové a softwarové systémy pro výpočet výsledků a</w:t>
      </w:r>
      <w:r w:rsidR="00CB4B7B">
        <w:t> </w:t>
      </w:r>
      <w:r w:rsidRPr="00602769">
        <w:t>poskytování souhrnů dat.</w:t>
      </w:r>
    </w:p>
    <w:p w:rsidR="00CB4B7B" w:rsidRDefault="00DD76D0" w:rsidP="00CB4B7B">
      <w:pPr>
        <w:spacing w:before="100" w:beforeAutospacing="1" w:after="100" w:afterAutospacing="1" w:line="240" w:lineRule="auto"/>
        <w:contextualSpacing/>
      </w:pPr>
      <w:r w:rsidRPr="00602769">
        <w:t>Poznámka: Oblast suspektních výsledků se nepoužívá v Austrálii.</w:t>
      </w:r>
    </w:p>
    <w:p w:rsidR="00CB4B7B" w:rsidRDefault="00DD76D0" w:rsidP="00CB4B7B">
      <w:pPr>
        <w:spacing w:before="100" w:beforeAutospacing="1" w:after="100" w:afterAutospacing="1" w:line="240" w:lineRule="auto"/>
        <w:contextualSpacing/>
      </w:pPr>
      <w:r w:rsidRPr="00602769">
        <w:t>- Sérum: vzorky se S/P ≤ 55 % se považují za negativní, vzorky se S/P &gt; 55 % se považují za pozitivní.</w:t>
      </w:r>
    </w:p>
    <w:p w:rsidR="00DD76D0" w:rsidRPr="00602769" w:rsidRDefault="00DD76D0" w:rsidP="00DD76D0">
      <w:r w:rsidRPr="00602769">
        <w:t xml:space="preserve">- Mléko: vzorky se S/P ≤ 30 % se považují za negativní, vzorky se S/P &gt; 30 % se považují za pozitivní. </w:t>
      </w:r>
    </w:p>
    <w:p w:rsidR="00DD76D0" w:rsidRPr="00602769" w:rsidRDefault="00DD76D0" w:rsidP="00DD76D0">
      <w:pPr>
        <w:spacing w:after="0"/>
        <w:rPr>
          <w:b/>
        </w:rPr>
      </w:pPr>
      <w:r w:rsidRPr="00602769">
        <w:rPr>
          <w:b/>
        </w:rPr>
        <w:t>Technická podpora:</w:t>
      </w:r>
    </w:p>
    <w:p w:rsidR="00DD76D0" w:rsidRPr="00602769" w:rsidRDefault="00DD76D0" w:rsidP="00DD76D0">
      <w:pPr>
        <w:spacing w:after="0"/>
      </w:pPr>
    </w:p>
    <w:p w:rsidR="00DD76D0" w:rsidRPr="00602769" w:rsidRDefault="00DD76D0" w:rsidP="00DD76D0">
      <w:pPr>
        <w:spacing w:after="0"/>
      </w:pPr>
      <w:r w:rsidRPr="00602769">
        <w:t>IDEXX USA Tel: +1 800 548 9997 nebo +1 207 556 4895</w:t>
      </w:r>
    </w:p>
    <w:p w:rsidR="00DD76D0" w:rsidRPr="00602769" w:rsidRDefault="00DD76D0" w:rsidP="00DD76D0">
      <w:pPr>
        <w:spacing w:after="0"/>
      </w:pPr>
      <w:r w:rsidRPr="00602769">
        <w:t>IDEXX Evropa Tel: +800 727 43399</w:t>
      </w:r>
    </w:p>
    <w:p w:rsidR="00DD76D0" w:rsidRPr="00602769" w:rsidRDefault="00DD76D0" w:rsidP="00DD76D0">
      <w:pPr>
        <w:spacing w:after="0"/>
      </w:pPr>
      <w:r w:rsidRPr="00602769">
        <w:t>Obraťte se na manažera nebo distributora společnosti IDEXX pro Vaši oblast nebo navštivte naši webovou stránku: www.idexx.com/production/contactlpd</w:t>
      </w:r>
    </w:p>
    <w:p w:rsidR="00DD76D0" w:rsidRPr="00602769" w:rsidRDefault="00DD76D0" w:rsidP="00DD76D0">
      <w:pPr>
        <w:spacing w:after="0"/>
      </w:pPr>
    </w:p>
    <w:p w:rsidR="00DD76D0" w:rsidRPr="00602769" w:rsidRDefault="00DD76D0" w:rsidP="00DD76D0">
      <w:pPr>
        <w:spacing w:after="0"/>
      </w:pPr>
      <w:r w:rsidRPr="00602769">
        <w:t>IDEXX a Test With Confidence jsou ochranné známky nebo registrované ochranné známky</w:t>
      </w:r>
    </w:p>
    <w:p w:rsidR="00DD76D0" w:rsidRPr="00602769" w:rsidRDefault="00DD76D0" w:rsidP="00DD76D0">
      <w:pPr>
        <w:spacing w:after="0"/>
      </w:pPr>
      <w:r w:rsidRPr="00602769">
        <w:t>společnosti IDEXX Laboratories, Inc. nebo jejích přidružených společností ve Spojených státech amerických a/nebo v jiných zemích.</w:t>
      </w:r>
    </w:p>
    <w:p w:rsidR="00DD76D0" w:rsidRPr="00602769" w:rsidRDefault="00DD76D0" w:rsidP="00DD76D0">
      <w:pPr>
        <w:spacing w:after="0"/>
      </w:pPr>
    </w:p>
    <w:p w:rsidR="00DD76D0" w:rsidRDefault="00DD76D0" w:rsidP="00DD76D0">
      <w:pPr>
        <w:spacing w:after="0"/>
      </w:pPr>
      <w:r w:rsidRPr="00602769">
        <w:t>©2020 IDEXX Laboratories, Inc. Všechna práva vyhrazena.</w:t>
      </w:r>
    </w:p>
    <w:p w:rsidR="00CB4B7B" w:rsidRDefault="00CB4B7B" w:rsidP="00DD76D0">
      <w:pPr>
        <w:spacing w:after="0"/>
      </w:pPr>
    </w:p>
    <w:p w:rsidR="00DD76D0" w:rsidRPr="00602769" w:rsidRDefault="00DD76D0" w:rsidP="00DD76D0">
      <w:pPr>
        <w:spacing w:after="0"/>
        <w:jc w:val="center"/>
      </w:pPr>
      <w:r w:rsidRPr="00602769">
        <w:rPr>
          <w:b/>
        </w:rPr>
        <w:lastRenderedPageBreak/>
        <w:t>VAROVÁNÍ</w:t>
      </w:r>
    </w:p>
    <w:p w:rsidR="00DD76D0" w:rsidRPr="00602769" w:rsidRDefault="00DD76D0" w:rsidP="00DD76D0">
      <w:pPr>
        <w:spacing w:after="0"/>
        <w:rPr>
          <w:b/>
        </w:rPr>
      </w:pPr>
    </w:p>
    <w:p w:rsidR="00DD76D0" w:rsidRPr="00602769" w:rsidRDefault="00DD76D0" w:rsidP="00DD76D0">
      <w:pPr>
        <w:spacing w:after="0"/>
      </w:pPr>
      <w:r w:rsidRPr="00602769">
        <w:rPr>
          <w:b/>
          <w:lang w:eastAsia="cs-CZ"/>
        </w:rPr>
        <w:drawing>
          <wp:inline distT="0" distB="0" distL="0" distR="0" wp14:anchorId="0813E067" wp14:editId="7D94860A">
            <wp:extent cx="5759450" cy="2667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266700"/>
                    </a:xfrm>
                    <a:prstGeom prst="rect">
                      <a:avLst/>
                    </a:prstGeom>
                    <a:noFill/>
                    <a:ln>
                      <a:noFill/>
                    </a:ln>
                  </pic:spPr>
                </pic:pic>
              </a:graphicData>
            </a:graphic>
          </wp:inline>
        </w:drawing>
      </w:r>
      <w:r w:rsidRPr="00602769">
        <w:rPr>
          <w:b/>
        </w:rPr>
        <w:t xml:space="preserve">Pozitivní kontrola/Negativní kontrola/Koncentrovaný konjugát – </w:t>
      </w:r>
      <w:r w:rsidRPr="00602769">
        <w:t>Může vyvolat alergickou kožní reakci. Škodlivý pro vodní mikroorgani</w:t>
      </w:r>
      <w:r w:rsidR="00D4024C" w:rsidRPr="00602769">
        <w:t>s</w:t>
      </w:r>
      <w:r w:rsidRPr="00602769">
        <w:t>my, s dlouhodobými účinky. Zamezte vdechování mlhy/par. Při podráždění kůže nebo vyrážce: Vyhledejte lékařskou pomoc/ošetření.</w:t>
      </w:r>
    </w:p>
    <w:p w:rsidR="00DD76D0" w:rsidRPr="00602769" w:rsidRDefault="00DD76D0" w:rsidP="00DD76D0">
      <w:pPr>
        <w:spacing w:after="0"/>
        <w:rPr>
          <w:b/>
        </w:rPr>
      </w:pPr>
    </w:p>
    <w:p w:rsidR="00DD76D0" w:rsidRPr="00602769" w:rsidRDefault="00DD76D0" w:rsidP="00DD76D0">
      <w:pPr>
        <w:spacing w:after="0"/>
      </w:pPr>
      <w:r w:rsidRPr="00602769">
        <w:rPr>
          <w:lang w:eastAsia="cs-CZ"/>
        </w:rPr>
        <w:drawing>
          <wp:inline distT="0" distB="0" distL="0" distR="0" wp14:anchorId="45E7176E" wp14:editId="4D7AC315">
            <wp:extent cx="5753100" cy="2667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266700"/>
                    </a:xfrm>
                    <a:prstGeom prst="rect">
                      <a:avLst/>
                    </a:prstGeom>
                    <a:noFill/>
                    <a:ln>
                      <a:noFill/>
                    </a:ln>
                  </pic:spPr>
                </pic:pic>
              </a:graphicData>
            </a:graphic>
          </wp:inline>
        </w:drawing>
      </w:r>
    </w:p>
    <w:p w:rsidR="00DD76D0" w:rsidRPr="00602769" w:rsidRDefault="00DD76D0" w:rsidP="00DD76D0">
      <w:pPr>
        <w:spacing w:after="0"/>
      </w:pPr>
      <w:r w:rsidRPr="00602769">
        <w:rPr>
          <w:b/>
        </w:rPr>
        <w:t>Ředící pufr č.</w:t>
      </w:r>
      <w:r w:rsidR="00AF6F92">
        <w:rPr>
          <w:b/>
        </w:rPr>
        <w:t xml:space="preserve"> </w:t>
      </w:r>
      <w:r w:rsidRPr="00602769">
        <w:rPr>
          <w:b/>
        </w:rPr>
        <w:t xml:space="preserve">12 - </w:t>
      </w:r>
      <w:r w:rsidRPr="00602769">
        <w:t>Škodlivý pro vodní mikroorganizmy, s dlouhodobými účinky.</w:t>
      </w:r>
    </w:p>
    <w:p w:rsidR="00DD76D0" w:rsidRPr="00602769" w:rsidRDefault="00DD76D0" w:rsidP="00DD76D0">
      <w:pPr>
        <w:spacing w:after="0"/>
      </w:pPr>
    </w:p>
    <w:p w:rsidR="00DD76D0" w:rsidRPr="00602769" w:rsidRDefault="00DD76D0" w:rsidP="00DD76D0">
      <w:pPr>
        <w:spacing w:after="0"/>
        <w:rPr>
          <w:b/>
        </w:rPr>
      </w:pPr>
      <w:r w:rsidRPr="00602769">
        <w:rPr>
          <w:b/>
          <w:lang w:eastAsia="cs-CZ"/>
        </w:rPr>
        <w:drawing>
          <wp:inline distT="0" distB="0" distL="0" distR="0" wp14:anchorId="799ADA96" wp14:editId="44C0A427">
            <wp:extent cx="5753100" cy="4445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3100" cy="444500"/>
                    </a:xfrm>
                    <a:prstGeom prst="rect">
                      <a:avLst/>
                    </a:prstGeom>
                    <a:noFill/>
                    <a:ln>
                      <a:noFill/>
                    </a:ln>
                  </pic:spPr>
                </pic:pic>
              </a:graphicData>
            </a:graphic>
          </wp:inline>
        </w:drawing>
      </w:r>
    </w:p>
    <w:p w:rsidR="00DD76D0" w:rsidRPr="00602769" w:rsidRDefault="00DD76D0" w:rsidP="00DD76D0">
      <w:r w:rsidRPr="00602769">
        <w:rPr>
          <w:b/>
        </w:rPr>
        <w:t xml:space="preserve">Zastavovací roztok – </w:t>
      </w:r>
      <w:r w:rsidRPr="00602769">
        <w:t xml:space="preserve">Způsobuje těžké poleptání kůže a poškození očí. Může vyvolat alergickou kožní reakci. Způsobuje vážné poškození očí. Škodlivý pro vodní mikroorganizmy, s dlouhodobými účinky. </w:t>
      </w:r>
      <w:r w:rsidRPr="00602769">
        <w:rPr>
          <w:szCs w:val="17"/>
        </w:rPr>
        <w:t>Používejte ochranné rukavice/ochranný oděv/ochranné brýle/obličejový štít.</w:t>
      </w:r>
      <w:r w:rsidRPr="00602769">
        <w:rPr>
          <w:sz w:val="20"/>
          <w:szCs w:val="17"/>
        </w:rPr>
        <w:t xml:space="preserve"> </w:t>
      </w:r>
      <w:r w:rsidRPr="00602769">
        <w:rPr>
          <w:szCs w:val="24"/>
        </w:rPr>
        <w:t>PŘI POŽITÍ: Vypláchněte ústa. NEVYVOLÁVEJTE zvracení.</w:t>
      </w:r>
      <w:r w:rsidRPr="00602769">
        <w:rPr>
          <w:szCs w:val="17"/>
        </w:rPr>
        <w:t xml:space="preserve"> </w:t>
      </w:r>
      <w:r w:rsidRPr="00602769">
        <w:rPr>
          <w:szCs w:val="24"/>
        </w:rPr>
        <w:t>PŘI STYKU S KŮŽÍ (nebo s vlasy): Veškeré kontaminované části oděvu okamžitě svlékněte. Opláchněte kůži vodou. PŘI VDECHNUTÍ: Přeneste osobu na čerstvý vzduch a</w:t>
      </w:r>
      <w:r w:rsidR="00CB4B7B">
        <w:rPr>
          <w:szCs w:val="24"/>
        </w:rPr>
        <w:t> </w:t>
      </w:r>
      <w:r w:rsidRPr="00602769">
        <w:rPr>
          <w:szCs w:val="24"/>
        </w:rPr>
        <w:t xml:space="preserve">ponechte ji v poloze usnadňující dýchání. PŘI ZASAŽENÍ OČÍ: Několik minut opatrně vyplachujte vodou. Vyjměte kontaktní čočky, jsou-li </w:t>
      </w:r>
      <w:r w:rsidR="00AF6F92" w:rsidRPr="00602769">
        <w:rPr>
          <w:szCs w:val="24"/>
        </w:rPr>
        <w:t>nasazeny, a pokud</w:t>
      </w:r>
      <w:r w:rsidRPr="00602769">
        <w:rPr>
          <w:szCs w:val="24"/>
        </w:rPr>
        <w:t xml:space="preserve"> je lze vyjmout snadno. Pokračujte ve</w:t>
      </w:r>
      <w:r w:rsidR="00CB4B7B">
        <w:rPr>
          <w:szCs w:val="24"/>
        </w:rPr>
        <w:t> </w:t>
      </w:r>
      <w:r w:rsidRPr="00602769">
        <w:rPr>
          <w:szCs w:val="24"/>
        </w:rPr>
        <w:t>vyplachování.</w:t>
      </w:r>
    </w:p>
    <w:p w:rsidR="00DD76D0" w:rsidRPr="00602769" w:rsidRDefault="00DD76D0" w:rsidP="00DD76D0">
      <w:pPr>
        <w:rPr>
          <w:rFonts w:cs="TTE1965D00t00"/>
          <w:b/>
          <w:color w:val="000000"/>
        </w:rPr>
      </w:pPr>
      <w:r w:rsidRPr="00602769">
        <w:rPr>
          <w:rFonts w:cs="TTE1965D00t00"/>
          <w:b/>
          <w:color w:val="000000"/>
        </w:rPr>
        <w:t>Popis symbolů</w:t>
      </w:r>
    </w:p>
    <w:p w:rsidR="00DD76D0" w:rsidRPr="00602769" w:rsidRDefault="00DD76D0" w:rsidP="00DD76D0">
      <w:pPr>
        <w:autoSpaceDE w:val="0"/>
        <w:autoSpaceDN w:val="0"/>
        <w:adjustRightInd w:val="0"/>
        <w:spacing w:after="0" w:line="240" w:lineRule="auto"/>
        <w:ind w:left="2268" w:hanging="2268"/>
        <w:jc w:val="both"/>
        <w:rPr>
          <w:rFonts w:cs="TTE1965D00t00"/>
          <w:color w:val="000000"/>
        </w:rPr>
      </w:pPr>
      <w:r w:rsidRPr="00602769">
        <w:rPr>
          <w:rFonts w:cs="TTE1965D00t00"/>
          <w:color w:val="000000"/>
          <w:lang w:eastAsia="cs-CZ"/>
        </w:rPr>
        <w:drawing>
          <wp:inline distT="0" distB="0" distL="0" distR="0" wp14:anchorId="2D664928" wp14:editId="481146F7">
            <wp:extent cx="445135" cy="314960"/>
            <wp:effectExtent l="0" t="0" r="0" b="889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135" cy="314960"/>
                    </a:xfrm>
                    <a:prstGeom prst="rect">
                      <a:avLst/>
                    </a:prstGeom>
                    <a:noFill/>
                    <a:ln>
                      <a:noFill/>
                    </a:ln>
                  </pic:spPr>
                </pic:pic>
              </a:graphicData>
            </a:graphic>
          </wp:inline>
        </w:drawing>
      </w:r>
      <w:r w:rsidRPr="00602769">
        <w:rPr>
          <w:rFonts w:cs="TTE1965D00t00"/>
          <w:color w:val="000000"/>
        </w:rPr>
        <w:tab/>
        <w:t>Kód šarže</w:t>
      </w:r>
    </w:p>
    <w:p w:rsidR="00DD76D0" w:rsidRPr="00602769" w:rsidRDefault="00DD76D0" w:rsidP="00DD76D0">
      <w:pPr>
        <w:autoSpaceDE w:val="0"/>
        <w:autoSpaceDN w:val="0"/>
        <w:adjustRightInd w:val="0"/>
        <w:spacing w:after="0" w:line="240" w:lineRule="auto"/>
        <w:ind w:left="2268" w:hanging="2268"/>
        <w:jc w:val="both"/>
        <w:rPr>
          <w:rFonts w:cs="TTE1965D00t00"/>
          <w:color w:val="000000"/>
        </w:rPr>
      </w:pPr>
    </w:p>
    <w:p w:rsidR="00DD76D0" w:rsidRPr="00602769" w:rsidRDefault="00DD76D0" w:rsidP="00DD76D0">
      <w:pPr>
        <w:autoSpaceDE w:val="0"/>
        <w:autoSpaceDN w:val="0"/>
        <w:adjustRightInd w:val="0"/>
        <w:spacing w:after="0" w:line="240" w:lineRule="auto"/>
        <w:ind w:left="2268" w:hanging="2268"/>
        <w:jc w:val="both"/>
        <w:rPr>
          <w:rFonts w:cs="TTE1965D00t00"/>
          <w:color w:val="000000"/>
        </w:rPr>
      </w:pPr>
      <w:r w:rsidRPr="00602769">
        <w:rPr>
          <w:rFonts w:cs="TTE1965D00t00"/>
          <w:color w:val="000000"/>
          <w:lang w:eastAsia="cs-CZ"/>
        </w:rPr>
        <w:drawing>
          <wp:inline distT="0" distB="0" distL="0" distR="0" wp14:anchorId="59DC5DDA" wp14:editId="76095227">
            <wp:extent cx="522605" cy="42164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605" cy="421640"/>
                    </a:xfrm>
                    <a:prstGeom prst="rect">
                      <a:avLst/>
                    </a:prstGeom>
                    <a:noFill/>
                    <a:ln>
                      <a:noFill/>
                    </a:ln>
                  </pic:spPr>
                </pic:pic>
              </a:graphicData>
            </a:graphic>
          </wp:inline>
        </w:drawing>
      </w:r>
      <w:r w:rsidRPr="00602769">
        <w:rPr>
          <w:rFonts w:cs="TTE1965D00t00"/>
          <w:color w:val="000000"/>
        </w:rPr>
        <w:tab/>
        <w:t>Sériové číslo</w:t>
      </w:r>
    </w:p>
    <w:p w:rsidR="00DD76D0" w:rsidRPr="00602769" w:rsidRDefault="00DD76D0" w:rsidP="00DD76D0">
      <w:pPr>
        <w:autoSpaceDE w:val="0"/>
        <w:autoSpaceDN w:val="0"/>
        <w:adjustRightInd w:val="0"/>
        <w:spacing w:after="0" w:line="240" w:lineRule="auto"/>
        <w:ind w:left="2268" w:hanging="2268"/>
        <w:jc w:val="both"/>
        <w:rPr>
          <w:rFonts w:cs="TTE1965D00t00"/>
          <w:color w:val="000000"/>
        </w:rPr>
      </w:pPr>
    </w:p>
    <w:p w:rsidR="00DD76D0" w:rsidRPr="00602769" w:rsidRDefault="00DD76D0" w:rsidP="00DD76D0">
      <w:pPr>
        <w:autoSpaceDE w:val="0"/>
        <w:autoSpaceDN w:val="0"/>
        <w:adjustRightInd w:val="0"/>
        <w:spacing w:after="0" w:line="240" w:lineRule="auto"/>
        <w:ind w:left="2268" w:hanging="2268"/>
        <w:jc w:val="both"/>
        <w:rPr>
          <w:rFonts w:cs="TTE1965D00t00"/>
          <w:color w:val="000000"/>
        </w:rPr>
      </w:pPr>
      <w:r w:rsidRPr="00602769">
        <w:rPr>
          <w:rFonts w:cs="TTE1965D00t00"/>
          <w:color w:val="000000"/>
          <w:lang w:eastAsia="cs-CZ"/>
        </w:rPr>
        <w:drawing>
          <wp:inline distT="0" distB="0" distL="0" distR="0" wp14:anchorId="5EA199D4" wp14:editId="78973700">
            <wp:extent cx="487045" cy="421640"/>
            <wp:effectExtent l="0" t="0" r="8255"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045" cy="421640"/>
                    </a:xfrm>
                    <a:prstGeom prst="rect">
                      <a:avLst/>
                    </a:prstGeom>
                    <a:noFill/>
                    <a:ln>
                      <a:noFill/>
                    </a:ln>
                  </pic:spPr>
                </pic:pic>
              </a:graphicData>
            </a:graphic>
          </wp:inline>
        </w:drawing>
      </w:r>
      <w:r w:rsidRPr="00602769">
        <w:rPr>
          <w:rFonts w:cs="TTE1965D00t00"/>
          <w:color w:val="000000"/>
        </w:rPr>
        <w:tab/>
        <w:t>Katalogové číslo</w:t>
      </w:r>
    </w:p>
    <w:p w:rsidR="00DD76D0" w:rsidRPr="00602769" w:rsidRDefault="00DD76D0" w:rsidP="00DD76D0">
      <w:pPr>
        <w:autoSpaceDE w:val="0"/>
        <w:autoSpaceDN w:val="0"/>
        <w:adjustRightInd w:val="0"/>
        <w:spacing w:after="0" w:line="240" w:lineRule="auto"/>
        <w:ind w:left="2268" w:hanging="2268"/>
        <w:jc w:val="both"/>
        <w:rPr>
          <w:rFonts w:cs="TTE1965D00t00"/>
          <w:color w:val="000000"/>
        </w:rPr>
      </w:pPr>
    </w:p>
    <w:p w:rsidR="00DD76D0" w:rsidRPr="00602769" w:rsidRDefault="00DD76D0" w:rsidP="00DD76D0">
      <w:pPr>
        <w:autoSpaceDE w:val="0"/>
        <w:autoSpaceDN w:val="0"/>
        <w:adjustRightInd w:val="0"/>
        <w:spacing w:after="0" w:line="240" w:lineRule="auto"/>
        <w:ind w:left="2268" w:hanging="2268"/>
        <w:jc w:val="both"/>
        <w:rPr>
          <w:rFonts w:cs="TTE1965D00t00"/>
          <w:color w:val="000000"/>
        </w:rPr>
      </w:pPr>
      <w:r w:rsidRPr="00602769">
        <w:rPr>
          <w:rFonts w:cs="TTE1965D00t00"/>
          <w:color w:val="000000"/>
          <w:lang w:eastAsia="cs-CZ"/>
        </w:rPr>
        <w:drawing>
          <wp:inline distT="0" distB="0" distL="0" distR="0" wp14:anchorId="5C25E4CC" wp14:editId="34C7523B">
            <wp:extent cx="563880" cy="409575"/>
            <wp:effectExtent l="0" t="0" r="7620" b="952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3880" cy="409575"/>
                    </a:xfrm>
                    <a:prstGeom prst="rect">
                      <a:avLst/>
                    </a:prstGeom>
                    <a:noFill/>
                    <a:ln>
                      <a:noFill/>
                    </a:ln>
                  </pic:spPr>
                </pic:pic>
              </a:graphicData>
            </a:graphic>
          </wp:inline>
        </w:drawing>
      </w:r>
      <w:r w:rsidRPr="00602769">
        <w:rPr>
          <w:rFonts w:cs="TTE1965D00t00"/>
          <w:color w:val="000000"/>
        </w:rPr>
        <w:tab/>
        <w:t>Diagnostika in vitro</w:t>
      </w:r>
    </w:p>
    <w:p w:rsidR="00DD76D0" w:rsidRPr="00602769" w:rsidRDefault="00DD76D0" w:rsidP="00DD76D0">
      <w:pPr>
        <w:autoSpaceDE w:val="0"/>
        <w:autoSpaceDN w:val="0"/>
        <w:adjustRightInd w:val="0"/>
        <w:spacing w:after="0" w:line="240" w:lineRule="auto"/>
        <w:ind w:left="2268" w:hanging="2268"/>
        <w:jc w:val="both"/>
        <w:rPr>
          <w:rFonts w:cs="TTE1965D00t00"/>
          <w:color w:val="000000"/>
        </w:rPr>
      </w:pPr>
    </w:p>
    <w:p w:rsidR="00DD76D0" w:rsidRPr="00602769" w:rsidRDefault="00DD76D0" w:rsidP="00DD76D0">
      <w:pPr>
        <w:autoSpaceDE w:val="0"/>
        <w:autoSpaceDN w:val="0"/>
        <w:adjustRightInd w:val="0"/>
        <w:spacing w:after="0" w:line="240" w:lineRule="auto"/>
        <w:ind w:left="2268" w:hanging="2268"/>
        <w:jc w:val="both"/>
        <w:rPr>
          <w:rFonts w:cs="TTE1965D00t00"/>
          <w:color w:val="000000"/>
        </w:rPr>
      </w:pPr>
      <w:r w:rsidRPr="00602769">
        <w:rPr>
          <w:rFonts w:cs="TTE1965D00t00"/>
          <w:color w:val="000000"/>
          <w:lang w:eastAsia="cs-CZ"/>
        </w:rPr>
        <w:drawing>
          <wp:inline distT="0" distB="0" distL="0" distR="0" wp14:anchorId="5DAA7F64" wp14:editId="70E616FC">
            <wp:extent cx="563880" cy="445135"/>
            <wp:effectExtent l="0" t="0" r="762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880" cy="445135"/>
                    </a:xfrm>
                    <a:prstGeom prst="rect">
                      <a:avLst/>
                    </a:prstGeom>
                    <a:noFill/>
                    <a:ln>
                      <a:noFill/>
                    </a:ln>
                  </pic:spPr>
                </pic:pic>
              </a:graphicData>
            </a:graphic>
          </wp:inline>
        </w:drawing>
      </w:r>
      <w:r w:rsidRPr="00602769">
        <w:rPr>
          <w:rFonts w:cs="TTE1965D00t00"/>
          <w:color w:val="000000"/>
        </w:rPr>
        <w:tab/>
        <w:t>Autorizovaný zástupce v Evropském společenství</w:t>
      </w:r>
    </w:p>
    <w:p w:rsidR="00DD76D0" w:rsidRPr="00602769" w:rsidRDefault="00DD76D0" w:rsidP="00DD76D0">
      <w:pPr>
        <w:autoSpaceDE w:val="0"/>
        <w:autoSpaceDN w:val="0"/>
        <w:adjustRightInd w:val="0"/>
        <w:spacing w:after="0" w:line="240" w:lineRule="auto"/>
        <w:ind w:left="2268" w:hanging="2268"/>
        <w:jc w:val="both"/>
        <w:rPr>
          <w:rFonts w:cs="TTE1965D00t00"/>
          <w:color w:val="000000"/>
        </w:rPr>
      </w:pPr>
    </w:p>
    <w:p w:rsidR="00DD76D0" w:rsidRPr="00602769" w:rsidRDefault="00DD76D0" w:rsidP="00DD76D0">
      <w:pPr>
        <w:autoSpaceDE w:val="0"/>
        <w:autoSpaceDN w:val="0"/>
        <w:adjustRightInd w:val="0"/>
        <w:spacing w:after="0" w:line="240" w:lineRule="auto"/>
        <w:ind w:left="2268" w:hanging="2268"/>
        <w:jc w:val="both"/>
        <w:rPr>
          <w:rFonts w:cs="TTE1965D00t00"/>
          <w:color w:val="000000"/>
        </w:rPr>
      </w:pPr>
      <w:r w:rsidRPr="00602769">
        <w:rPr>
          <w:rFonts w:cs="TTE1965D00t00"/>
          <w:color w:val="000000"/>
          <w:lang w:eastAsia="cs-CZ"/>
        </w:rPr>
        <w:drawing>
          <wp:inline distT="0" distB="0" distL="0" distR="0" wp14:anchorId="460CC4D2" wp14:editId="72E78F1E">
            <wp:extent cx="754380" cy="379730"/>
            <wp:effectExtent l="0" t="0" r="7620" b="127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4380" cy="379730"/>
                    </a:xfrm>
                    <a:prstGeom prst="rect">
                      <a:avLst/>
                    </a:prstGeom>
                    <a:noFill/>
                    <a:ln>
                      <a:noFill/>
                    </a:ln>
                  </pic:spPr>
                </pic:pic>
              </a:graphicData>
            </a:graphic>
          </wp:inline>
        </w:drawing>
      </w:r>
      <w:r w:rsidRPr="00602769">
        <w:rPr>
          <w:rFonts w:cs="TTE1965D00t00"/>
          <w:color w:val="000000"/>
        </w:rPr>
        <w:tab/>
        <w:t>Pozitivní kontrolní vzorek</w:t>
      </w:r>
    </w:p>
    <w:p w:rsidR="00DD76D0" w:rsidRPr="00602769" w:rsidRDefault="00DD76D0" w:rsidP="00DD76D0">
      <w:pPr>
        <w:autoSpaceDE w:val="0"/>
        <w:autoSpaceDN w:val="0"/>
        <w:adjustRightInd w:val="0"/>
        <w:spacing w:after="0" w:line="240" w:lineRule="auto"/>
        <w:ind w:left="2268" w:hanging="2268"/>
        <w:jc w:val="both"/>
        <w:rPr>
          <w:rFonts w:cs="TTE1965D00t00"/>
          <w:color w:val="000000"/>
        </w:rPr>
      </w:pPr>
    </w:p>
    <w:p w:rsidR="00DD76D0" w:rsidRPr="00602769" w:rsidRDefault="00DD76D0" w:rsidP="00DD76D0">
      <w:pPr>
        <w:autoSpaceDE w:val="0"/>
        <w:autoSpaceDN w:val="0"/>
        <w:adjustRightInd w:val="0"/>
        <w:spacing w:after="0" w:line="240" w:lineRule="auto"/>
        <w:ind w:left="2268" w:hanging="2268"/>
        <w:jc w:val="both"/>
        <w:rPr>
          <w:rFonts w:cs="TTE1965D00t00"/>
          <w:color w:val="000000"/>
        </w:rPr>
      </w:pPr>
      <w:r w:rsidRPr="00602769">
        <w:rPr>
          <w:rFonts w:cs="TTE1965D00t00"/>
          <w:color w:val="000000"/>
          <w:lang w:eastAsia="cs-CZ"/>
        </w:rPr>
        <w:drawing>
          <wp:inline distT="0" distB="0" distL="0" distR="0" wp14:anchorId="386A6224" wp14:editId="6443DCD0">
            <wp:extent cx="789940" cy="297180"/>
            <wp:effectExtent l="0" t="0" r="0" b="762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89940" cy="297180"/>
                    </a:xfrm>
                    <a:prstGeom prst="rect">
                      <a:avLst/>
                    </a:prstGeom>
                    <a:noFill/>
                    <a:ln>
                      <a:noFill/>
                    </a:ln>
                  </pic:spPr>
                </pic:pic>
              </a:graphicData>
            </a:graphic>
          </wp:inline>
        </w:drawing>
      </w:r>
      <w:r w:rsidRPr="00602769">
        <w:rPr>
          <w:rFonts w:cs="TTE1965D00t00"/>
          <w:color w:val="000000"/>
        </w:rPr>
        <w:tab/>
        <w:t>Negativní kontrolní vzorek</w:t>
      </w:r>
    </w:p>
    <w:p w:rsidR="00DD76D0" w:rsidRPr="00602769" w:rsidRDefault="00DD76D0" w:rsidP="00DD76D0">
      <w:pPr>
        <w:autoSpaceDE w:val="0"/>
        <w:autoSpaceDN w:val="0"/>
        <w:adjustRightInd w:val="0"/>
        <w:spacing w:after="0" w:line="240" w:lineRule="auto"/>
        <w:ind w:left="2268" w:hanging="2268"/>
        <w:jc w:val="both"/>
        <w:rPr>
          <w:rFonts w:cs="TTE1965D00t00"/>
          <w:color w:val="000000"/>
        </w:rPr>
      </w:pPr>
    </w:p>
    <w:p w:rsidR="00DD76D0" w:rsidRPr="00602769" w:rsidRDefault="00DD76D0" w:rsidP="00DD76D0">
      <w:pPr>
        <w:autoSpaceDE w:val="0"/>
        <w:autoSpaceDN w:val="0"/>
        <w:adjustRightInd w:val="0"/>
        <w:spacing w:after="0" w:line="240" w:lineRule="auto"/>
        <w:ind w:left="2268" w:hanging="2268"/>
        <w:jc w:val="both"/>
        <w:rPr>
          <w:rFonts w:cs="TTE1965D00t00"/>
          <w:color w:val="000000"/>
        </w:rPr>
      </w:pPr>
      <w:r w:rsidRPr="00602769">
        <w:rPr>
          <w:rFonts w:cs="TTE1965D00t00"/>
          <w:color w:val="000000"/>
          <w:lang w:eastAsia="cs-CZ"/>
        </w:rPr>
        <w:drawing>
          <wp:inline distT="0" distB="0" distL="0" distR="0" wp14:anchorId="1A7AFA52" wp14:editId="7AE1DEB2">
            <wp:extent cx="445135" cy="581660"/>
            <wp:effectExtent l="0" t="0" r="0" b="889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5135" cy="581660"/>
                    </a:xfrm>
                    <a:prstGeom prst="rect">
                      <a:avLst/>
                    </a:prstGeom>
                    <a:noFill/>
                    <a:ln>
                      <a:noFill/>
                    </a:ln>
                  </pic:spPr>
                </pic:pic>
              </a:graphicData>
            </a:graphic>
          </wp:inline>
        </w:drawing>
      </w:r>
      <w:r w:rsidRPr="00602769">
        <w:rPr>
          <w:rFonts w:cs="TTE1965D00t00"/>
          <w:color w:val="000000"/>
        </w:rPr>
        <w:tab/>
        <w:t>Použijte do</w:t>
      </w:r>
    </w:p>
    <w:p w:rsidR="00DD76D0" w:rsidRPr="00602769" w:rsidRDefault="00DD76D0" w:rsidP="00DD76D0">
      <w:pPr>
        <w:autoSpaceDE w:val="0"/>
        <w:autoSpaceDN w:val="0"/>
        <w:adjustRightInd w:val="0"/>
        <w:spacing w:after="0" w:line="240" w:lineRule="auto"/>
        <w:ind w:left="2268" w:hanging="2268"/>
        <w:jc w:val="both"/>
        <w:rPr>
          <w:rFonts w:cs="TTE1965D00t00"/>
          <w:color w:val="000000"/>
        </w:rPr>
      </w:pPr>
    </w:p>
    <w:p w:rsidR="00DD76D0" w:rsidRPr="00602769" w:rsidRDefault="00DD76D0" w:rsidP="00DD76D0">
      <w:pPr>
        <w:autoSpaceDE w:val="0"/>
        <w:autoSpaceDN w:val="0"/>
        <w:adjustRightInd w:val="0"/>
        <w:spacing w:after="0" w:line="240" w:lineRule="auto"/>
        <w:ind w:left="2268" w:hanging="2268"/>
        <w:jc w:val="both"/>
        <w:rPr>
          <w:rFonts w:cs="TTE1965D00t00"/>
          <w:color w:val="000000"/>
        </w:rPr>
      </w:pPr>
      <w:r w:rsidRPr="00602769">
        <w:rPr>
          <w:rFonts w:cs="TTE1965D00t00"/>
          <w:color w:val="000000"/>
          <w:lang w:eastAsia="cs-CZ"/>
        </w:rPr>
        <w:drawing>
          <wp:inline distT="0" distB="0" distL="0" distR="0" wp14:anchorId="46295ABC" wp14:editId="3B8AB2BE">
            <wp:extent cx="487045" cy="487045"/>
            <wp:effectExtent l="0" t="0" r="8255" b="8255"/>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7045" cy="487045"/>
                    </a:xfrm>
                    <a:prstGeom prst="rect">
                      <a:avLst/>
                    </a:prstGeom>
                    <a:noFill/>
                    <a:ln>
                      <a:noFill/>
                    </a:ln>
                  </pic:spPr>
                </pic:pic>
              </a:graphicData>
            </a:graphic>
          </wp:inline>
        </w:drawing>
      </w:r>
      <w:r w:rsidRPr="00602769">
        <w:rPr>
          <w:rFonts w:cs="TTE1965D00t00"/>
          <w:color w:val="000000"/>
        </w:rPr>
        <w:tab/>
        <w:t>Datum výroby</w:t>
      </w:r>
    </w:p>
    <w:p w:rsidR="00DD76D0" w:rsidRPr="00602769" w:rsidRDefault="00DD76D0" w:rsidP="00DD76D0">
      <w:pPr>
        <w:autoSpaceDE w:val="0"/>
        <w:autoSpaceDN w:val="0"/>
        <w:adjustRightInd w:val="0"/>
        <w:spacing w:after="0" w:line="240" w:lineRule="auto"/>
        <w:ind w:left="2268" w:hanging="2268"/>
        <w:jc w:val="both"/>
        <w:rPr>
          <w:rFonts w:cs="TTE1965D00t00"/>
          <w:color w:val="000000"/>
        </w:rPr>
      </w:pPr>
    </w:p>
    <w:p w:rsidR="00DD76D0" w:rsidRPr="00602769" w:rsidRDefault="00DD76D0" w:rsidP="00DD76D0">
      <w:pPr>
        <w:autoSpaceDE w:val="0"/>
        <w:autoSpaceDN w:val="0"/>
        <w:adjustRightInd w:val="0"/>
        <w:spacing w:after="0" w:line="240" w:lineRule="auto"/>
        <w:ind w:left="2268" w:hanging="2268"/>
        <w:jc w:val="both"/>
        <w:rPr>
          <w:rFonts w:cs="TTE1965D00t00"/>
          <w:color w:val="000000"/>
        </w:rPr>
      </w:pPr>
      <w:r w:rsidRPr="00602769">
        <w:rPr>
          <w:rFonts w:cs="TTE1965D00t00"/>
          <w:color w:val="000000"/>
          <w:lang w:eastAsia="cs-CZ"/>
        </w:rPr>
        <w:drawing>
          <wp:inline distT="0" distB="0" distL="0" distR="0" wp14:anchorId="52F7F1B3" wp14:editId="0D002F3B">
            <wp:extent cx="487045" cy="611505"/>
            <wp:effectExtent l="0" t="0" r="8255"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7045" cy="611505"/>
                    </a:xfrm>
                    <a:prstGeom prst="rect">
                      <a:avLst/>
                    </a:prstGeom>
                    <a:noFill/>
                    <a:ln>
                      <a:noFill/>
                    </a:ln>
                  </pic:spPr>
                </pic:pic>
              </a:graphicData>
            </a:graphic>
          </wp:inline>
        </w:drawing>
      </w:r>
      <w:r w:rsidRPr="00602769">
        <w:rPr>
          <w:rFonts w:cs="TTE1965D00t00"/>
          <w:color w:val="000000"/>
        </w:rPr>
        <w:tab/>
        <w:t>Výrobce</w:t>
      </w:r>
    </w:p>
    <w:p w:rsidR="00DD76D0" w:rsidRPr="00602769" w:rsidRDefault="00DD76D0" w:rsidP="00DD76D0">
      <w:pPr>
        <w:autoSpaceDE w:val="0"/>
        <w:autoSpaceDN w:val="0"/>
        <w:adjustRightInd w:val="0"/>
        <w:spacing w:after="0" w:line="240" w:lineRule="auto"/>
        <w:ind w:left="2268" w:hanging="2268"/>
        <w:jc w:val="both"/>
        <w:rPr>
          <w:rFonts w:cs="TTE1965D00t00"/>
          <w:color w:val="000000"/>
        </w:rPr>
      </w:pPr>
    </w:p>
    <w:p w:rsidR="00DD76D0" w:rsidRPr="00602769" w:rsidRDefault="00DD76D0" w:rsidP="00DD76D0">
      <w:pPr>
        <w:autoSpaceDE w:val="0"/>
        <w:autoSpaceDN w:val="0"/>
        <w:adjustRightInd w:val="0"/>
        <w:spacing w:after="0" w:line="240" w:lineRule="auto"/>
        <w:ind w:left="2268" w:hanging="2268"/>
        <w:jc w:val="both"/>
        <w:rPr>
          <w:rFonts w:cs="TTE1965D00t00"/>
          <w:color w:val="000000"/>
        </w:rPr>
      </w:pPr>
      <w:r w:rsidRPr="00602769">
        <w:rPr>
          <w:rFonts w:cs="TTE1965D00t00"/>
          <w:color w:val="000000"/>
          <w:lang w:eastAsia="cs-CZ"/>
        </w:rPr>
        <w:drawing>
          <wp:inline distT="0" distB="0" distL="0" distR="0" wp14:anchorId="5B209DAF" wp14:editId="0D4E25B5">
            <wp:extent cx="445135" cy="647065"/>
            <wp:effectExtent l="0" t="0" r="0" b="635"/>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5135" cy="647065"/>
                    </a:xfrm>
                    <a:prstGeom prst="rect">
                      <a:avLst/>
                    </a:prstGeom>
                    <a:noFill/>
                    <a:ln>
                      <a:noFill/>
                    </a:ln>
                  </pic:spPr>
                </pic:pic>
              </a:graphicData>
            </a:graphic>
          </wp:inline>
        </w:drawing>
      </w:r>
      <w:r w:rsidRPr="00602769">
        <w:rPr>
          <w:rFonts w:cs="TTE1965D00t00"/>
          <w:color w:val="000000"/>
        </w:rPr>
        <w:tab/>
        <w:t>Teplotní omezení</w:t>
      </w:r>
    </w:p>
    <w:p w:rsidR="00DD76D0" w:rsidRPr="00602769" w:rsidRDefault="00DD76D0" w:rsidP="00DD76D0">
      <w:pPr>
        <w:autoSpaceDE w:val="0"/>
        <w:autoSpaceDN w:val="0"/>
        <w:adjustRightInd w:val="0"/>
        <w:spacing w:after="0" w:line="240" w:lineRule="auto"/>
        <w:ind w:left="2268" w:hanging="2268"/>
        <w:jc w:val="both"/>
        <w:rPr>
          <w:rFonts w:cs="TTE1965D00t00"/>
          <w:color w:val="000000"/>
        </w:rPr>
      </w:pPr>
    </w:p>
    <w:p w:rsidR="00DD76D0" w:rsidRPr="00602769" w:rsidRDefault="00DD76D0" w:rsidP="00DD76D0">
      <w:pPr>
        <w:autoSpaceDE w:val="0"/>
        <w:autoSpaceDN w:val="0"/>
        <w:adjustRightInd w:val="0"/>
        <w:spacing w:after="0" w:line="240" w:lineRule="auto"/>
        <w:ind w:left="2268" w:hanging="2268"/>
        <w:jc w:val="both"/>
        <w:rPr>
          <w:rFonts w:cs="TTE1965D00t00"/>
          <w:color w:val="000000"/>
        </w:rPr>
      </w:pPr>
      <w:r w:rsidRPr="00602769">
        <w:rPr>
          <w:rFonts w:cs="TTE1965D00t00"/>
          <w:color w:val="000000"/>
          <w:lang w:eastAsia="cs-CZ"/>
        </w:rPr>
        <w:drawing>
          <wp:inline distT="0" distB="0" distL="0" distR="0" wp14:anchorId="0A095026" wp14:editId="2254688B">
            <wp:extent cx="599440" cy="647065"/>
            <wp:effectExtent l="0" t="0" r="0" b="635"/>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9440" cy="647065"/>
                    </a:xfrm>
                    <a:prstGeom prst="rect">
                      <a:avLst/>
                    </a:prstGeom>
                    <a:noFill/>
                    <a:ln>
                      <a:noFill/>
                    </a:ln>
                  </pic:spPr>
                </pic:pic>
              </a:graphicData>
            </a:graphic>
          </wp:inline>
        </w:drawing>
      </w:r>
      <w:r w:rsidRPr="00602769">
        <w:rPr>
          <w:rFonts w:cs="TTE1965D00t00"/>
          <w:color w:val="000000"/>
        </w:rPr>
        <w:tab/>
        <w:t>Čtěte návod na použití</w:t>
      </w:r>
    </w:p>
    <w:p w:rsidR="00DD76D0" w:rsidRPr="00602769" w:rsidRDefault="00DD76D0" w:rsidP="00DD76D0">
      <w:pPr>
        <w:autoSpaceDE w:val="0"/>
        <w:autoSpaceDN w:val="0"/>
        <w:adjustRightInd w:val="0"/>
        <w:spacing w:after="0" w:line="240" w:lineRule="auto"/>
        <w:ind w:left="2268" w:hanging="2268"/>
        <w:jc w:val="both"/>
        <w:rPr>
          <w:rFonts w:cs="TTE1965D00t00"/>
          <w:color w:val="000000"/>
        </w:rPr>
      </w:pPr>
    </w:p>
    <w:p w:rsidR="00DD76D0" w:rsidRPr="00602769" w:rsidRDefault="00DD76D0" w:rsidP="00DD76D0">
      <w:pPr>
        <w:spacing w:after="0"/>
        <w:rPr>
          <w:i/>
        </w:rPr>
      </w:pPr>
      <w:r w:rsidRPr="00602769">
        <w:rPr>
          <w:rFonts w:cs="Swiss721BT-Bold"/>
          <w:b/>
          <w:bCs/>
          <w:color w:val="000000"/>
          <w:sz w:val="24"/>
          <w:szCs w:val="24"/>
          <w:lang w:eastAsia="cs-CZ"/>
        </w:rPr>
        <w:drawing>
          <wp:inline distT="0" distB="0" distL="0" distR="0" wp14:anchorId="1B3B72D1" wp14:editId="52B078FE">
            <wp:extent cx="332740" cy="302895"/>
            <wp:effectExtent l="0" t="0" r="0" b="1905"/>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2740" cy="302895"/>
                    </a:xfrm>
                    <a:prstGeom prst="rect">
                      <a:avLst/>
                    </a:prstGeom>
                    <a:noFill/>
                    <a:ln>
                      <a:noFill/>
                    </a:ln>
                  </pic:spPr>
                </pic:pic>
              </a:graphicData>
            </a:graphic>
          </wp:inline>
        </w:drawing>
      </w:r>
      <w:r w:rsidRPr="00602769">
        <w:rPr>
          <w:rFonts w:cs="Swiss721BT-Bold"/>
          <w:b/>
          <w:bCs/>
          <w:color w:val="000000"/>
          <w:sz w:val="24"/>
          <w:szCs w:val="24"/>
        </w:rPr>
        <w:t xml:space="preserve"> </w:t>
      </w:r>
      <w:r w:rsidRPr="00602769">
        <w:rPr>
          <w:rFonts w:cs="Swiss721BT-Bold"/>
          <w:bCs/>
          <w:color w:val="000000"/>
          <w:sz w:val="24"/>
          <w:szCs w:val="24"/>
        </w:rPr>
        <w:t xml:space="preserve"> </w:t>
      </w:r>
      <w:r w:rsidRPr="00602769">
        <w:rPr>
          <w:rFonts w:cs="Swiss721BT-Bold"/>
          <w:bCs/>
          <w:color w:val="000000"/>
          <w:sz w:val="24"/>
          <w:szCs w:val="24"/>
        </w:rPr>
        <w:tab/>
      </w:r>
      <w:r w:rsidRPr="00602769">
        <w:rPr>
          <w:rFonts w:cs="Swiss721BT-Bold"/>
          <w:bCs/>
          <w:color w:val="000000"/>
          <w:sz w:val="24"/>
          <w:szCs w:val="24"/>
        </w:rPr>
        <w:tab/>
      </w:r>
      <w:r w:rsidRPr="00602769">
        <w:rPr>
          <w:rFonts w:cs="Swiss721BT-Bold"/>
          <w:bCs/>
          <w:color w:val="000000"/>
          <w:sz w:val="24"/>
          <w:szCs w:val="24"/>
        </w:rPr>
        <w:tab/>
      </w:r>
      <w:r w:rsidRPr="00602769">
        <w:rPr>
          <w:rFonts w:cs="Swiss721BT-Bold"/>
          <w:bCs/>
          <w:color w:val="000000"/>
        </w:rPr>
        <w:t>Větší změna v návodu na použití</w:t>
      </w:r>
    </w:p>
    <w:p w:rsidR="00DD76D0" w:rsidRPr="00602769" w:rsidRDefault="00DD76D0" w:rsidP="00DD76D0">
      <w:pPr>
        <w:spacing w:after="0"/>
      </w:pPr>
    </w:p>
    <w:p w:rsidR="00DD76D0" w:rsidRPr="00602769" w:rsidRDefault="00DD76D0" w:rsidP="00DD76D0">
      <w:pPr>
        <w:spacing w:after="0"/>
        <w:jc w:val="right"/>
      </w:pPr>
      <w:r w:rsidRPr="00602769">
        <w:t>IDEXX Laboratories, Inc.</w:t>
      </w:r>
    </w:p>
    <w:p w:rsidR="00DD76D0" w:rsidRPr="00602769" w:rsidRDefault="00DD76D0" w:rsidP="00DD76D0">
      <w:pPr>
        <w:spacing w:after="0"/>
        <w:jc w:val="right"/>
      </w:pPr>
      <w:r w:rsidRPr="00602769">
        <w:t>One IDEXX Drive</w:t>
      </w:r>
    </w:p>
    <w:p w:rsidR="00DD76D0" w:rsidRPr="00602769" w:rsidRDefault="00DD76D0" w:rsidP="00DD76D0">
      <w:pPr>
        <w:spacing w:after="0"/>
        <w:jc w:val="right"/>
      </w:pPr>
      <w:r w:rsidRPr="00602769">
        <w:t>Westbrook, Maine 04092</w:t>
      </w:r>
    </w:p>
    <w:p w:rsidR="00DD76D0" w:rsidRPr="00602769" w:rsidRDefault="00DD76D0" w:rsidP="00DD76D0">
      <w:pPr>
        <w:spacing w:after="0"/>
        <w:jc w:val="right"/>
      </w:pPr>
      <w:r w:rsidRPr="00602769">
        <w:t>USA</w:t>
      </w:r>
    </w:p>
    <w:p w:rsidR="00CB71BF" w:rsidRPr="00602769" w:rsidRDefault="00CB71BF" w:rsidP="00DD76D0">
      <w:pPr>
        <w:spacing w:after="0"/>
        <w:jc w:val="right"/>
        <w:rPr>
          <w:i/>
        </w:rPr>
      </w:pPr>
    </w:p>
    <w:p w:rsidR="00DD76D0" w:rsidRPr="00602769" w:rsidRDefault="00DD76D0" w:rsidP="00DD76D0">
      <w:pPr>
        <w:spacing w:after="0"/>
        <w:jc w:val="right"/>
        <w:rPr>
          <w:i/>
        </w:rPr>
      </w:pPr>
      <w:r w:rsidRPr="00602769">
        <w:rPr>
          <w:i/>
        </w:rPr>
        <w:t>Výrobce</w:t>
      </w:r>
    </w:p>
    <w:p w:rsidR="00DD76D0" w:rsidRPr="00602769" w:rsidRDefault="00DD76D0" w:rsidP="00DD76D0">
      <w:pPr>
        <w:spacing w:after="0"/>
        <w:jc w:val="right"/>
      </w:pPr>
      <w:r w:rsidRPr="00602769">
        <w:t>IDEXX Montpellier SAS</w:t>
      </w:r>
    </w:p>
    <w:p w:rsidR="00DD76D0" w:rsidRPr="00602769" w:rsidRDefault="00DD76D0" w:rsidP="00DD76D0">
      <w:pPr>
        <w:spacing w:after="0"/>
        <w:jc w:val="right"/>
      </w:pPr>
      <w:r w:rsidRPr="00602769">
        <w:t>326 rue de la Galéra</w:t>
      </w:r>
    </w:p>
    <w:p w:rsidR="00DD76D0" w:rsidRPr="00602769" w:rsidRDefault="00DD76D0" w:rsidP="00DD76D0">
      <w:pPr>
        <w:spacing w:after="0"/>
        <w:jc w:val="right"/>
      </w:pPr>
      <w:r w:rsidRPr="00602769">
        <w:t>34090 Montpellier</w:t>
      </w:r>
    </w:p>
    <w:p w:rsidR="00DD76D0" w:rsidRPr="00602769" w:rsidRDefault="00DD76D0" w:rsidP="00DD76D0">
      <w:pPr>
        <w:spacing w:after="0"/>
        <w:jc w:val="right"/>
      </w:pPr>
      <w:r w:rsidRPr="00602769">
        <w:t>Francie</w:t>
      </w:r>
    </w:p>
    <w:p w:rsidR="00DD76D0" w:rsidRPr="00602769" w:rsidRDefault="00DD76D0" w:rsidP="00DD76D0">
      <w:pPr>
        <w:spacing w:after="0"/>
        <w:jc w:val="right"/>
      </w:pPr>
    </w:p>
    <w:p w:rsidR="00DD76D0" w:rsidRPr="00602769" w:rsidRDefault="00DD76D0" w:rsidP="00DD76D0">
      <w:pPr>
        <w:spacing w:after="0"/>
        <w:jc w:val="right"/>
        <w:rPr>
          <w:i/>
        </w:rPr>
      </w:pPr>
      <w:r w:rsidRPr="00602769">
        <w:rPr>
          <w:i/>
        </w:rPr>
        <w:t>Zástupce pro EU</w:t>
      </w:r>
    </w:p>
    <w:p w:rsidR="00DD76D0" w:rsidRPr="00602769" w:rsidRDefault="00DD76D0" w:rsidP="00DD76D0">
      <w:pPr>
        <w:spacing w:after="0"/>
        <w:jc w:val="right"/>
      </w:pPr>
      <w:r w:rsidRPr="00602769">
        <w:t>IDEXX Europe B.V.</w:t>
      </w:r>
    </w:p>
    <w:p w:rsidR="00DD76D0" w:rsidRPr="00602769" w:rsidRDefault="00DD76D0" w:rsidP="00DD76D0">
      <w:pPr>
        <w:spacing w:after="0"/>
        <w:jc w:val="right"/>
      </w:pPr>
      <w:r w:rsidRPr="00602769">
        <w:t>P.O. Box 1334</w:t>
      </w:r>
    </w:p>
    <w:p w:rsidR="00DD76D0" w:rsidRPr="00602769" w:rsidRDefault="00DD76D0" w:rsidP="00DD76D0">
      <w:pPr>
        <w:spacing w:after="0"/>
        <w:jc w:val="right"/>
      </w:pPr>
      <w:r w:rsidRPr="00602769">
        <w:t>2130 EK Hoofddorp</w:t>
      </w:r>
    </w:p>
    <w:p w:rsidR="00DD76D0" w:rsidRPr="00602769" w:rsidRDefault="00DD76D0" w:rsidP="00DD76D0">
      <w:pPr>
        <w:spacing w:after="0"/>
        <w:jc w:val="right"/>
      </w:pPr>
      <w:r w:rsidRPr="00602769">
        <w:t>Nizozemsko</w:t>
      </w:r>
    </w:p>
    <w:p w:rsidR="00DD76D0" w:rsidRPr="00602769" w:rsidRDefault="00DD76D0" w:rsidP="00DD76D0">
      <w:pPr>
        <w:spacing w:after="0"/>
      </w:pPr>
    </w:p>
    <w:p w:rsidR="00DD76D0" w:rsidRPr="00602769" w:rsidRDefault="00DD76D0" w:rsidP="00DD76D0">
      <w:pPr>
        <w:jc w:val="right"/>
      </w:pPr>
      <w:r w:rsidRPr="00602769">
        <w:t>idexx.com</w:t>
      </w:r>
    </w:p>
    <w:p w:rsidR="00DD76D0" w:rsidRPr="00602769" w:rsidRDefault="00DD76D0" w:rsidP="00DD76D0">
      <w:pPr>
        <w:jc w:val="right"/>
      </w:pPr>
      <w:r w:rsidRPr="00602769">
        <w:t>IDEXX</w:t>
      </w:r>
    </w:p>
    <w:sectPr w:rsidR="00DD76D0" w:rsidRPr="00602769">
      <w:head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28E" w:rsidRDefault="00C4728E" w:rsidP="00033E5A">
      <w:pPr>
        <w:spacing w:after="0" w:line="240" w:lineRule="auto"/>
      </w:pPr>
      <w:r>
        <w:separator/>
      </w:r>
    </w:p>
  </w:endnote>
  <w:endnote w:type="continuationSeparator" w:id="0">
    <w:p w:rsidR="00C4728E" w:rsidRDefault="00C4728E" w:rsidP="00033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TE1965D00t00">
    <w:altName w:val="Times New Roman"/>
    <w:panose1 w:val="00000000000000000000"/>
    <w:charset w:val="00"/>
    <w:family w:val="auto"/>
    <w:notTrueType/>
    <w:pitch w:val="default"/>
    <w:sig w:usb0="00000003" w:usb1="00000000" w:usb2="00000000" w:usb3="00000000" w:csb0="00000001" w:csb1="00000000"/>
  </w:font>
  <w:font w:name="Swiss721BT-Bold">
    <w:altName w:val="Arial"/>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28E" w:rsidRDefault="00C4728E" w:rsidP="00033E5A">
      <w:pPr>
        <w:spacing w:after="0" w:line="240" w:lineRule="auto"/>
      </w:pPr>
      <w:r>
        <w:separator/>
      </w:r>
    </w:p>
  </w:footnote>
  <w:footnote w:type="continuationSeparator" w:id="0">
    <w:p w:rsidR="00C4728E" w:rsidRDefault="00C4728E" w:rsidP="00033E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E5A" w:rsidRDefault="00033E5A" w:rsidP="00CB4B7B">
    <w:pPr>
      <w:jc w:val="both"/>
    </w:pPr>
    <w:r w:rsidRPr="00373B94">
      <w:rPr>
        <w:rFonts w:cstheme="minorHAnsi"/>
        <w:bCs/>
      </w:rPr>
      <w:t>Text příbalové informace součást dokumentace schválené rozhodnutím sp.</w:t>
    </w:r>
    <w:r w:rsidR="00602769">
      <w:rPr>
        <w:rFonts w:cstheme="minorHAnsi"/>
        <w:bCs/>
      </w:rPr>
      <w:t> z</w:t>
    </w:r>
    <w:r w:rsidRPr="00373B94">
      <w:rPr>
        <w:rFonts w:cstheme="minorHAnsi"/>
        <w:bCs/>
      </w:rPr>
      <w:t>n.</w:t>
    </w:r>
    <w:r w:rsidR="00602769">
      <w:rPr>
        <w:rFonts w:cstheme="minorHAnsi"/>
        <w:bCs/>
      </w:rPr>
      <w:t> </w:t>
    </w:r>
    <w:sdt>
      <w:sdtPr>
        <w:rPr>
          <w:rFonts w:cstheme="minorHAnsi"/>
          <w:bCs/>
        </w:rPr>
        <w:id w:val="-1399593560"/>
        <w:placeholder>
          <w:docPart w:val="C0BB51E519264A1CA660D7816C376366"/>
        </w:placeholder>
        <w:text/>
      </w:sdtPr>
      <w:sdtEndPr/>
      <w:sdtContent>
        <w:r w:rsidRPr="00373B94">
          <w:rPr>
            <w:rFonts w:cstheme="minorHAnsi"/>
            <w:bCs/>
          </w:rPr>
          <w:t>USKVBL/4135/2023/POD</w:t>
        </w:r>
      </w:sdtContent>
    </w:sdt>
    <w:r w:rsidRPr="00373B94">
      <w:rPr>
        <w:rFonts w:cstheme="minorHAnsi"/>
        <w:bCs/>
      </w:rPr>
      <w:t xml:space="preserve">, č.j. </w:t>
    </w:r>
    <w:sdt>
      <w:sdtPr>
        <w:rPr>
          <w:rFonts w:cstheme="minorHAnsi"/>
          <w:bCs/>
        </w:rPr>
        <w:id w:val="-968128157"/>
        <w:placeholder>
          <w:docPart w:val="C0BB51E519264A1CA660D7816C376366"/>
        </w:placeholder>
        <w:text/>
      </w:sdtPr>
      <w:sdtEndPr/>
      <w:sdtContent>
        <w:r w:rsidR="004904AD" w:rsidRPr="004904AD">
          <w:rPr>
            <w:rFonts w:cstheme="minorHAnsi"/>
            <w:bCs/>
          </w:rPr>
          <w:t>USKVBL/7855/2023/REG-Gro</w:t>
        </w:r>
      </w:sdtContent>
    </w:sdt>
    <w:r w:rsidRPr="00373B94">
      <w:rPr>
        <w:rFonts w:cstheme="minorHAnsi"/>
        <w:bCs/>
      </w:rPr>
      <w:t xml:space="preserve"> ze dne </w:t>
    </w:r>
    <w:sdt>
      <w:sdtPr>
        <w:rPr>
          <w:rFonts w:cstheme="minorHAnsi"/>
          <w:bCs/>
        </w:rPr>
        <w:id w:val="-34740600"/>
        <w:placeholder>
          <w:docPart w:val="F8BB7BF02FDF477989BE772B0D670B91"/>
        </w:placeholder>
        <w:date w:fullDate="2023-06-28T00:00:00Z">
          <w:dateFormat w:val="d.M.yyyy"/>
          <w:lid w:val="cs-CZ"/>
          <w:storeMappedDataAs w:val="dateTime"/>
          <w:calendar w:val="gregorian"/>
        </w:date>
      </w:sdtPr>
      <w:sdtEndPr/>
      <w:sdtContent>
        <w:r w:rsidR="007A4A9A">
          <w:rPr>
            <w:rFonts w:cstheme="minorHAnsi"/>
            <w:bCs/>
          </w:rPr>
          <w:t>28.6.2023</w:t>
        </w:r>
      </w:sdtContent>
    </w:sdt>
    <w:r w:rsidRPr="00373B94">
      <w:rPr>
        <w:rFonts w:cstheme="minorHAnsi"/>
        <w:bCs/>
      </w:rPr>
      <w:t xml:space="preserve"> o </w:t>
    </w:r>
    <w:sdt>
      <w:sdtPr>
        <w:rPr>
          <w:rFonts w:cstheme="minorHAnsi"/>
        </w:rPr>
        <w:id w:val="1347596108"/>
        <w:placeholder>
          <w:docPart w:val="F68E622BF37D46008B29D0CC67DA78EC"/>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rPr>
      </w:sdtEndPr>
      <w:sdtContent>
        <w:r w:rsidRPr="00373B94">
          <w:rPr>
            <w:rFonts w:cstheme="minorHAnsi"/>
          </w:rPr>
          <w:t>prodloužení platnosti rozhodnutí o schválení veterinárního přípravku</w:t>
        </w:r>
      </w:sdtContent>
    </w:sdt>
    <w:r w:rsidRPr="00373B94">
      <w:rPr>
        <w:rFonts w:cstheme="minorHAnsi"/>
        <w:bCs/>
      </w:rPr>
      <w:t xml:space="preserve"> </w:t>
    </w:r>
    <w:sdt>
      <w:sdtPr>
        <w:rPr>
          <w:rFonts w:cstheme="minorHAnsi"/>
        </w:rPr>
        <w:id w:val="1654029424"/>
        <w:placeholder>
          <w:docPart w:val="3F732EF3C0E04E0BAE040EED47F51B0C"/>
        </w:placeholder>
        <w:text/>
      </w:sdtPr>
      <w:sdtEndPr/>
      <w:sdtContent>
        <w:r w:rsidR="00373B94" w:rsidRPr="00373B94">
          <w:rPr>
            <w:rFonts w:cstheme="minorHAnsi"/>
          </w:rPr>
          <w:t>IDEXX PARATUBERCULOS</w:t>
        </w:r>
        <w:r w:rsidR="00F014F2">
          <w:rPr>
            <w:rFonts w:cstheme="minorHAnsi"/>
          </w:rPr>
          <w:t>+</w:t>
        </w:r>
        <w:r w:rsidR="00373B94" w:rsidRPr="00373B94">
          <w:rPr>
            <w:rFonts w:cstheme="minorHAnsi"/>
          </w:rPr>
          <w:t>IS SCREENING, IDEXX PARATUBERCULOSIS VERIFICATION</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55FF5"/>
    <w:multiLevelType w:val="hybridMultilevel"/>
    <w:tmpl w:val="9350DB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E1C54D9"/>
    <w:multiLevelType w:val="hybridMultilevel"/>
    <w:tmpl w:val="1522F7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31EB490A"/>
    <w:multiLevelType w:val="hybridMultilevel"/>
    <w:tmpl w:val="8B18B9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54CE1E25"/>
    <w:multiLevelType w:val="hybridMultilevel"/>
    <w:tmpl w:val="EE3E80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F26"/>
    <w:multiLevelType w:val="hybridMultilevel"/>
    <w:tmpl w:val="CD84DF2A"/>
    <w:lvl w:ilvl="0" w:tplc="FBD49BA6">
      <w:start w:val="17"/>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2C7"/>
    <w:rsid w:val="00033E5A"/>
    <w:rsid w:val="000A660F"/>
    <w:rsid w:val="001606B3"/>
    <w:rsid w:val="00195A9C"/>
    <w:rsid w:val="00315045"/>
    <w:rsid w:val="00373B94"/>
    <w:rsid w:val="00374706"/>
    <w:rsid w:val="003C10BA"/>
    <w:rsid w:val="003C2A86"/>
    <w:rsid w:val="003F74DF"/>
    <w:rsid w:val="004904AD"/>
    <w:rsid w:val="004F4107"/>
    <w:rsid w:val="005442C7"/>
    <w:rsid w:val="00585B58"/>
    <w:rsid w:val="00596D87"/>
    <w:rsid w:val="005C6BCF"/>
    <w:rsid w:val="00602769"/>
    <w:rsid w:val="006153AB"/>
    <w:rsid w:val="0063160E"/>
    <w:rsid w:val="00697B36"/>
    <w:rsid w:val="007A4A9A"/>
    <w:rsid w:val="007E0EC8"/>
    <w:rsid w:val="00847CCD"/>
    <w:rsid w:val="00881CFB"/>
    <w:rsid w:val="009B7DE1"/>
    <w:rsid w:val="009D63F3"/>
    <w:rsid w:val="00A816B4"/>
    <w:rsid w:val="00AC0D74"/>
    <w:rsid w:val="00AE1E99"/>
    <w:rsid w:val="00AF6F92"/>
    <w:rsid w:val="00B83EA5"/>
    <w:rsid w:val="00BB2388"/>
    <w:rsid w:val="00BF062F"/>
    <w:rsid w:val="00C04EBA"/>
    <w:rsid w:val="00C05EFA"/>
    <w:rsid w:val="00C4728E"/>
    <w:rsid w:val="00C542E3"/>
    <w:rsid w:val="00C5459C"/>
    <w:rsid w:val="00C71D32"/>
    <w:rsid w:val="00CB2E4C"/>
    <w:rsid w:val="00CB4B7B"/>
    <w:rsid w:val="00CB71BF"/>
    <w:rsid w:val="00D15AFD"/>
    <w:rsid w:val="00D4024C"/>
    <w:rsid w:val="00D42740"/>
    <w:rsid w:val="00DA2387"/>
    <w:rsid w:val="00DD76D0"/>
    <w:rsid w:val="00E024AB"/>
    <w:rsid w:val="00E2488D"/>
    <w:rsid w:val="00ED693C"/>
    <w:rsid w:val="00F014F2"/>
    <w:rsid w:val="00F12A1E"/>
    <w:rsid w:val="00F3286F"/>
    <w:rsid w:val="00FC0E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28A90-86DC-4D73-AD1C-8B4E131D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BB2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B2388"/>
    <w:pPr>
      <w:spacing w:after="200" w:line="276" w:lineRule="auto"/>
      <w:ind w:left="720"/>
      <w:contextualSpacing/>
    </w:pPr>
  </w:style>
  <w:style w:type="paragraph" w:styleId="Zhlav">
    <w:name w:val="header"/>
    <w:basedOn w:val="Normln"/>
    <w:link w:val="ZhlavChar"/>
    <w:uiPriority w:val="99"/>
    <w:unhideWhenUsed/>
    <w:rsid w:val="00033E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3E5A"/>
  </w:style>
  <w:style w:type="paragraph" w:styleId="Zpat">
    <w:name w:val="footer"/>
    <w:basedOn w:val="Normln"/>
    <w:link w:val="ZpatChar"/>
    <w:uiPriority w:val="99"/>
    <w:unhideWhenUsed/>
    <w:rsid w:val="00033E5A"/>
    <w:pPr>
      <w:tabs>
        <w:tab w:val="center" w:pos="4536"/>
        <w:tab w:val="right" w:pos="9072"/>
      </w:tabs>
      <w:spacing w:after="0" w:line="240" w:lineRule="auto"/>
    </w:pPr>
  </w:style>
  <w:style w:type="character" w:customStyle="1" w:styleId="ZpatChar">
    <w:name w:val="Zápatí Char"/>
    <w:basedOn w:val="Standardnpsmoodstavce"/>
    <w:link w:val="Zpat"/>
    <w:uiPriority w:val="99"/>
    <w:rsid w:val="00033E5A"/>
  </w:style>
  <w:style w:type="character" w:styleId="Zstupntext">
    <w:name w:val="Placeholder Text"/>
    <w:rsid w:val="00033E5A"/>
    <w:rPr>
      <w:color w:val="808080"/>
    </w:rPr>
  </w:style>
  <w:style w:type="character" w:customStyle="1" w:styleId="Styl2">
    <w:name w:val="Styl2"/>
    <w:basedOn w:val="Standardnpsmoodstavce"/>
    <w:uiPriority w:val="1"/>
    <w:rsid w:val="00033E5A"/>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BB51E519264A1CA660D7816C376366"/>
        <w:category>
          <w:name w:val="Obecné"/>
          <w:gallery w:val="placeholder"/>
        </w:category>
        <w:types>
          <w:type w:val="bbPlcHdr"/>
        </w:types>
        <w:behaviors>
          <w:behavior w:val="content"/>
        </w:behaviors>
        <w:guid w:val="{6F872ED7-0EBA-4B6D-9A9B-7902EAEDC775}"/>
      </w:docPartPr>
      <w:docPartBody>
        <w:p w:rsidR="00561D61" w:rsidRDefault="00AD4ECD" w:rsidP="00AD4ECD">
          <w:pPr>
            <w:pStyle w:val="C0BB51E519264A1CA660D7816C376366"/>
          </w:pPr>
          <w:r w:rsidRPr="00AD42B7">
            <w:rPr>
              <w:rStyle w:val="Zstupntext"/>
            </w:rPr>
            <w:t>Klikněte sem a zadejte text.</w:t>
          </w:r>
        </w:p>
      </w:docPartBody>
    </w:docPart>
    <w:docPart>
      <w:docPartPr>
        <w:name w:val="F8BB7BF02FDF477989BE772B0D670B91"/>
        <w:category>
          <w:name w:val="Obecné"/>
          <w:gallery w:val="placeholder"/>
        </w:category>
        <w:types>
          <w:type w:val="bbPlcHdr"/>
        </w:types>
        <w:behaviors>
          <w:behavior w:val="content"/>
        </w:behaviors>
        <w:guid w:val="{CC6B4748-3397-40CF-8F0B-6F27524AAB6F}"/>
      </w:docPartPr>
      <w:docPartBody>
        <w:p w:rsidR="00561D61" w:rsidRDefault="00AD4ECD" w:rsidP="00AD4ECD">
          <w:pPr>
            <w:pStyle w:val="F8BB7BF02FDF477989BE772B0D670B91"/>
          </w:pPr>
          <w:r w:rsidRPr="00AD42B7">
            <w:rPr>
              <w:rStyle w:val="Zstupntext"/>
            </w:rPr>
            <w:t>Klikněte sem a zadejte datum.</w:t>
          </w:r>
        </w:p>
      </w:docPartBody>
    </w:docPart>
    <w:docPart>
      <w:docPartPr>
        <w:name w:val="F68E622BF37D46008B29D0CC67DA78EC"/>
        <w:category>
          <w:name w:val="Obecné"/>
          <w:gallery w:val="placeholder"/>
        </w:category>
        <w:types>
          <w:type w:val="bbPlcHdr"/>
        </w:types>
        <w:behaviors>
          <w:behavior w:val="content"/>
        </w:behaviors>
        <w:guid w:val="{A236C253-CADC-47F0-81E6-3FA25DFA2EB0}"/>
      </w:docPartPr>
      <w:docPartBody>
        <w:p w:rsidR="00561D61" w:rsidRDefault="00AD4ECD" w:rsidP="00AD4ECD">
          <w:pPr>
            <w:pStyle w:val="F68E622BF37D46008B29D0CC67DA78EC"/>
          </w:pPr>
          <w:r w:rsidRPr="00AD42B7">
            <w:rPr>
              <w:rStyle w:val="Zstupntext"/>
            </w:rPr>
            <w:t>Zvolte položku.</w:t>
          </w:r>
        </w:p>
      </w:docPartBody>
    </w:docPart>
    <w:docPart>
      <w:docPartPr>
        <w:name w:val="3F732EF3C0E04E0BAE040EED47F51B0C"/>
        <w:category>
          <w:name w:val="Obecné"/>
          <w:gallery w:val="placeholder"/>
        </w:category>
        <w:types>
          <w:type w:val="bbPlcHdr"/>
        </w:types>
        <w:behaviors>
          <w:behavior w:val="content"/>
        </w:behaviors>
        <w:guid w:val="{E9ED1B14-6EA8-4A07-B83D-4B003850729A}"/>
      </w:docPartPr>
      <w:docPartBody>
        <w:p w:rsidR="00561D61" w:rsidRDefault="00AD4ECD" w:rsidP="00AD4ECD">
          <w:pPr>
            <w:pStyle w:val="3F732EF3C0E04E0BAE040EED47F51B0C"/>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TE1965D00t00">
    <w:altName w:val="Times New Roman"/>
    <w:panose1 w:val="00000000000000000000"/>
    <w:charset w:val="00"/>
    <w:family w:val="auto"/>
    <w:notTrueType/>
    <w:pitch w:val="default"/>
    <w:sig w:usb0="00000003" w:usb1="00000000" w:usb2="00000000" w:usb3="00000000" w:csb0="00000001" w:csb1="00000000"/>
  </w:font>
  <w:font w:name="Swiss721BT-Bold">
    <w:altName w:val="Arial"/>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ECD"/>
    <w:rsid w:val="001D0877"/>
    <w:rsid w:val="002F3DBB"/>
    <w:rsid w:val="00561D61"/>
    <w:rsid w:val="00741C23"/>
    <w:rsid w:val="00A675F3"/>
    <w:rsid w:val="00AD4ECD"/>
    <w:rsid w:val="00BD63AD"/>
    <w:rsid w:val="00F92C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AD4ECD"/>
    <w:rPr>
      <w:color w:val="808080"/>
    </w:rPr>
  </w:style>
  <w:style w:type="paragraph" w:customStyle="1" w:styleId="0CF6BFE315E7433D90AE41FB23908017">
    <w:name w:val="0CF6BFE315E7433D90AE41FB23908017"/>
    <w:rsid w:val="00AD4ECD"/>
  </w:style>
  <w:style w:type="paragraph" w:customStyle="1" w:styleId="6D9AB5E76CF9419091D09D902650F850">
    <w:name w:val="6D9AB5E76CF9419091D09D902650F850"/>
    <w:rsid w:val="00AD4ECD"/>
  </w:style>
  <w:style w:type="paragraph" w:customStyle="1" w:styleId="5AFBA5CE25E14C67AECB0A9AF54FDD0D">
    <w:name w:val="5AFBA5CE25E14C67AECB0A9AF54FDD0D"/>
    <w:rsid w:val="00AD4ECD"/>
  </w:style>
  <w:style w:type="paragraph" w:customStyle="1" w:styleId="B877A29777824D5EAAD39ED9E90102F4">
    <w:name w:val="B877A29777824D5EAAD39ED9E90102F4"/>
    <w:rsid w:val="00AD4ECD"/>
  </w:style>
  <w:style w:type="paragraph" w:customStyle="1" w:styleId="4CDC847105384941A5B8FD7EBA55008D">
    <w:name w:val="4CDC847105384941A5B8FD7EBA55008D"/>
    <w:rsid w:val="00AD4ECD"/>
  </w:style>
  <w:style w:type="paragraph" w:customStyle="1" w:styleId="C0BB51E519264A1CA660D7816C376366">
    <w:name w:val="C0BB51E519264A1CA660D7816C376366"/>
    <w:rsid w:val="00AD4ECD"/>
  </w:style>
  <w:style w:type="paragraph" w:customStyle="1" w:styleId="F8BB7BF02FDF477989BE772B0D670B91">
    <w:name w:val="F8BB7BF02FDF477989BE772B0D670B91"/>
    <w:rsid w:val="00AD4ECD"/>
  </w:style>
  <w:style w:type="paragraph" w:customStyle="1" w:styleId="F68E622BF37D46008B29D0CC67DA78EC">
    <w:name w:val="F68E622BF37D46008B29D0CC67DA78EC"/>
    <w:rsid w:val="00AD4ECD"/>
  </w:style>
  <w:style w:type="paragraph" w:customStyle="1" w:styleId="3F732EF3C0E04E0BAE040EED47F51B0C">
    <w:name w:val="3F732EF3C0E04E0BAE040EED47F51B0C"/>
    <w:rsid w:val="00AD4E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14</Pages>
  <Words>3666</Words>
  <Characters>21636</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Nekvapilová Alena</dc:creator>
  <cp:keywords/>
  <dc:description/>
  <cp:lastModifiedBy>Nepejchalová Leona</cp:lastModifiedBy>
  <cp:revision>26</cp:revision>
  <dcterms:created xsi:type="dcterms:W3CDTF">2023-06-20T08:27:00Z</dcterms:created>
  <dcterms:modified xsi:type="dcterms:W3CDTF">2023-06-30T08:47:00Z</dcterms:modified>
</cp:coreProperties>
</file>