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9117" w14:textId="66C5BF9C" w:rsidR="007B3BA1" w:rsidRPr="00474C50" w:rsidRDefault="007B3BA1" w:rsidP="00E87914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5AA1033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083C3D23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0A021B92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0DE857D4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257E24CD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73569C91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5CC16D8C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03946BE7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6FFC40CD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3B4EE80B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5D28B34E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7D7391D9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55AF1BDB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39CC7B4C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74A2EB2C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2924EBA6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0871121B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74D03E44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73F1BA33" w14:textId="77777777" w:rsidR="007B3BA1" w:rsidRPr="00474C50" w:rsidRDefault="007B3BA1" w:rsidP="007B3BA1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1B812E57" w14:textId="4B54AEF8" w:rsidR="007B3BA1" w:rsidRPr="00E87914" w:rsidRDefault="007B3BA1" w:rsidP="007B3BA1">
      <w:pPr>
        <w:tabs>
          <w:tab w:val="clear" w:pos="567"/>
        </w:tabs>
        <w:spacing w:line="240" w:lineRule="auto"/>
        <w:jc w:val="center"/>
      </w:pPr>
      <w:r>
        <w:br w:type="page"/>
      </w:r>
      <w:r>
        <w:rPr>
          <w:b/>
        </w:rPr>
        <w:lastRenderedPageBreak/>
        <w:t>PŘÍBALOVÁ INFORMACE</w:t>
      </w:r>
    </w:p>
    <w:p w14:paraId="45DB842A" w14:textId="77777777" w:rsidR="007B3BA1" w:rsidRPr="00C67AAE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116A20D1" w14:textId="77777777" w:rsidR="007B3BA1" w:rsidRPr="00C67AAE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2F79B86F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A5513D" w14:textId="0602BE1B" w:rsidR="007B3BA1" w:rsidRPr="00893DDC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7914">
        <w:rPr>
          <w:b/>
          <w:szCs w:val="22"/>
          <w:highlight w:val="lightGray"/>
        </w:rPr>
        <w:t>1.</w:t>
      </w:r>
      <w:r w:rsidRPr="00893DDC">
        <w:rPr>
          <w:b/>
          <w:szCs w:val="22"/>
        </w:rPr>
        <w:tab/>
      </w:r>
      <w:r w:rsidRPr="00E87914">
        <w:rPr>
          <w:b/>
          <w:szCs w:val="22"/>
        </w:rPr>
        <w:t>Název veterinárního léčivého přípravku</w:t>
      </w:r>
    </w:p>
    <w:p w14:paraId="402A85F9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628231" w14:textId="3545445C" w:rsidR="007B3BA1" w:rsidRPr="00893DDC" w:rsidRDefault="007B3BA1" w:rsidP="00893DDC">
      <w:pPr>
        <w:spacing w:line="240" w:lineRule="auto"/>
        <w:jc w:val="both"/>
        <w:rPr>
          <w:szCs w:val="22"/>
        </w:rPr>
      </w:pPr>
      <w:proofErr w:type="spellStart"/>
      <w:r w:rsidRPr="00893DDC">
        <w:rPr>
          <w:szCs w:val="22"/>
        </w:rPr>
        <w:t>Huvacillin</w:t>
      </w:r>
      <w:proofErr w:type="spellEnd"/>
      <w:r w:rsidRPr="00893DDC">
        <w:rPr>
          <w:szCs w:val="22"/>
        </w:rPr>
        <w:t xml:space="preserve"> 800 mg/g prášek pro podání v pitné vodě pro kura domácího a prasata </w:t>
      </w:r>
    </w:p>
    <w:p w14:paraId="149B89D4" w14:textId="0DB2F9FD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7BA6D1A2" w14:textId="77777777" w:rsidR="007B3BA1" w:rsidRPr="00E87914" w:rsidRDefault="007B3BA1" w:rsidP="00E87914">
      <w:pPr>
        <w:tabs>
          <w:tab w:val="clear" w:pos="567"/>
          <w:tab w:val="left" w:pos="708"/>
        </w:tabs>
        <w:spacing w:line="240" w:lineRule="auto"/>
        <w:jc w:val="both"/>
        <w:rPr>
          <w:b/>
          <w:szCs w:val="22"/>
        </w:rPr>
      </w:pPr>
    </w:p>
    <w:p w14:paraId="49C53F85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E87914">
        <w:rPr>
          <w:b/>
          <w:szCs w:val="22"/>
          <w:highlight w:val="lightGray"/>
        </w:rPr>
        <w:t>2.</w:t>
      </w:r>
      <w:r w:rsidRPr="00893DDC">
        <w:rPr>
          <w:b/>
          <w:szCs w:val="22"/>
        </w:rPr>
        <w:tab/>
        <w:t>Složení</w:t>
      </w:r>
    </w:p>
    <w:p w14:paraId="5DA00B23" w14:textId="77777777" w:rsidR="007B3BA1" w:rsidRPr="00E87914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D81EE5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Každý g (gram) obsahuje:</w:t>
      </w:r>
    </w:p>
    <w:p w14:paraId="01262797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C96AA7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893DDC">
        <w:rPr>
          <w:b/>
          <w:szCs w:val="22"/>
        </w:rPr>
        <w:t>Léčivá látka:</w:t>
      </w:r>
    </w:p>
    <w:p w14:paraId="5D0D553F" w14:textId="77777777" w:rsidR="007B3BA1" w:rsidRPr="00893DDC" w:rsidRDefault="007B3BA1" w:rsidP="00893DDC">
      <w:pPr>
        <w:tabs>
          <w:tab w:val="clear" w:pos="567"/>
        </w:tabs>
        <w:spacing w:line="240" w:lineRule="auto"/>
        <w:ind w:firstLine="708"/>
        <w:jc w:val="both"/>
        <w:rPr>
          <w:iCs/>
          <w:szCs w:val="22"/>
        </w:rPr>
      </w:pPr>
    </w:p>
    <w:p w14:paraId="638C294A" w14:textId="77777777" w:rsidR="007B3BA1" w:rsidRPr="00893DDC" w:rsidRDefault="007B3BA1" w:rsidP="00893DDC">
      <w:pPr>
        <w:spacing w:line="240" w:lineRule="auto"/>
        <w:jc w:val="both"/>
        <w:rPr>
          <w:rFonts w:eastAsia="Calibri"/>
          <w:bCs/>
          <w:szCs w:val="22"/>
        </w:rPr>
      </w:pPr>
      <w:proofErr w:type="spellStart"/>
      <w:r w:rsidRPr="00893DDC">
        <w:rPr>
          <w:szCs w:val="22"/>
        </w:rPr>
        <w:t>Amoxicillinum</w:t>
      </w:r>
      <w:proofErr w:type="spellEnd"/>
      <w:r w:rsidRPr="00893DDC">
        <w:rPr>
          <w:szCs w:val="22"/>
        </w:rPr>
        <w:t>………………………………697 mg</w:t>
      </w:r>
    </w:p>
    <w:p w14:paraId="1318E47C" w14:textId="77777777" w:rsidR="007B3BA1" w:rsidRPr="00893DDC" w:rsidRDefault="007B3BA1" w:rsidP="00893DDC">
      <w:pPr>
        <w:spacing w:line="240" w:lineRule="auto"/>
        <w:jc w:val="both"/>
        <w:rPr>
          <w:rFonts w:eastAsia="Calibri"/>
          <w:szCs w:val="22"/>
        </w:rPr>
      </w:pPr>
      <w:r w:rsidRPr="00893DDC">
        <w:rPr>
          <w:szCs w:val="22"/>
        </w:rPr>
        <w:t xml:space="preserve">(odpovídá 800 mg </w:t>
      </w:r>
      <w:proofErr w:type="spellStart"/>
      <w:r w:rsidRPr="00893DDC">
        <w:rPr>
          <w:szCs w:val="22"/>
        </w:rPr>
        <w:t>amoxicillinum</w:t>
      </w:r>
      <w:proofErr w:type="spellEnd"/>
      <w:r w:rsidRPr="00893DDC">
        <w:rPr>
          <w:szCs w:val="22"/>
        </w:rPr>
        <w:t xml:space="preserve"> </w:t>
      </w:r>
      <w:proofErr w:type="spellStart"/>
      <w:r w:rsidRPr="00893DDC">
        <w:rPr>
          <w:szCs w:val="22"/>
        </w:rPr>
        <w:t>trihydricum</w:t>
      </w:r>
      <w:proofErr w:type="spellEnd"/>
      <w:r w:rsidRPr="00893DDC">
        <w:rPr>
          <w:szCs w:val="22"/>
        </w:rPr>
        <w:t>).</w:t>
      </w:r>
    </w:p>
    <w:p w14:paraId="3D023267" w14:textId="77777777" w:rsidR="007B3BA1" w:rsidRPr="00893DDC" w:rsidRDefault="007B3BA1" w:rsidP="00893DDC">
      <w:pPr>
        <w:tabs>
          <w:tab w:val="clear" w:pos="567"/>
        </w:tabs>
        <w:spacing w:line="240" w:lineRule="auto"/>
        <w:ind w:firstLine="708"/>
        <w:jc w:val="both"/>
        <w:rPr>
          <w:iCs/>
          <w:szCs w:val="22"/>
        </w:rPr>
      </w:pPr>
    </w:p>
    <w:p w14:paraId="18546C97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893DDC">
        <w:rPr>
          <w:szCs w:val="22"/>
        </w:rPr>
        <w:t>Bílý až nažloutlý prášek.</w:t>
      </w:r>
    </w:p>
    <w:p w14:paraId="79D6A828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FDF56D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BD29D8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caps/>
          <w:szCs w:val="22"/>
        </w:rPr>
      </w:pPr>
      <w:r w:rsidRPr="00893DDC">
        <w:rPr>
          <w:b/>
          <w:szCs w:val="22"/>
          <w:highlight w:val="lightGray"/>
        </w:rPr>
        <w:t>3.</w:t>
      </w:r>
      <w:r w:rsidRPr="00893DDC">
        <w:rPr>
          <w:b/>
          <w:szCs w:val="22"/>
        </w:rPr>
        <w:tab/>
        <w:t>Cílové druhy zvířat</w:t>
      </w:r>
    </w:p>
    <w:p w14:paraId="62FB15BD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7DDE6F" w14:textId="74B7308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Kur domácí (</w:t>
      </w:r>
      <w:r w:rsidR="00BF6F6C" w:rsidRPr="00893DDC">
        <w:rPr>
          <w:szCs w:val="22"/>
        </w:rPr>
        <w:t xml:space="preserve">pro reprodukci, </w:t>
      </w:r>
      <w:r w:rsidRPr="00893DDC">
        <w:rPr>
          <w:szCs w:val="22"/>
        </w:rPr>
        <w:t>brojleři, kuřice) a prasata.</w:t>
      </w:r>
    </w:p>
    <w:p w14:paraId="58CB1BF1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FBE1AB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0D0CEE" w14:textId="32CDB0A4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b/>
          <w:szCs w:val="22"/>
        </w:rPr>
      </w:pPr>
      <w:r w:rsidRPr="00E87914">
        <w:rPr>
          <w:b/>
          <w:szCs w:val="22"/>
          <w:highlight w:val="lightGray"/>
        </w:rPr>
        <w:t>4.</w:t>
      </w:r>
      <w:r w:rsidRPr="00893DDC">
        <w:rPr>
          <w:b/>
          <w:szCs w:val="22"/>
        </w:rPr>
        <w:tab/>
        <w:t>Indikace pro použití</w:t>
      </w:r>
    </w:p>
    <w:p w14:paraId="53B5B598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045C5C" w14:textId="77777777" w:rsidR="007B3BA1" w:rsidRPr="00893DDC" w:rsidRDefault="007B3BA1" w:rsidP="00893DDC">
      <w:pPr>
        <w:spacing w:line="240" w:lineRule="auto"/>
        <w:jc w:val="both"/>
        <w:rPr>
          <w:color w:val="000000"/>
          <w:szCs w:val="22"/>
        </w:rPr>
      </w:pPr>
      <w:r w:rsidRPr="00893DDC">
        <w:rPr>
          <w:color w:val="000000"/>
          <w:szCs w:val="22"/>
        </w:rPr>
        <w:t>Kur domácí:</w:t>
      </w:r>
    </w:p>
    <w:p w14:paraId="2B5834F4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893DDC">
        <w:rPr>
          <w:color w:val="000000"/>
          <w:szCs w:val="22"/>
        </w:rPr>
        <w:t>Léčba infekcí dýchacích cest a gastrointestinálního traktu.</w:t>
      </w:r>
    </w:p>
    <w:p w14:paraId="71F42E1C" w14:textId="77777777" w:rsidR="007B3BA1" w:rsidRPr="00893DDC" w:rsidRDefault="007B3BA1" w:rsidP="00893DDC">
      <w:pPr>
        <w:spacing w:line="240" w:lineRule="auto"/>
        <w:jc w:val="both"/>
        <w:rPr>
          <w:color w:val="000000"/>
          <w:szCs w:val="22"/>
        </w:rPr>
      </w:pPr>
      <w:r w:rsidRPr="00893DDC">
        <w:rPr>
          <w:color w:val="000000"/>
          <w:szCs w:val="22"/>
        </w:rPr>
        <w:t>Prasata:</w:t>
      </w:r>
    </w:p>
    <w:p w14:paraId="3F99CE39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893DDC">
        <w:rPr>
          <w:color w:val="000000"/>
          <w:szCs w:val="22"/>
        </w:rPr>
        <w:t>Léčba infekcí dýchacích cest, gastrointestinálního traktu a urogenitálních infekcí, sekundárních infekcí po virových onemocněních a septikémie.</w:t>
      </w:r>
    </w:p>
    <w:p w14:paraId="0A8949D6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E24426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5D427E" w14:textId="138F2C57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b/>
          <w:szCs w:val="22"/>
        </w:rPr>
      </w:pPr>
      <w:r w:rsidRPr="00E87914">
        <w:rPr>
          <w:b/>
          <w:szCs w:val="22"/>
          <w:highlight w:val="lightGray"/>
        </w:rPr>
        <w:t>5.</w:t>
      </w:r>
      <w:r w:rsidRPr="00893DDC">
        <w:rPr>
          <w:b/>
          <w:szCs w:val="22"/>
        </w:rPr>
        <w:tab/>
        <w:t>Kontraindikace</w:t>
      </w:r>
    </w:p>
    <w:p w14:paraId="32CCA9B3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970E44" w14:textId="4AA50D31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893DDC">
        <w:rPr>
          <w:szCs w:val="22"/>
        </w:rPr>
        <w:t xml:space="preserve">Nepoužívat u koní, králíků, morčat, křečků, </w:t>
      </w:r>
      <w:proofErr w:type="spellStart"/>
      <w:r w:rsidRPr="00893DDC">
        <w:rPr>
          <w:szCs w:val="22"/>
        </w:rPr>
        <w:t>pískomilů</w:t>
      </w:r>
      <w:proofErr w:type="spellEnd"/>
      <w:r w:rsidRPr="00893DDC">
        <w:rPr>
          <w:szCs w:val="22"/>
        </w:rPr>
        <w:t xml:space="preserve"> ani </w:t>
      </w:r>
      <w:r w:rsidR="0087778C" w:rsidRPr="00893DDC">
        <w:rPr>
          <w:szCs w:val="22"/>
        </w:rPr>
        <w:t xml:space="preserve">žádných </w:t>
      </w:r>
      <w:r w:rsidRPr="00893DDC">
        <w:rPr>
          <w:szCs w:val="22"/>
        </w:rPr>
        <w:t>jin</w:t>
      </w:r>
      <w:r w:rsidR="0087778C" w:rsidRPr="00893DDC">
        <w:rPr>
          <w:szCs w:val="22"/>
        </w:rPr>
        <w:t>ých</w:t>
      </w:r>
      <w:r w:rsidRPr="00893DDC">
        <w:rPr>
          <w:szCs w:val="22"/>
        </w:rPr>
        <w:t xml:space="preserve"> mal</w:t>
      </w:r>
      <w:r w:rsidR="0087778C" w:rsidRPr="00893DDC">
        <w:rPr>
          <w:szCs w:val="22"/>
        </w:rPr>
        <w:t>ých</w:t>
      </w:r>
      <w:r w:rsidRPr="00893DDC">
        <w:rPr>
          <w:szCs w:val="22"/>
        </w:rPr>
        <w:t xml:space="preserve"> býložravc</w:t>
      </w:r>
      <w:r w:rsidR="0087778C" w:rsidRPr="00893DDC">
        <w:rPr>
          <w:szCs w:val="22"/>
        </w:rPr>
        <w:t>ů</w:t>
      </w:r>
      <w:r w:rsidRPr="00893DDC">
        <w:rPr>
          <w:szCs w:val="22"/>
        </w:rPr>
        <w:t xml:space="preserve"> vzhledem k tomu, že amoxicilin, stejně jako všechny </w:t>
      </w:r>
      <w:proofErr w:type="spellStart"/>
      <w:r w:rsidRPr="00893DDC">
        <w:rPr>
          <w:szCs w:val="22"/>
        </w:rPr>
        <w:t>aminopeniciliny</w:t>
      </w:r>
      <w:proofErr w:type="spellEnd"/>
      <w:r w:rsidRPr="00893DDC">
        <w:rPr>
          <w:szCs w:val="22"/>
        </w:rPr>
        <w:t xml:space="preserve">, má nepříznivý účinek na bakterie céka. </w:t>
      </w:r>
    </w:p>
    <w:p w14:paraId="6E0B4987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893DDC">
        <w:rPr>
          <w:szCs w:val="22"/>
        </w:rPr>
        <w:t>Nepoužívat u přežvýkavců.</w:t>
      </w:r>
    </w:p>
    <w:p w14:paraId="42109F94" w14:textId="4D402998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893DDC">
        <w:rPr>
          <w:szCs w:val="22"/>
        </w:rPr>
        <w:t xml:space="preserve">Nepoužívat u zvířat s přecitlivělostí na peniciliny nebo jiná </w:t>
      </w:r>
      <w:r w:rsidR="0087778C" w:rsidRPr="00893DDC">
        <w:rPr>
          <w:szCs w:val="22"/>
        </w:rPr>
        <w:t>beta</w:t>
      </w:r>
      <w:r w:rsidRPr="00893DDC">
        <w:rPr>
          <w:szCs w:val="22"/>
        </w:rPr>
        <w:t>-</w:t>
      </w:r>
      <w:proofErr w:type="spellStart"/>
      <w:r w:rsidRPr="00893DDC">
        <w:rPr>
          <w:szCs w:val="22"/>
        </w:rPr>
        <w:t>laktamová</w:t>
      </w:r>
      <w:proofErr w:type="spellEnd"/>
      <w:r w:rsidRPr="00893DDC">
        <w:rPr>
          <w:szCs w:val="22"/>
        </w:rPr>
        <w:t xml:space="preserve"> antibiotika nebo na některou z pomocných látek.</w:t>
      </w:r>
    </w:p>
    <w:p w14:paraId="12C6BB06" w14:textId="3188884F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893DDC">
        <w:rPr>
          <w:szCs w:val="22"/>
        </w:rPr>
        <w:t>Nepoužívat u zvířat s onemocněním ledvin včetně anurie nebo oligurie.</w:t>
      </w:r>
    </w:p>
    <w:p w14:paraId="6D0188E1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893DDC">
        <w:rPr>
          <w:szCs w:val="22"/>
        </w:rPr>
        <w:t>Nepoužívat v přítomnosti bakterií produkujících beta-</w:t>
      </w:r>
      <w:proofErr w:type="spellStart"/>
      <w:r w:rsidRPr="00893DDC">
        <w:rPr>
          <w:szCs w:val="22"/>
        </w:rPr>
        <w:t>laktamázu</w:t>
      </w:r>
      <w:proofErr w:type="spellEnd"/>
      <w:r w:rsidRPr="00893DDC">
        <w:rPr>
          <w:szCs w:val="22"/>
        </w:rPr>
        <w:t>, protože tento veterinární léčivý přípravek na ně nemá žádný účinek.</w:t>
      </w:r>
    </w:p>
    <w:p w14:paraId="16181E88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57F770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185B59" w14:textId="31530C71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7914">
        <w:rPr>
          <w:b/>
          <w:szCs w:val="22"/>
          <w:highlight w:val="lightGray"/>
        </w:rPr>
        <w:t>6.</w:t>
      </w:r>
      <w:r w:rsidRPr="00893DDC">
        <w:rPr>
          <w:b/>
          <w:szCs w:val="22"/>
        </w:rPr>
        <w:tab/>
      </w:r>
      <w:r w:rsidR="00EE3971" w:rsidRPr="00893DDC">
        <w:rPr>
          <w:b/>
          <w:szCs w:val="22"/>
        </w:rPr>
        <w:t>Zvláštní upozornění</w:t>
      </w:r>
    </w:p>
    <w:p w14:paraId="6A7548AF" w14:textId="5A111AB3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  <w:u w:val="single"/>
        </w:rPr>
        <w:t>Zvláštní upozornění:</w:t>
      </w:r>
    </w:p>
    <w:p w14:paraId="30725C3C" w14:textId="77777777" w:rsidR="007B3BA1" w:rsidRPr="00893DDC" w:rsidRDefault="007B3BA1" w:rsidP="00893DDC">
      <w:pPr>
        <w:spacing w:line="240" w:lineRule="auto"/>
        <w:jc w:val="both"/>
        <w:rPr>
          <w:szCs w:val="22"/>
        </w:rPr>
      </w:pPr>
      <w:bookmarkStart w:id="1" w:name="_Hlk99438199"/>
      <w:r w:rsidRPr="00893DDC">
        <w:rPr>
          <w:szCs w:val="22"/>
        </w:rPr>
        <w:t>Příjem léků zvířaty může být změněn v důsledku nemoci. V případě nedostatečného příjmu vody/krmiva by měla být zvířata ošetřena parenterálně s využitím vhodného injekčního veterinárního léčivého přípravku předepsaného veterinárním lékařem.</w:t>
      </w:r>
      <w:bookmarkEnd w:id="1"/>
    </w:p>
    <w:p w14:paraId="2E492A89" w14:textId="710326F7" w:rsidR="007B3BA1" w:rsidRPr="00B644E8" w:rsidRDefault="007A2FBB" w:rsidP="00893DDC">
      <w:pPr>
        <w:spacing w:line="240" w:lineRule="auto"/>
        <w:jc w:val="both"/>
      </w:pPr>
      <w:r w:rsidRPr="00E87914">
        <w:rPr>
          <w:szCs w:val="22"/>
        </w:rPr>
        <w:t>U</w:t>
      </w:r>
      <w:r w:rsidR="007B3BA1" w:rsidRPr="00893DDC">
        <w:rPr>
          <w:szCs w:val="22"/>
        </w:rPr>
        <w:t xml:space="preserve"> bakterií </w:t>
      </w:r>
      <w:r w:rsidRPr="00E87914">
        <w:rPr>
          <w:szCs w:val="22"/>
        </w:rPr>
        <w:t>patřících do spektra působení</w:t>
      </w:r>
      <w:r w:rsidR="007B3BA1" w:rsidRPr="00893DDC">
        <w:rPr>
          <w:szCs w:val="22"/>
        </w:rPr>
        <w:t xml:space="preserve"> amoxicilin</w:t>
      </w:r>
      <w:r w:rsidRPr="00E87914">
        <w:rPr>
          <w:szCs w:val="22"/>
        </w:rPr>
        <w:t xml:space="preserve">u byla prokázána zkřížená rezistence mezi amoxicilinem a ostatními peniciliny, zejména </w:t>
      </w:r>
      <w:proofErr w:type="spellStart"/>
      <w:r w:rsidRPr="00E87914">
        <w:rPr>
          <w:szCs w:val="22"/>
        </w:rPr>
        <w:t>aminopeniciliny</w:t>
      </w:r>
      <w:proofErr w:type="spellEnd"/>
      <w:r w:rsidR="007B3BA1" w:rsidRPr="00893DDC">
        <w:rPr>
          <w:szCs w:val="22"/>
        </w:rPr>
        <w:t>. Použití veterinárního léčivého</w:t>
      </w:r>
      <w:r w:rsidR="007B3BA1">
        <w:t xml:space="preserve"> přípravku / amoxicilinu je třeba pečlivě zvážit, pokud testování antimikrobiální citlivosti prokázalo rezistenci na peniciliny, protože může být snížena jeho účinnost.</w:t>
      </w:r>
    </w:p>
    <w:p w14:paraId="47F1A136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C26D7C" w14:textId="77777777" w:rsidR="007B3BA1" w:rsidRPr="00474C50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bezpečné použití u cílových druhů zvířat:</w:t>
      </w:r>
    </w:p>
    <w:p w14:paraId="0CEEF1DC" w14:textId="53BA187D" w:rsidR="007B3BA1" w:rsidRPr="00B644E8" w:rsidRDefault="007B3BA1" w:rsidP="00893DDC">
      <w:pPr>
        <w:tabs>
          <w:tab w:val="clear" w:pos="567"/>
          <w:tab w:val="left" w:pos="0"/>
        </w:tabs>
        <w:spacing w:line="240" w:lineRule="auto"/>
        <w:jc w:val="both"/>
      </w:pPr>
      <w:r>
        <w:t xml:space="preserve">Použití veterinárního léčivého přípravku by mělo být založeno na kultivaci a stanovení citlivosti cílových patogenů. Pokud to není možné, je nutné založit terapii na místních (regionální, na úrovni farmy) </w:t>
      </w:r>
      <w:proofErr w:type="spellStart"/>
      <w:r>
        <w:t>epizootologických</w:t>
      </w:r>
      <w:proofErr w:type="spellEnd"/>
      <w:r>
        <w:t xml:space="preserve"> informacích o citlivosti cílových patogenů.</w:t>
      </w:r>
    </w:p>
    <w:p w14:paraId="45C14729" w14:textId="77777777" w:rsidR="007B3BA1" w:rsidRPr="00B644E8" w:rsidRDefault="007B3BA1" w:rsidP="00893DDC">
      <w:pPr>
        <w:tabs>
          <w:tab w:val="clear" w:pos="567"/>
          <w:tab w:val="left" w:pos="0"/>
        </w:tabs>
        <w:spacing w:line="240" w:lineRule="auto"/>
        <w:jc w:val="both"/>
      </w:pPr>
      <w:r>
        <w:t>Při použití tohoto veterinárního léčivého přípravku je nutno zohlednit oficiální celostátní a místní pravidla antibiotické politiky.</w:t>
      </w:r>
    </w:p>
    <w:p w14:paraId="22D3B940" w14:textId="77777777" w:rsidR="007B3BA1" w:rsidRPr="00B644E8" w:rsidRDefault="007B3BA1" w:rsidP="00893DDC">
      <w:pPr>
        <w:tabs>
          <w:tab w:val="clear" w:pos="567"/>
        </w:tabs>
        <w:spacing w:line="240" w:lineRule="auto"/>
        <w:jc w:val="both"/>
      </w:pPr>
      <w:r>
        <w:t>Použití veterinárního léčivého přípravku, které je odlišné od pokynů uvedených v této příbalové informaci, může zvýšit prevalenci bakterií rezistentních na amoxicilin a snížit účinnost léčby jinými peniciliny z důvodu možné zkřížené rezistence.</w:t>
      </w:r>
    </w:p>
    <w:p w14:paraId="2F769F6C" w14:textId="7A36B39D" w:rsidR="007B3BA1" w:rsidRPr="00B644E8" w:rsidRDefault="003618F5" w:rsidP="00893DDC">
      <w:pPr>
        <w:tabs>
          <w:tab w:val="clear" w:pos="567"/>
        </w:tabs>
        <w:spacing w:line="240" w:lineRule="auto"/>
        <w:jc w:val="both"/>
      </w:pPr>
      <w:r>
        <w:t>Jako lék</w:t>
      </w:r>
      <w:r w:rsidR="007B3BA1">
        <w:t xml:space="preserve"> první volby, </w:t>
      </w:r>
      <w:r>
        <w:t xml:space="preserve">pokud </w:t>
      </w:r>
      <w:r w:rsidR="007B3BA1">
        <w:t>testování citlivosti naznačuje pravděpodobnou účinnost tohoto přístupu, by měl</w:t>
      </w:r>
      <w:r>
        <w:t xml:space="preserve">o být použito </w:t>
      </w:r>
      <w:proofErr w:type="spellStart"/>
      <w:r>
        <w:t>úzkospektré</w:t>
      </w:r>
      <w:proofErr w:type="spellEnd"/>
      <w:r>
        <w:t xml:space="preserve"> antibiotikum</w:t>
      </w:r>
      <w:r w:rsidR="007B3BA1">
        <w:t xml:space="preserve"> s nižším rizikem selekce rezistence.</w:t>
      </w:r>
    </w:p>
    <w:p w14:paraId="74CEBD89" w14:textId="77777777" w:rsidR="007B3BA1" w:rsidRPr="00913D0B" w:rsidRDefault="007B3BA1" w:rsidP="00893DDC">
      <w:pPr>
        <w:tabs>
          <w:tab w:val="clear" w:pos="567"/>
        </w:tabs>
        <w:spacing w:line="240" w:lineRule="auto"/>
        <w:jc w:val="both"/>
      </w:pPr>
      <w:r>
        <w:t>Nenechávejte vodu s obsahem přípravku k dispozici jiným zvířatům.</w:t>
      </w:r>
    </w:p>
    <w:p w14:paraId="3A4A1FAA" w14:textId="1F958925" w:rsidR="007B3BA1" w:rsidRPr="00B644E8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 třeba se vyhnout opakovanému a prodlouženému podávání, a to zlepšením managementu chovu udržováním čistoty a dezinfekcí.</w:t>
      </w:r>
    </w:p>
    <w:p w14:paraId="48AD9001" w14:textId="46BB14B3" w:rsidR="007B3BA1" w:rsidRDefault="00AB4A7B" w:rsidP="00893DDC">
      <w:pPr>
        <w:tabs>
          <w:tab w:val="clear" w:pos="567"/>
        </w:tabs>
        <w:spacing w:line="240" w:lineRule="auto"/>
        <w:jc w:val="both"/>
      </w:pPr>
      <w:bookmarkStart w:id="2" w:name="_Hlk100049869"/>
      <w:r>
        <w:t xml:space="preserve">Prodloužené </w:t>
      </w:r>
      <w:r w:rsidR="007B3BA1">
        <w:t>podávání veterinárního léčivého přípravku může způsobit změny ve složení střevní bakteriální flóry a podpořit vývoj necitlivých mikroorganismů.</w:t>
      </w:r>
    </w:p>
    <w:bookmarkEnd w:id="2"/>
    <w:p w14:paraId="457A48A2" w14:textId="7180C6E4" w:rsidR="007B3BA1" w:rsidRDefault="007B3BA1" w:rsidP="00893DDC">
      <w:pPr>
        <w:tabs>
          <w:tab w:val="clear" w:pos="567"/>
        </w:tabs>
        <w:spacing w:line="240" w:lineRule="auto"/>
        <w:jc w:val="both"/>
      </w:pPr>
      <w:r>
        <w:t xml:space="preserve">Antimikrobiální látky by neměly být používány </w:t>
      </w:r>
      <w:r w:rsidR="008D1538">
        <w:t>jako součást</w:t>
      </w:r>
      <w:r>
        <w:t xml:space="preserve"> programů </w:t>
      </w:r>
      <w:r w:rsidR="008D1538">
        <w:t xml:space="preserve">kontroly zdraví na úrovni </w:t>
      </w:r>
      <w:r>
        <w:t>stáda.</w:t>
      </w:r>
    </w:p>
    <w:p w14:paraId="7F41599F" w14:textId="745B149B" w:rsidR="007B3BA1" w:rsidRDefault="008D1538" w:rsidP="00893DDC">
      <w:pPr>
        <w:tabs>
          <w:tab w:val="clear" w:pos="567"/>
        </w:tabs>
        <w:spacing w:line="240" w:lineRule="auto"/>
        <w:jc w:val="both"/>
      </w:pPr>
      <w:r>
        <w:t>Nepoužívejte pro</w:t>
      </w:r>
      <w:r w:rsidR="007B3BA1">
        <w:t xml:space="preserve"> profylaxi.</w:t>
      </w:r>
    </w:p>
    <w:p w14:paraId="091822C0" w14:textId="77777777" w:rsidR="007B3BA1" w:rsidRPr="003C770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F9C822" w14:textId="65328135" w:rsidR="007B3BA1" w:rsidRPr="00474C50" w:rsidRDefault="007B3BA1" w:rsidP="00893DD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727FBCE1" w14:textId="5D93B4AE" w:rsidR="007B3BA1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Peniciliny a cefalosporiny mohou po injekci, inhalaci, požití nebo kontaktu s kůží vyvolat přecitlivělost (alergii). Přecitlivělost na peniciliny může vést ke zkříženým reakcím s cefalosporiny a naopak. Alergické reakce na tyto látky mohou být v některých případech vážné.</w:t>
      </w:r>
    </w:p>
    <w:p w14:paraId="297DFFBF" w14:textId="77777777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Tento veterinární léčivý přípravek může dráždit dýchací cesty.</w:t>
      </w:r>
    </w:p>
    <w:p w14:paraId="61C90D8A" w14:textId="11FABD5A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Lidé se známou přecitlivělostí na beta-</w:t>
      </w:r>
      <w:proofErr w:type="spellStart"/>
      <w:r>
        <w:t>laktamová</w:t>
      </w:r>
      <w:proofErr w:type="spellEnd"/>
      <w:r>
        <w:t xml:space="preserve"> antibiotika by se měli vyhnout </w:t>
      </w:r>
      <w:r w:rsidR="00986B89">
        <w:t xml:space="preserve">kontaktu </w:t>
      </w:r>
      <w:r>
        <w:t>s</w:t>
      </w:r>
      <w:r w:rsidR="00986B89">
        <w:t> </w:t>
      </w:r>
      <w:r>
        <w:t>veterinárním léčivým přípravkem.</w:t>
      </w:r>
    </w:p>
    <w:p w14:paraId="79194816" w14:textId="170F8849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</w:t>
      </w:r>
      <w:r w:rsidR="00986B89">
        <w:t xml:space="preserve">nakládání </w:t>
      </w:r>
      <w:r>
        <w:t>s veterinárním léčivým přípravkem buďte maximálně obezřetní, aby nedošlo k expozici, a dodržujte všechna doporučená bezpečnostní opatření.</w:t>
      </w:r>
    </w:p>
    <w:p w14:paraId="59EF75D7" w14:textId="77777777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Zabraňte vdechování prachu. Použijte buď jednorázový respirátor s polomaskou vyhovující evropské normě EN149, nebo respirátor pro více použití podle evropské normy EN140 s filtrem podle normy EN143.</w:t>
      </w:r>
    </w:p>
    <w:p w14:paraId="5288B111" w14:textId="49EC1B81" w:rsidR="007B3BA1" w:rsidRPr="004F59D8" w:rsidRDefault="00986B89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nakládání </w:t>
      </w:r>
      <w:r w:rsidR="007B3BA1">
        <w:t xml:space="preserve">s veterinárním léčivým přípravkem nebo </w:t>
      </w:r>
      <w:proofErr w:type="spellStart"/>
      <w:r w:rsidR="007B3BA1">
        <w:t>medikovanou</w:t>
      </w:r>
      <w:proofErr w:type="spellEnd"/>
      <w:r w:rsidR="007B3BA1">
        <w:t xml:space="preserve"> vodou noste rukavice.</w:t>
      </w:r>
    </w:p>
    <w:p w14:paraId="60FDAB98" w14:textId="77777777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použití si umyjte ruce. Po manipulaci s veterinárním léčivým přípravkem nebo </w:t>
      </w:r>
      <w:proofErr w:type="spellStart"/>
      <w:r>
        <w:t>medikovanou</w:t>
      </w:r>
      <w:proofErr w:type="spellEnd"/>
      <w:r>
        <w:t xml:space="preserve"> vodou omyjte veškerou exponovanou pokožku.</w:t>
      </w:r>
    </w:p>
    <w:p w14:paraId="7EACDEED" w14:textId="77777777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zasažení očí nebo kontaktu s pokožkou opláchněte postižené místo velkým množstvím čisté vody.</w:t>
      </w:r>
    </w:p>
    <w:p w14:paraId="48F11BD7" w14:textId="77777777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manipulaci s veterinárním léčivým přípravkem nekuřte, nejezte a nepijte. V případě náhodného požití ihned vypláchněte ústa vodou a vyhledejte lékařskou pomoc.</w:t>
      </w:r>
    </w:p>
    <w:p w14:paraId="64C5D6C1" w14:textId="77777777" w:rsidR="007B3BA1" w:rsidRPr="004F59D8" w:rsidRDefault="007B3BA1" w:rsidP="00E8791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Pokud se u vás objeví </w:t>
      </w:r>
      <w:proofErr w:type="spellStart"/>
      <w:r>
        <w:t>postexpoziční</w:t>
      </w:r>
      <w:proofErr w:type="spellEnd"/>
      <w:r>
        <w:t xml:space="preserve"> příznaky, jako např. kožní vyrážka, vyhledejte lékařskou pomoc a ukažte lékaři toto varování. Otok obličeje, rtů, očí nebo potíže s dýcháním jsou vážné příznaky a vyžadují okamžitou lékařskou pomoc.</w:t>
      </w:r>
    </w:p>
    <w:p w14:paraId="14CC872D" w14:textId="77777777" w:rsidR="007B3BA1" w:rsidRPr="00C67AAE" w:rsidRDefault="007B3BA1" w:rsidP="00E87914">
      <w:pPr>
        <w:tabs>
          <w:tab w:val="clear" w:pos="567"/>
        </w:tabs>
        <w:spacing w:line="240" w:lineRule="auto"/>
        <w:jc w:val="both"/>
      </w:pPr>
    </w:p>
    <w:p w14:paraId="056A93C1" w14:textId="77777777" w:rsidR="007B3BA1" w:rsidRPr="0099532E" w:rsidRDefault="007B3BA1" w:rsidP="00893DD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Březost, laktace a snáška:</w:t>
      </w:r>
    </w:p>
    <w:p w14:paraId="64B314C0" w14:textId="77777777" w:rsidR="007B3BA1" w:rsidRPr="00CA0A9A" w:rsidRDefault="007B3BA1" w:rsidP="00893DDC">
      <w:pPr>
        <w:spacing w:line="240" w:lineRule="auto"/>
        <w:jc w:val="both"/>
      </w:pPr>
      <w:r>
        <w:t>Nebyla stanovena bezpečnost veterinárního léčivého přípravku pro použití během březosti a laktace.</w:t>
      </w:r>
    </w:p>
    <w:p w14:paraId="452FE816" w14:textId="77777777" w:rsidR="007B3BA1" w:rsidRPr="00B644E8" w:rsidRDefault="007B3BA1" w:rsidP="00893DDC">
      <w:pPr>
        <w:spacing w:line="240" w:lineRule="auto"/>
        <w:jc w:val="both"/>
      </w:pPr>
      <w:r>
        <w:t>Použít pouze po zvážení terapeutického prospěchu a rizika příslušným veterinárním lékařem.</w:t>
      </w:r>
    </w:p>
    <w:p w14:paraId="59E761C4" w14:textId="3E35DA75" w:rsidR="007B3BA1" w:rsidRPr="00C00BF0" w:rsidRDefault="007B3BA1" w:rsidP="00893DDC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>
        <w:t>Laboratorní studie u potkanů nepodaly důkaz o teratogenním účinku.</w:t>
      </w:r>
    </w:p>
    <w:p w14:paraId="1C9E8AE0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4271B8" w14:textId="330A898F" w:rsidR="007B3BA1" w:rsidRPr="00474C5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Interakce s jinými léčivými přípravky a další formy interakce:</w:t>
      </w:r>
    </w:p>
    <w:p w14:paraId="5511581D" w14:textId="77777777" w:rsidR="007B3BA1" w:rsidRPr="00CA0A9A" w:rsidRDefault="007B3BA1" w:rsidP="00893DDC">
      <w:pPr>
        <w:spacing w:line="240" w:lineRule="auto"/>
        <w:jc w:val="both"/>
      </w:pPr>
      <w:r>
        <w:t>Přípravek by neměl být podáván s antibiotiky s bakteriostatickým účinkem.</w:t>
      </w:r>
    </w:p>
    <w:p w14:paraId="156E3A30" w14:textId="77777777" w:rsidR="007B3BA1" w:rsidRPr="00913D0B" w:rsidRDefault="007B3BA1" w:rsidP="00893DDC">
      <w:pPr>
        <w:spacing w:line="240" w:lineRule="auto"/>
        <w:jc w:val="both"/>
      </w:pPr>
      <w:r>
        <w:t>Může se objevit synergismus s jinými beta-</w:t>
      </w:r>
      <w:proofErr w:type="spellStart"/>
      <w:r>
        <w:t>laktamovými</w:t>
      </w:r>
      <w:proofErr w:type="spellEnd"/>
      <w:r>
        <w:t xml:space="preserve"> antibiotiky a aminoglykosidy.</w:t>
      </w:r>
    </w:p>
    <w:p w14:paraId="40BAFB42" w14:textId="77777777" w:rsidR="007B3BA1" w:rsidRPr="00B644E8" w:rsidRDefault="007B3BA1" w:rsidP="00893DDC">
      <w:pPr>
        <w:tabs>
          <w:tab w:val="clear" w:pos="567"/>
          <w:tab w:val="left" w:pos="540"/>
        </w:tabs>
        <w:spacing w:line="240" w:lineRule="auto"/>
        <w:jc w:val="both"/>
        <w:rPr>
          <w:kern w:val="14"/>
          <w:szCs w:val="22"/>
        </w:rPr>
      </w:pPr>
      <w:r>
        <w:t>Nepodávejte současně s neomycinem, protože blokuje absorpci perorálně podávaných penicilinů.</w:t>
      </w:r>
    </w:p>
    <w:p w14:paraId="6045F92D" w14:textId="77777777" w:rsidR="007B3BA1" w:rsidRPr="00B644E8" w:rsidRDefault="007B3BA1" w:rsidP="00893DDC">
      <w:pPr>
        <w:spacing w:line="240" w:lineRule="auto"/>
        <w:jc w:val="both"/>
      </w:pPr>
      <w:r>
        <w:t>Nepoužívejte společně s antibiotiky, která inhibují syntézu bakteriálních proteinů, protože mohou antagonizovat baktericidní účinek penicilinů.</w:t>
      </w:r>
    </w:p>
    <w:p w14:paraId="77752A41" w14:textId="77777777" w:rsidR="007B3BA1" w:rsidRPr="00474C5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E309EE" w14:textId="1A26E603" w:rsidR="007B3BA1" w:rsidRPr="00474C5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7500D549" w14:textId="6152C08D" w:rsidR="007B3BA1" w:rsidRPr="00C00BF0" w:rsidRDefault="007B3BA1" w:rsidP="00893DDC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>
        <w:lastRenderedPageBreak/>
        <w:t>Nejsou známy žádné jiné nežádoucí účinky než ty, které jsou uvedeny v bodě „Nežádoucí účinky“.</w:t>
      </w:r>
    </w:p>
    <w:p w14:paraId="3C034BF4" w14:textId="48448E3A" w:rsidR="007B3BA1" w:rsidRPr="008D26D8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Amoxicilin má širok</w:t>
      </w:r>
      <w:r w:rsidR="00051E55">
        <w:t>ý</w:t>
      </w:r>
      <w:r>
        <w:t xml:space="preserve"> </w:t>
      </w:r>
      <w:r w:rsidR="001005BB">
        <w:t>terapeutický index</w:t>
      </w:r>
      <w:r>
        <w:t xml:space="preserve">. V případě předávkování by měla být léčba symptomatická. Není k dispozici žádné specifické </w:t>
      </w:r>
      <w:proofErr w:type="spellStart"/>
      <w:r>
        <w:t>antidotum</w:t>
      </w:r>
      <w:proofErr w:type="spellEnd"/>
      <w:r>
        <w:t>.</w:t>
      </w:r>
    </w:p>
    <w:p w14:paraId="6585A1FC" w14:textId="77777777" w:rsidR="007B3BA1" w:rsidRPr="00474C5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A4324A" w14:textId="77777777" w:rsidR="007B3BA1" w:rsidRPr="00474C5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002A1063" w14:textId="7EFF6C45" w:rsidR="007B3BA1" w:rsidRPr="00474C5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 dispozici, a proto tento veterinární léčivý přípravek nesmí být mísen s žádnými dalšími veterinárními léčivými přípravky.</w:t>
      </w:r>
    </w:p>
    <w:p w14:paraId="68C34EB9" w14:textId="77777777" w:rsidR="007B3BA1" w:rsidRPr="00C00BF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B00838" w14:textId="77777777" w:rsidR="007B3BA1" w:rsidRPr="00913D0B" w:rsidRDefault="007B3BA1" w:rsidP="00893DDC">
      <w:pPr>
        <w:tabs>
          <w:tab w:val="clear" w:pos="567"/>
        </w:tabs>
        <w:spacing w:line="240" w:lineRule="auto"/>
        <w:jc w:val="both"/>
      </w:pPr>
    </w:p>
    <w:p w14:paraId="27381B9F" w14:textId="27E99345" w:rsidR="007B3BA1" w:rsidRDefault="007B3BA1" w:rsidP="00E87914">
      <w:pPr>
        <w:tabs>
          <w:tab w:val="clear" w:pos="567"/>
          <w:tab w:val="left" w:pos="142"/>
          <w:tab w:val="left" w:pos="709"/>
        </w:tabs>
        <w:spacing w:line="240" w:lineRule="auto"/>
        <w:jc w:val="both"/>
        <w:rPr>
          <w:szCs w:val="22"/>
        </w:rPr>
      </w:pPr>
      <w:r>
        <w:rPr>
          <w:b/>
          <w:highlight w:val="lightGray"/>
        </w:rPr>
        <w:t>7.</w:t>
      </w:r>
      <w:r w:rsidR="00EE3971">
        <w:rPr>
          <w:b/>
        </w:rPr>
        <w:tab/>
      </w:r>
      <w:r>
        <w:rPr>
          <w:b/>
        </w:rPr>
        <w:t>Nežádoucí účinky</w:t>
      </w:r>
    </w:p>
    <w:p w14:paraId="2E885CFB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63E831" w14:textId="46C38FD0" w:rsidR="007B3BA1" w:rsidRPr="00F15B80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Kur domácí (</w:t>
      </w:r>
      <w:r w:rsidR="00BF6F6C">
        <w:t xml:space="preserve">pro reprodukci, </w:t>
      </w:r>
      <w:r>
        <w:t>brojleři, kuřice), prasata</w:t>
      </w:r>
    </w:p>
    <w:p w14:paraId="53CF85ED" w14:textId="77777777" w:rsidR="007B3BA1" w:rsidRPr="00F15B80" w:rsidRDefault="007B3BA1" w:rsidP="007B3BA1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7B3BA1" w:rsidRPr="00F15B80" w14:paraId="2C31921B" w14:textId="77777777" w:rsidTr="00112573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C50A" w14:textId="24F06DD7" w:rsidR="007B3BA1" w:rsidRPr="00F15B80" w:rsidRDefault="007B3BA1" w:rsidP="00112573">
            <w:pPr>
              <w:spacing w:before="60" w:after="60"/>
              <w:rPr>
                <w:szCs w:val="22"/>
              </w:rPr>
            </w:pPr>
            <w:r>
              <w:t>N</w:t>
            </w:r>
            <w:r w:rsidR="00AA34B1">
              <w:t xml:space="preserve">eznámá </w:t>
            </w:r>
            <w:r>
              <w:t>četnost (z dostupných údajů</w:t>
            </w:r>
            <w:r w:rsidR="00AA34B1">
              <w:t xml:space="preserve"> nelze určit</w:t>
            </w:r>
            <w:r>
              <w:t>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F8B5" w14:textId="77777777" w:rsidR="007B3BA1" w:rsidRDefault="007B3BA1" w:rsidP="00112573">
            <w:pPr>
              <w:spacing w:before="60" w:after="60"/>
              <w:rPr>
                <w:iCs/>
                <w:szCs w:val="22"/>
              </w:rPr>
            </w:pPr>
            <w:r>
              <w:t>Reakce z přecitlivělosti (od alergické kožní reakce až po anafylaktický šok (těžkou alergickou reakci))</w:t>
            </w:r>
            <w:r>
              <w:rPr>
                <w:vertAlign w:val="superscript"/>
              </w:rPr>
              <w:t>1</w:t>
            </w:r>
          </w:p>
          <w:p w14:paraId="1F521D0F" w14:textId="77777777" w:rsidR="007B3BA1" w:rsidRPr="00F15B80" w:rsidRDefault="007B3BA1" w:rsidP="00112573">
            <w:pPr>
              <w:spacing w:before="60" w:after="60"/>
              <w:rPr>
                <w:iCs/>
                <w:szCs w:val="22"/>
              </w:rPr>
            </w:pPr>
            <w:r>
              <w:t>Poruchy trávicího traktu (zvracení, průjem)</w:t>
            </w:r>
          </w:p>
        </w:tc>
      </w:tr>
    </w:tbl>
    <w:p w14:paraId="296A4298" w14:textId="77777777" w:rsidR="007B3BA1" w:rsidRDefault="007B3BA1" w:rsidP="007B3BA1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>Okamžitě přestaňte veterinární léčivý přípravek podávat.</w:t>
      </w:r>
    </w:p>
    <w:p w14:paraId="6C898B3F" w14:textId="77777777" w:rsidR="007B3BA1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73AFDB68" w14:textId="011741D5" w:rsidR="007B3BA1" w:rsidRDefault="007B3BA1" w:rsidP="00893DDC">
      <w:pPr>
        <w:tabs>
          <w:tab w:val="clear" w:pos="567"/>
        </w:tabs>
        <w:spacing w:line="240" w:lineRule="auto"/>
        <w:jc w:val="both"/>
      </w:pPr>
      <w:r>
        <w:t>Hlášení nežádoucích účinků je důležité. Umožňuje nepřetržité sledování bezpečnosti veterinárního léčivého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EE4B19">
        <w:t>i</w:t>
      </w:r>
      <w:r>
        <w:t xml:space="preserve"> rozhodnutí o registraci nebo místní</w:t>
      </w:r>
      <w:r w:rsidR="00EE4B19">
        <w:t>mu</w:t>
      </w:r>
      <w:r>
        <w:t xml:space="preserve"> zástupc</w:t>
      </w:r>
      <w:r w:rsidR="00EE4B19">
        <w:t>i</w:t>
      </w:r>
      <w:r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5E7AEB65" w14:textId="2CA55EC1" w:rsidR="00A9785C" w:rsidRDefault="00A9785C" w:rsidP="00893DDC">
      <w:pPr>
        <w:tabs>
          <w:tab w:val="clear" w:pos="567"/>
        </w:tabs>
        <w:spacing w:line="240" w:lineRule="auto"/>
        <w:jc w:val="both"/>
      </w:pPr>
    </w:p>
    <w:p w14:paraId="6EAA5778" w14:textId="77777777" w:rsidR="00A9785C" w:rsidRDefault="00A9785C" w:rsidP="00893DDC">
      <w:pPr>
        <w:tabs>
          <w:tab w:val="clear" w:pos="567"/>
        </w:tabs>
        <w:spacing w:line="240" w:lineRule="auto"/>
        <w:jc w:val="both"/>
      </w:pPr>
      <w:r>
        <w:t xml:space="preserve">Ústav pro státní kontrolu veterinárních biopreparátů a léčiv </w:t>
      </w:r>
    </w:p>
    <w:p w14:paraId="17EA7F6C" w14:textId="77777777" w:rsidR="00A9785C" w:rsidRDefault="00A9785C" w:rsidP="00893DDC">
      <w:pPr>
        <w:tabs>
          <w:tab w:val="clear" w:pos="567"/>
        </w:tabs>
        <w:spacing w:line="240" w:lineRule="auto"/>
        <w:jc w:val="both"/>
      </w:pPr>
      <w:r>
        <w:t>Hudcova 232/</w:t>
      </w:r>
      <w:proofErr w:type="gramStart"/>
      <w:r>
        <w:t>56a</w:t>
      </w:r>
      <w:proofErr w:type="gramEnd"/>
      <w:r>
        <w:t xml:space="preserve"> </w:t>
      </w:r>
    </w:p>
    <w:p w14:paraId="1A270A35" w14:textId="77777777" w:rsidR="00A9785C" w:rsidRDefault="00A9785C" w:rsidP="00893DDC">
      <w:pPr>
        <w:tabs>
          <w:tab w:val="clear" w:pos="567"/>
        </w:tabs>
        <w:spacing w:line="240" w:lineRule="auto"/>
        <w:jc w:val="both"/>
      </w:pPr>
      <w:r>
        <w:t>621 00 Brno</w:t>
      </w:r>
    </w:p>
    <w:p w14:paraId="66BF6107" w14:textId="77777777" w:rsidR="00A9785C" w:rsidRDefault="00A9785C" w:rsidP="00893DDC">
      <w:pPr>
        <w:tabs>
          <w:tab w:val="clear" w:pos="567"/>
        </w:tabs>
        <w:spacing w:line="240" w:lineRule="auto"/>
        <w:jc w:val="both"/>
      </w:pPr>
      <w:r>
        <w:t>e-mail: adr@uskvbl.cz</w:t>
      </w:r>
    </w:p>
    <w:p w14:paraId="4B5994E2" w14:textId="2089BCE4" w:rsidR="00A9785C" w:rsidRPr="004B695A" w:rsidRDefault="00A9785C" w:rsidP="00893DDC">
      <w:pPr>
        <w:tabs>
          <w:tab w:val="clear" w:pos="567"/>
        </w:tabs>
        <w:spacing w:line="240" w:lineRule="auto"/>
        <w:jc w:val="both"/>
      </w:pPr>
      <w:r>
        <w:t xml:space="preserve">Webové stránky: </w:t>
      </w:r>
      <w:hyperlink r:id="rId8" w:history="1">
        <w:r w:rsidRPr="008D33D2">
          <w:rPr>
            <w:rStyle w:val="Hypertextovodkaz"/>
          </w:rPr>
          <w:t>http://www.uskvbl.cz/cs/farmakovigilance</w:t>
        </w:r>
      </w:hyperlink>
    </w:p>
    <w:p w14:paraId="3F7AC00E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26B5D8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B1AB9" w14:textId="77777777" w:rsidR="007B3BA1" w:rsidRDefault="007B3BA1" w:rsidP="00E87914">
      <w:pPr>
        <w:tabs>
          <w:tab w:val="clear" w:pos="567"/>
          <w:tab w:val="left" w:pos="709"/>
        </w:tabs>
        <w:spacing w:line="240" w:lineRule="auto"/>
        <w:jc w:val="both"/>
        <w:rPr>
          <w:szCs w:val="22"/>
        </w:rPr>
      </w:pPr>
      <w:r w:rsidRPr="00E87914">
        <w:rPr>
          <w:b/>
          <w:highlight w:val="lightGray"/>
        </w:rPr>
        <w:t>8.</w:t>
      </w:r>
      <w:r>
        <w:rPr>
          <w:b/>
        </w:rPr>
        <w:tab/>
        <w:t>Dávkování pro každý druh, cesty podání</w:t>
      </w:r>
    </w:p>
    <w:p w14:paraId="2DDD23B1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AF1A24" w14:textId="7545077B" w:rsidR="007B3BA1" w:rsidRDefault="007B3BA1" w:rsidP="00893DDC">
      <w:pPr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Podání v pitné vodě</w:t>
      </w:r>
      <w:r w:rsidR="00DD0024">
        <w:rPr>
          <w:color w:val="000000"/>
        </w:rPr>
        <w:t>.</w:t>
      </w:r>
    </w:p>
    <w:p w14:paraId="338A8C94" w14:textId="77777777" w:rsidR="007B3BA1" w:rsidRPr="00AA0953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3FD7C4" w14:textId="77777777" w:rsidR="007B3BA1" w:rsidRPr="00AA0953" w:rsidRDefault="007B3BA1" w:rsidP="00893DDC">
      <w:pPr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Kur domácí:</w:t>
      </w:r>
    </w:p>
    <w:p w14:paraId="5D45576A" w14:textId="77777777" w:rsidR="007B3BA1" w:rsidRPr="00B644E8" w:rsidRDefault="007B3BA1" w:rsidP="00893DDC">
      <w:pPr>
        <w:spacing w:line="240" w:lineRule="auto"/>
        <w:jc w:val="both"/>
        <w:rPr>
          <w:szCs w:val="22"/>
        </w:rPr>
      </w:pPr>
      <w:r>
        <w:t xml:space="preserve">Doporučená dávka je 23,0 mg amoxicilin </w:t>
      </w:r>
      <w:proofErr w:type="spellStart"/>
      <w:r>
        <w:t>trihydrátu</w:t>
      </w:r>
      <w:proofErr w:type="spellEnd"/>
      <w:r>
        <w:t xml:space="preserve"> na kg živé hmotnosti a den, což odpovídá 20 mg amoxicilinu na kg živé hmotnosti a den (což odpovídá 28,8 mg veterinárního léčivého přípravku na kg živé hmotnosti a den), a to po dobu 3 až 5 po sobě jdoucích dnů.</w:t>
      </w:r>
    </w:p>
    <w:p w14:paraId="483755D9" w14:textId="77777777" w:rsidR="007B3BA1" w:rsidRPr="00AA0953" w:rsidRDefault="007B3BA1" w:rsidP="00893DDC">
      <w:pPr>
        <w:tabs>
          <w:tab w:val="clear" w:pos="567"/>
          <w:tab w:val="left" w:pos="426"/>
        </w:tabs>
        <w:spacing w:line="240" w:lineRule="auto"/>
        <w:ind w:left="426" w:hanging="426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Prasata:</w:t>
      </w:r>
    </w:p>
    <w:p w14:paraId="0DE54598" w14:textId="77777777" w:rsidR="007B3BA1" w:rsidRPr="00B644E8" w:rsidRDefault="007B3BA1" w:rsidP="00893DDC">
      <w:pPr>
        <w:spacing w:line="240" w:lineRule="auto"/>
        <w:jc w:val="both"/>
        <w:rPr>
          <w:szCs w:val="22"/>
        </w:rPr>
      </w:pPr>
      <w:r>
        <w:t xml:space="preserve">Doporučená dávka je 12,9 mg amoxicilin </w:t>
      </w:r>
      <w:proofErr w:type="spellStart"/>
      <w:r>
        <w:t>trihydrátu</w:t>
      </w:r>
      <w:proofErr w:type="spellEnd"/>
      <w:r>
        <w:t xml:space="preserve"> na kg živé hmotnosti a den, tj. 11,2 mg amoxicilinu na kg živé hmotnosti a den (což odpovídá 16,1 mg veterinárního léčivého přípravku na kg živé hmotnosti a den), a to po dobu 3 až 5 po sobě jdoucích dnů.</w:t>
      </w:r>
    </w:p>
    <w:p w14:paraId="2FAB90F1" w14:textId="77777777" w:rsidR="007B3BA1" w:rsidRPr="00C67AAE" w:rsidRDefault="007B3BA1" w:rsidP="00893DDC">
      <w:pPr>
        <w:tabs>
          <w:tab w:val="clear" w:pos="567"/>
        </w:tabs>
        <w:spacing w:line="240" w:lineRule="auto"/>
        <w:jc w:val="both"/>
      </w:pPr>
    </w:p>
    <w:p w14:paraId="63E43448" w14:textId="77777777" w:rsidR="007B3BA1" w:rsidRPr="00C67AAE" w:rsidRDefault="007B3BA1" w:rsidP="00893DDC">
      <w:pPr>
        <w:tabs>
          <w:tab w:val="clear" w:pos="567"/>
        </w:tabs>
        <w:spacing w:line="240" w:lineRule="auto"/>
        <w:jc w:val="both"/>
      </w:pPr>
    </w:p>
    <w:p w14:paraId="44B699FA" w14:textId="77777777" w:rsidR="007B3BA1" w:rsidRDefault="007B3BA1" w:rsidP="00E87914">
      <w:pPr>
        <w:tabs>
          <w:tab w:val="clear" w:pos="567"/>
          <w:tab w:val="left" w:pos="709"/>
        </w:tabs>
        <w:spacing w:line="240" w:lineRule="auto"/>
        <w:jc w:val="both"/>
        <w:rPr>
          <w:szCs w:val="22"/>
        </w:rPr>
      </w:pPr>
      <w:r w:rsidRPr="00E87914"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2C3DF446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D0DCD9" w14:textId="60A79E1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přípravě </w:t>
      </w:r>
      <w:proofErr w:type="spellStart"/>
      <w:r>
        <w:t>medikované</w:t>
      </w:r>
      <w:proofErr w:type="spellEnd"/>
      <w:r>
        <w:t xml:space="preserve"> vody je třeba vzít v úvahu živou hmotnost léčených zvířat a jejich skutečnou denní spotřebu vody. Spotřeba se může lišit v závislosti na faktorech, jako je druh, věk, zdravotní stav, plemeno a systém chovu (např. různá teplota, různé světelné režimy). Pro dosažení správného dávkování je nutné odpovídajícím způsobem upravit koncentraci amoxicilinu.</w:t>
      </w:r>
    </w:p>
    <w:p w14:paraId="6AB54C3E" w14:textId="7777777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483AD771" w14:textId="77777777" w:rsidR="007B3BA1" w:rsidRPr="00C67AAE" w:rsidRDefault="007B3BA1" w:rsidP="007B3BA1">
      <w:pPr>
        <w:tabs>
          <w:tab w:val="clear" w:pos="567"/>
        </w:tabs>
        <w:spacing w:line="240" w:lineRule="auto"/>
        <w:rPr>
          <w:szCs w:val="22"/>
          <w:lang w:eastAsia="it-IT"/>
        </w:rPr>
      </w:pPr>
    </w:p>
    <w:tbl>
      <w:tblPr>
        <w:tblW w:w="90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571"/>
        <w:gridCol w:w="2365"/>
        <w:gridCol w:w="2959"/>
      </w:tblGrid>
      <w:tr w:rsidR="007B3BA1" w:rsidRPr="00B265AA" w14:paraId="6065B0A4" w14:textId="77777777" w:rsidTr="00E87914">
        <w:trPr>
          <w:trHeight w:val="1076"/>
        </w:trPr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7D9A1" w14:textId="77777777" w:rsidR="007B3BA1" w:rsidRPr="00B265AA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lastRenderedPageBreak/>
              <w:t>mg veterinárního léčivého přípravku na kg živé hmotnosti a den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4A537" w14:textId="77777777" w:rsidR="007B3BA1" w:rsidRPr="00C67AAE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it-IT"/>
              </w:rPr>
            </w:pPr>
          </w:p>
          <w:p w14:paraId="061323DF" w14:textId="77777777" w:rsidR="007B3BA1" w:rsidRPr="00B265AA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3E347" w14:textId="1968D304" w:rsidR="007B3BA1" w:rsidRPr="00B265AA" w:rsidRDefault="00640373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</w:t>
            </w:r>
            <w:r w:rsidR="007B3BA1">
              <w:t>růměrná živá hmotnost (kg) léčených zvířat</w:t>
            </w:r>
          </w:p>
        </w:tc>
        <w:tc>
          <w:tcPr>
            <w:tcW w:w="2959" w:type="dxa"/>
            <w:vMerge w:val="restart"/>
            <w:vAlign w:val="bottom"/>
          </w:tcPr>
          <w:p w14:paraId="5842D649" w14:textId="77777777" w:rsidR="007B3BA1" w:rsidRPr="00C67AAE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it-IT"/>
              </w:rPr>
            </w:pPr>
          </w:p>
          <w:p w14:paraId="172390E7" w14:textId="77777777" w:rsidR="007B3BA1" w:rsidRPr="00C67AAE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it-IT"/>
              </w:rPr>
            </w:pPr>
          </w:p>
          <w:p w14:paraId="4A7AB45A" w14:textId="77777777" w:rsidR="007B3BA1" w:rsidRPr="00B265AA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= mg veterinárního léčivého přípravku na litr pitné vody</w:t>
            </w:r>
          </w:p>
        </w:tc>
      </w:tr>
      <w:tr w:rsidR="007B3BA1" w:rsidRPr="00B265AA" w14:paraId="29768D83" w14:textId="77777777" w:rsidTr="00E87914">
        <w:trPr>
          <w:trHeight w:val="366"/>
        </w:trPr>
        <w:tc>
          <w:tcPr>
            <w:tcW w:w="6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367C83" w14:textId="77777777" w:rsidR="007B3BA1" w:rsidRPr="00B265AA" w:rsidRDefault="007B3BA1" w:rsidP="00E87914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průměrný denní příjem vody (l/zvíře)</w:t>
            </w:r>
          </w:p>
        </w:tc>
        <w:tc>
          <w:tcPr>
            <w:tcW w:w="2959" w:type="dxa"/>
            <w:vMerge/>
            <w:vAlign w:val="center"/>
            <w:hideMark/>
          </w:tcPr>
          <w:p w14:paraId="1D538DE0" w14:textId="77777777" w:rsidR="007B3BA1" w:rsidRPr="00C67AAE" w:rsidRDefault="007B3BA1" w:rsidP="00112573">
            <w:pPr>
              <w:tabs>
                <w:tab w:val="clear" w:pos="567"/>
              </w:tabs>
              <w:spacing w:line="240" w:lineRule="auto"/>
              <w:rPr>
                <w:szCs w:val="22"/>
                <w:lang w:eastAsia="it-IT"/>
              </w:rPr>
            </w:pPr>
          </w:p>
        </w:tc>
      </w:tr>
    </w:tbl>
    <w:p w14:paraId="441FAAD7" w14:textId="77777777" w:rsidR="007B3BA1" w:rsidRPr="00C67AAE" w:rsidRDefault="007B3BA1" w:rsidP="00E87914">
      <w:pPr>
        <w:tabs>
          <w:tab w:val="clear" w:pos="567"/>
        </w:tabs>
        <w:spacing w:line="240" w:lineRule="auto"/>
      </w:pPr>
    </w:p>
    <w:p w14:paraId="0DE9C231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Pro zajištění správného dávkování je třeba co nejpřesněji stanovit živou hmotnost.</w:t>
      </w:r>
    </w:p>
    <w:p w14:paraId="5BCB7B3C" w14:textId="77777777" w:rsidR="007B3BA1" w:rsidRPr="004805CD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Požadované množství veterinárního léčivého přípravku by mělo být zváženo co nejpřesněji pomocí vhodné kalibrované váhy.</w:t>
      </w:r>
    </w:p>
    <w:p w14:paraId="284397CC" w14:textId="7777777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Všechna zvířata, která mají být léčena, by měla mít dostatečný přístup k napájecímu systému, aby byl zajištěn adekvátní příjem </w:t>
      </w:r>
      <w:proofErr w:type="spellStart"/>
      <w:r>
        <w:t>medikované</w:t>
      </w:r>
      <w:proofErr w:type="spellEnd"/>
      <w:r>
        <w:t xml:space="preserve"> pitné vody. </w:t>
      </w:r>
    </w:p>
    <w:p w14:paraId="44232F45" w14:textId="7777777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Aby byl zajištěn příjem </w:t>
      </w:r>
      <w:proofErr w:type="spellStart"/>
      <w:r>
        <w:t>medikované</w:t>
      </w:r>
      <w:proofErr w:type="spellEnd"/>
      <w:r>
        <w:t xml:space="preserve"> vody, neměla by mít zvířata během léčby přístup k jiným zdrojům vody.</w:t>
      </w:r>
    </w:p>
    <w:p w14:paraId="14D952D2" w14:textId="0BC2EB95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Roztok připrav</w:t>
      </w:r>
      <w:r w:rsidR="00B51394">
        <w:t>uj</w:t>
      </w:r>
      <w:r>
        <w:t>te s čerstvou pitnou vodou.</w:t>
      </w:r>
    </w:p>
    <w:p w14:paraId="704AF337" w14:textId="7777777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Úplné rozpuštění veterinárního léčivého přípravku by mělo být zajištěno jemným mícháním veterinárního léčivého přípravku až do úplného rozpuštění. Během podávání zvířatům musí být zachována homogenita </w:t>
      </w:r>
      <w:proofErr w:type="spellStart"/>
      <w:r>
        <w:t>medikované</w:t>
      </w:r>
      <w:proofErr w:type="spellEnd"/>
      <w:r>
        <w:t xml:space="preserve"> pitné vody. Veškerá </w:t>
      </w:r>
      <w:proofErr w:type="spellStart"/>
      <w:r>
        <w:t>medikovaná</w:t>
      </w:r>
      <w:proofErr w:type="spellEnd"/>
      <w:r>
        <w:t xml:space="preserve"> voda, která se nespotřebuje do 24 hodin, musí být zlikvidována a </w:t>
      </w:r>
      <w:proofErr w:type="spellStart"/>
      <w:r>
        <w:t>medikovaná</w:t>
      </w:r>
      <w:proofErr w:type="spellEnd"/>
      <w:r>
        <w:t xml:space="preserve"> pitná voda musí být znovu doplněna. </w:t>
      </w:r>
    </w:p>
    <w:p w14:paraId="06617647" w14:textId="2E5E8C3E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Po ukončení léčby je nutné pečlivě vyčistit systém přívodu vody, aby nedocházelo k příjmu </w:t>
      </w:r>
      <w:proofErr w:type="spellStart"/>
      <w:r>
        <w:t>subterapeutických</w:t>
      </w:r>
      <w:proofErr w:type="spellEnd"/>
      <w:r>
        <w:t xml:space="preserve"> </w:t>
      </w:r>
      <w:r w:rsidR="002C7BB6">
        <w:t>množství</w:t>
      </w:r>
      <w:r>
        <w:t xml:space="preserve"> léčivé látk</w:t>
      </w:r>
      <w:r w:rsidR="002C7BB6">
        <w:t>y</w:t>
      </w:r>
      <w:r>
        <w:t>.</w:t>
      </w:r>
    </w:p>
    <w:p w14:paraId="6403277B" w14:textId="7C36FF63" w:rsidR="007B3BA1" w:rsidRPr="00B265AA" w:rsidRDefault="007B3BA1" w:rsidP="00893DDC">
      <w:pPr>
        <w:spacing w:line="240" w:lineRule="auto"/>
        <w:jc w:val="both"/>
        <w:rPr>
          <w:bCs/>
          <w:szCs w:val="22"/>
        </w:rPr>
      </w:pPr>
      <w:r>
        <w:t>Při použití zásobníku vody se doporučuje připravit zásobní roztok a pak jej naředit na konečnou cílovou koncentraci. Vypněte přívod vody do zásobníku, dokud nebude spotřebován všechen roztok s</w:t>
      </w:r>
      <w:r w:rsidR="002F2027">
        <w:t> </w:t>
      </w:r>
      <w:r>
        <w:t>obsahem přípravku.</w:t>
      </w:r>
    </w:p>
    <w:p w14:paraId="680E8188" w14:textId="77777777" w:rsidR="007B3BA1" w:rsidRPr="00B265AA" w:rsidRDefault="007B3BA1" w:rsidP="00893DDC">
      <w:pPr>
        <w:spacing w:line="240" w:lineRule="auto"/>
        <w:jc w:val="both"/>
        <w:rPr>
          <w:bCs/>
          <w:szCs w:val="22"/>
        </w:rPr>
      </w:pPr>
      <w:r>
        <w:t xml:space="preserve">U zásobních roztoků dbejte na to, aby nedošlo k překročení maximální rozpustnosti veterinárního léčivého přípravku, tj. 3 g/ l měkké/tvrdé vody při 5 °C a 8 g/l při 20 °C. </w:t>
      </w:r>
    </w:p>
    <w:p w14:paraId="0F8C352C" w14:textId="77777777" w:rsidR="007B3BA1" w:rsidRPr="00B265AA" w:rsidRDefault="007B3BA1" w:rsidP="00893DDC">
      <w:pPr>
        <w:spacing w:line="240" w:lineRule="auto"/>
        <w:jc w:val="both"/>
        <w:rPr>
          <w:bCs/>
          <w:szCs w:val="22"/>
        </w:rPr>
      </w:pPr>
      <w:r>
        <w:t>V případě použití dávkovače upravte nastavení průtoku dávkovacího čerpadla podle koncentrace zásobního roztoku a příjmu vody léčenými zvířaty.</w:t>
      </w:r>
    </w:p>
    <w:p w14:paraId="10E088A4" w14:textId="7777777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>Je nezbytné zajistit, aby byla určená dávka zvířaty kompletně spotřebována.</w:t>
      </w:r>
    </w:p>
    <w:p w14:paraId="10E6C323" w14:textId="77777777" w:rsidR="007B3BA1" w:rsidRPr="00B265AA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D8DB18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5A2F90" w14:textId="77777777" w:rsidR="007B3BA1" w:rsidRPr="00913D0B" w:rsidRDefault="007B3BA1" w:rsidP="00E87914">
      <w:pPr>
        <w:tabs>
          <w:tab w:val="clear" w:pos="567"/>
          <w:tab w:val="left" w:pos="709"/>
        </w:tabs>
        <w:spacing w:line="240" w:lineRule="auto"/>
        <w:jc w:val="both"/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47DF8D4A" w14:textId="77777777" w:rsidR="007B3BA1" w:rsidRDefault="007B3BA1" w:rsidP="00893DDC">
      <w:pPr>
        <w:spacing w:line="240" w:lineRule="auto"/>
        <w:jc w:val="both"/>
        <w:rPr>
          <w:color w:val="000000"/>
          <w:szCs w:val="22"/>
          <w:lang w:eastAsia="en-GB"/>
        </w:rPr>
      </w:pPr>
    </w:p>
    <w:p w14:paraId="663C31E3" w14:textId="64F06323" w:rsidR="007B3BA1" w:rsidRPr="00AA0953" w:rsidRDefault="007B3BA1" w:rsidP="00893DDC">
      <w:pPr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Kur domácí: maso: 1 den</w:t>
      </w:r>
      <w:r w:rsidR="00051E1F">
        <w:rPr>
          <w:color w:val="000000"/>
        </w:rPr>
        <w:t>.</w:t>
      </w:r>
    </w:p>
    <w:p w14:paraId="2E52C1C9" w14:textId="77777777" w:rsidR="007B3BA1" w:rsidRPr="00AA0953" w:rsidRDefault="007B3BA1" w:rsidP="00893DDC">
      <w:pPr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Prasata: maso: 2 dny.</w:t>
      </w:r>
    </w:p>
    <w:p w14:paraId="37E0FA36" w14:textId="75181E63" w:rsidR="007B3BA1" w:rsidRPr="00B644E8" w:rsidRDefault="007B3BA1" w:rsidP="00E87914">
      <w:pPr>
        <w:tabs>
          <w:tab w:val="clear" w:pos="567"/>
          <w:tab w:val="left" w:pos="284"/>
        </w:tabs>
        <w:spacing w:line="240" w:lineRule="auto"/>
        <w:jc w:val="both"/>
        <w:rPr>
          <w:kern w:val="14"/>
          <w:szCs w:val="22"/>
        </w:rPr>
      </w:pPr>
      <w:r>
        <w:t xml:space="preserve">Nepoužívat u </w:t>
      </w:r>
      <w:r w:rsidR="00051E1F">
        <w:t>ptáků</w:t>
      </w:r>
      <w:r>
        <w:t xml:space="preserve"> snášejících nebo určených ke snášce vajec pro lidskou spotřebu. </w:t>
      </w:r>
    </w:p>
    <w:p w14:paraId="4CEBBA51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5780F5" w14:textId="77777777" w:rsidR="007B3BA1" w:rsidRPr="00913D0B" w:rsidRDefault="007B3BA1" w:rsidP="00893DDC">
      <w:pPr>
        <w:tabs>
          <w:tab w:val="clear" w:pos="567"/>
        </w:tabs>
        <w:spacing w:line="240" w:lineRule="auto"/>
        <w:jc w:val="both"/>
      </w:pPr>
    </w:p>
    <w:p w14:paraId="59FAEE13" w14:textId="6752E1D8" w:rsidR="007B3BA1" w:rsidRPr="00E87914" w:rsidRDefault="007B3BA1" w:rsidP="00E87914">
      <w:pPr>
        <w:tabs>
          <w:tab w:val="clear" w:pos="567"/>
          <w:tab w:val="left" w:pos="709"/>
        </w:tabs>
        <w:spacing w:line="240" w:lineRule="auto"/>
        <w:jc w:val="both"/>
      </w:pPr>
      <w:r w:rsidRPr="00E87914">
        <w:rPr>
          <w:b/>
          <w:highlight w:val="lightGray"/>
        </w:rPr>
        <w:t>11.</w:t>
      </w:r>
      <w:r w:rsidR="00EE3971">
        <w:rPr>
          <w:b/>
        </w:rPr>
        <w:tab/>
      </w:r>
      <w:r w:rsidRPr="00E87914">
        <w:rPr>
          <w:b/>
        </w:rPr>
        <w:t xml:space="preserve">Zvláštní opatření pro </w:t>
      </w:r>
      <w:r>
        <w:rPr>
          <w:b/>
        </w:rPr>
        <w:t>uchovávání</w:t>
      </w:r>
    </w:p>
    <w:p w14:paraId="0A8C3C27" w14:textId="77777777" w:rsidR="007B3BA1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0EC5133" w14:textId="77777777" w:rsidR="007B3BA1" w:rsidRPr="00474C50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mimo dohled a dosah dětí.</w:t>
      </w:r>
    </w:p>
    <w:p w14:paraId="44F3F1BC" w14:textId="77777777" w:rsidR="007B3BA1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Chraňte před chladem nebo mrazem.</w:t>
      </w:r>
    </w:p>
    <w:p w14:paraId="5D8D9BD3" w14:textId="77777777" w:rsidR="007B3BA1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v původním obalu, aby byl přípravek chráněn před světlem a vlhkostí.</w:t>
      </w:r>
    </w:p>
    <w:p w14:paraId="1C9FE863" w14:textId="77777777" w:rsidR="007B3BA1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v dobře uzavřeném obalu, aby byl přípravek chráněn před vlhkostí.</w:t>
      </w:r>
    </w:p>
    <w:p w14:paraId="3DA2E5AC" w14:textId="77777777" w:rsidR="007B3BA1" w:rsidRPr="00474C50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v suchu.</w:t>
      </w:r>
    </w:p>
    <w:p w14:paraId="2D51CACE" w14:textId="77777777" w:rsidR="007B3BA1" w:rsidRPr="00474C50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5DE1A14" w14:textId="77777777" w:rsidR="007B3BA1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tento veterinární léčivý přípravek po uplynutí doby použitelnosti uvedené na etiketě. Doba použitelnosti končí posledním dnem v uvedeném měsíci.</w:t>
      </w:r>
    </w:p>
    <w:p w14:paraId="249B318E" w14:textId="77777777" w:rsidR="007B3BA1" w:rsidRPr="00474C50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0C8E894" w14:textId="77777777" w:rsidR="007B3BA1" w:rsidRPr="00474C50" w:rsidRDefault="007B3BA1" w:rsidP="00893D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po prvním otevření obalu: 6 měsíců</w:t>
      </w:r>
    </w:p>
    <w:p w14:paraId="668F675B" w14:textId="77777777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po rozpuštění v pitné vodě podle návodu: 24 hodin</w:t>
      </w:r>
    </w:p>
    <w:p w14:paraId="267CF5FC" w14:textId="77777777" w:rsidR="007B3BA1" w:rsidRPr="003C4EB3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22F59BEA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436B31E8" w14:textId="77777777" w:rsidR="007B3BA1" w:rsidRPr="00474C50" w:rsidRDefault="007B3BA1" w:rsidP="007B3BA1">
      <w:pPr>
        <w:tabs>
          <w:tab w:val="clear" w:pos="567"/>
        </w:tabs>
        <w:spacing w:line="240" w:lineRule="auto"/>
        <w:rPr>
          <w:szCs w:val="22"/>
        </w:rPr>
      </w:pPr>
    </w:p>
    <w:p w14:paraId="5CD453F8" w14:textId="77777777" w:rsidR="00623941" w:rsidRPr="00893DDC" w:rsidRDefault="007B3BA1" w:rsidP="00E87914">
      <w:pPr>
        <w:keepNext/>
        <w:tabs>
          <w:tab w:val="clear" w:pos="567"/>
          <w:tab w:val="left" w:pos="709"/>
        </w:tabs>
        <w:spacing w:line="240" w:lineRule="auto"/>
        <w:jc w:val="both"/>
        <w:rPr>
          <w:b/>
          <w:szCs w:val="22"/>
        </w:rPr>
      </w:pPr>
      <w:r w:rsidRPr="00893DDC">
        <w:rPr>
          <w:b/>
          <w:szCs w:val="22"/>
          <w:highlight w:val="lightGray"/>
        </w:rPr>
        <w:t>12.</w:t>
      </w:r>
      <w:r w:rsidRPr="00893DDC">
        <w:rPr>
          <w:b/>
          <w:szCs w:val="22"/>
        </w:rPr>
        <w:tab/>
        <w:t>Zvláštní opatření pro likvidaci</w:t>
      </w:r>
    </w:p>
    <w:p w14:paraId="02665937" w14:textId="3D756C9B" w:rsidR="007B3BA1" w:rsidRPr="00893DDC" w:rsidRDefault="007B3BA1" w:rsidP="00893DDC">
      <w:pPr>
        <w:keepNext/>
        <w:tabs>
          <w:tab w:val="clear" w:pos="567"/>
        </w:tabs>
        <w:spacing w:line="240" w:lineRule="auto"/>
        <w:ind w:left="426" w:hanging="426"/>
        <w:jc w:val="both"/>
        <w:rPr>
          <w:szCs w:val="22"/>
        </w:rPr>
      </w:pPr>
      <w:r w:rsidRPr="00893DDC">
        <w:rPr>
          <w:b/>
          <w:caps/>
          <w:szCs w:val="22"/>
        </w:rPr>
        <w:t xml:space="preserve"> </w:t>
      </w:r>
    </w:p>
    <w:p w14:paraId="2B7954D8" w14:textId="3C435D15" w:rsidR="007B3BA1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Léčivé přípravky se nesmí likvidovat prostřednictvím odpadní vody či domovního odpadu.</w:t>
      </w:r>
    </w:p>
    <w:p w14:paraId="7F56B5A8" w14:textId="77777777" w:rsidR="002F2027" w:rsidRPr="00893DDC" w:rsidRDefault="002F2027" w:rsidP="00893DDC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68B8AF58" w14:textId="65D98640" w:rsidR="007B3BA1" w:rsidRDefault="007B3BA1" w:rsidP="00893DDC">
      <w:pPr>
        <w:spacing w:line="240" w:lineRule="auto"/>
        <w:jc w:val="both"/>
        <w:rPr>
          <w:szCs w:val="22"/>
        </w:rPr>
      </w:pPr>
      <w:r w:rsidRPr="00893DDC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F984495" w14:textId="77777777" w:rsidR="002F2027" w:rsidRPr="00E87914" w:rsidRDefault="002F2027" w:rsidP="00893DDC">
      <w:pPr>
        <w:spacing w:line="240" w:lineRule="auto"/>
        <w:jc w:val="both"/>
        <w:rPr>
          <w:szCs w:val="22"/>
        </w:rPr>
      </w:pPr>
    </w:p>
    <w:p w14:paraId="102BC1C0" w14:textId="77777777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O možnostech likvidace nepotřebných léčivých přípravků se poraďte s vaším veterinárním lékařem.</w:t>
      </w:r>
    </w:p>
    <w:p w14:paraId="5FC299A1" w14:textId="77777777" w:rsidR="002F2027" w:rsidRPr="00893DDC" w:rsidRDefault="002F2027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B4A31C" w14:textId="209D3CC9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E26A80" w14:textId="77777777" w:rsidR="007B3BA1" w:rsidRPr="00893DDC" w:rsidRDefault="007B3BA1" w:rsidP="00E87914">
      <w:pPr>
        <w:tabs>
          <w:tab w:val="clear" w:pos="567"/>
          <w:tab w:val="left" w:pos="0"/>
          <w:tab w:val="left" w:pos="709"/>
        </w:tabs>
        <w:spacing w:line="240" w:lineRule="auto"/>
        <w:jc w:val="both"/>
        <w:rPr>
          <w:szCs w:val="22"/>
        </w:rPr>
      </w:pPr>
      <w:r w:rsidRPr="00E87914">
        <w:rPr>
          <w:b/>
          <w:szCs w:val="22"/>
          <w:highlight w:val="lightGray"/>
        </w:rPr>
        <w:t>13.</w:t>
      </w:r>
      <w:r w:rsidRPr="00893DDC">
        <w:rPr>
          <w:b/>
          <w:szCs w:val="22"/>
        </w:rPr>
        <w:tab/>
        <w:t>Klasifikace veterinárních léčivých přípravků</w:t>
      </w:r>
    </w:p>
    <w:p w14:paraId="061C77C3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2B1D5B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Veterinární léčivý přípravek je vydáván pouze na předpis.</w:t>
      </w:r>
    </w:p>
    <w:p w14:paraId="4A11D14C" w14:textId="4F0F83B9" w:rsidR="007B3BA1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3D3A28" w14:textId="77777777" w:rsidR="002F2027" w:rsidRPr="00893DDC" w:rsidRDefault="002F2027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973504" w14:textId="77777777" w:rsidR="007B3BA1" w:rsidRPr="00893DDC" w:rsidRDefault="007B3BA1" w:rsidP="00E87914">
      <w:pPr>
        <w:tabs>
          <w:tab w:val="clear" w:pos="567"/>
          <w:tab w:val="left" w:pos="0"/>
          <w:tab w:val="left" w:pos="709"/>
        </w:tabs>
        <w:spacing w:line="240" w:lineRule="auto"/>
        <w:jc w:val="both"/>
        <w:rPr>
          <w:b/>
          <w:szCs w:val="22"/>
        </w:rPr>
      </w:pPr>
      <w:r w:rsidRPr="00E87914">
        <w:rPr>
          <w:b/>
          <w:szCs w:val="22"/>
          <w:highlight w:val="lightGray"/>
        </w:rPr>
        <w:t>14.</w:t>
      </w:r>
      <w:r w:rsidRPr="00893DDC">
        <w:rPr>
          <w:b/>
          <w:szCs w:val="22"/>
        </w:rPr>
        <w:tab/>
        <w:t>Registrační čísla a velikosti balení</w:t>
      </w:r>
    </w:p>
    <w:p w14:paraId="4BD99D37" w14:textId="77777777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40184019" w14:textId="77777777" w:rsidR="00E87914" w:rsidRDefault="00E87914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87914">
        <w:rPr>
          <w:szCs w:val="22"/>
        </w:rPr>
        <w:t>96/030/</w:t>
      </w:r>
      <w:proofErr w:type="gramStart"/>
      <w:r w:rsidRPr="00E87914">
        <w:rPr>
          <w:szCs w:val="22"/>
        </w:rPr>
        <w:t>22-C</w:t>
      </w:r>
      <w:proofErr w:type="gramEnd"/>
    </w:p>
    <w:p w14:paraId="5E6E25CC" w14:textId="77777777" w:rsidR="00E87914" w:rsidRDefault="00E87914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711ABF" w14:textId="7D5FC74F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893DDC">
        <w:rPr>
          <w:szCs w:val="22"/>
        </w:rPr>
        <w:t>100g</w:t>
      </w:r>
      <w:proofErr w:type="gramEnd"/>
      <w:r w:rsidRPr="00893DDC">
        <w:rPr>
          <w:szCs w:val="22"/>
        </w:rPr>
        <w:t xml:space="preserve"> kelímek</w:t>
      </w:r>
    </w:p>
    <w:p w14:paraId="6C1C146F" w14:textId="4EE2CBD5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893DDC">
        <w:rPr>
          <w:szCs w:val="22"/>
        </w:rPr>
        <w:t>100g</w:t>
      </w:r>
      <w:proofErr w:type="gramEnd"/>
      <w:r w:rsidRPr="00893DDC">
        <w:rPr>
          <w:szCs w:val="22"/>
        </w:rPr>
        <w:t xml:space="preserve"> sáček</w:t>
      </w:r>
    </w:p>
    <w:p w14:paraId="0C48DAB1" w14:textId="3F3208BF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893DDC">
        <w:rPr>
          <w:szCs w:val="22"/>
        </w:rPr>
        <w:t>500g</w:t>
      </w:r>
      <w:proofErr w:type="gramEnd"/>
      <w:r w:rsidRPr="00893DDC">
        <w:rPr>
          <w:szCs w:val="22"/>
        </w:rPr>
        <w:t xml:space="preserve"> sáček</w:t>
      </w:r>
    </w:p>
    <w:p w14:paraId="61FA6F39" w14:textId="7D86673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893DDC">
        <w:rPr>
          <w:szCs w:val="22"/>
        </w:rPr>
        <w:t>1kg</w:t>
      </w:r>
      <w:proofErr w:type="gramEnd"/>
      <w:r w:rsidRPr="00893DDC">
        <w:rPr>
          <w:szCs w:val="22"/>
        </w:rPr>
        <w:t xml:space="preserve"> vak</w:t>
      </w:r>
    </w:p>
    <w:p w14:paraId="5F89BD04" w14:textId="77777777" w:rsidR="007B3BA1" w:rsidRPr="00893DDC" w:rsidRDefault="007B3BA1" w:rsidP="00E87914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42251E17" w14:textId="77777777" w:rsidR="007B3BA1" w:rsidRPr="00893DDC" w:rsidRDefault="007B3BA1" w:rsidP="00E87914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Na trhu nemusí být všechny velikosti balení.</w:t>
      </w:r>
    </w:p>
    <w:p w14:paraId="68BD0EB6" w14:textId="77777777" w:rsidR="002F2027" w:rsidRPr="00893DDC" w:rsidRDefault="002F2027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6A1024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F9E5EE" w14:textId="77777777" w:rsidR="007B3BA1" w:rsidRPr="00893DDC" w:rsidRDefault="007B3BA1" w:rsidP="002F2027">
      <w:pPr>
        <w:tabs>
          <w:tab w:val="clear" w:pos="567"/>
          <w:tab w:val="left" w:pos="709"/>
        </w:tabs>
        <w:spacing w:line="240" w:lineRule="auto"/>
        <w:jc w:val="both"/>
        <w:rPr>
          <w:szCs w:val="22"/>
        </w:rPr>
      </w:pPr>
      <w:r w:rsidRPr="00E87914">
        <w:rPr>
          <w:b/>
          <w:szCs w:val="22"/>
          <w:highlight w:val="lightGray"/>
        </w:rPr>
        <w:t>15.</w:t>
      </w:r>
      <w:r w:rsidRPr="00893DDC">
        <w:rPr>
          <w:b/>
          <w:szCs w:val="22"/>
        </w:rPr>
        <w:tab/>
        <w:t>Datum poslední revize příbalové informace</w:t>
      </w:r>
    </w:p>
    <w:p w14:paraId="64F6C5C8" w14:textId="58A62CE1" w:rsidR="007B3BA1" w:rsidRPr="006431D8" w:rsidRDefault="007B3BA1" w:rsidP="002F202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7A14A121" w14:textId="2832B566" w:rsidR="00623941" w:rsidRPr="006431D8" w:rsidRDefault="00051E1F" w:rsidP="002F202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6431D8">
        <w:rPr>
          <w:szCs w:val="22"/>
        </w:rPr>
        <w:t>Říjen</w:t>
      </w:r>
      <w:r w:rsidR="00623941" w:rsidRPr="006431D8">
        <w:rPr>
          <w:szCs w:val="22"/>
        </w:rPr>
        <w:t xml:space="preserve"> 2023</w:t>
      </w:r>
    </w:p>
    <w:p w14:paraId="7B2406DD" w14:textId="77777777" w:rsidR="00623941" w:rsidRPr="006431D8" w:rsidRDefault="00623941" w:rsidP="002F202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6A0E8031" w14:textId="286F41B3" w:rsidR="007B3BA1" w:rsidRPr="00893DDC" w:rsidRDefault="007B3BA1" w:rsidP="002F202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Podrobné informace o tomto veterinárním léčivém přípravku jsou k dispozici v databázi přípravků Unie (</w:t>
      </w:r>
      <w:hyperlink r:id="rId9" w:history="1">
        <w:r w:rsidRPr="00893DDC">
          <w:rPr>
            <w:rStyle w:val="Hypertextovodkaz"/>
            <w:szCs w:val="22"/>
          </w:rPr>
          <w:t>https://medicines.health.europa.eu/veterinary</w:t>
        </w:r>
      </w:hyperlink>
      <w:r w:rsidRPr="00893DDC">
        <w:rPr>
          <w:szCs w:val="22"/>
        </w:rPr>
        <w:t>).</w:t>
      </w:r>
    </w:p>
    <w:p w14:paraId="1C7D2F03" w14:textId="098146AF" w:rsidR="005C06ED" w:rsidRPr="00893DDC" w:rsidRDefault="005C06ED" w:rsidP="002F2027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2FC19241" w14:textId="77777777" w:rsidR="005C06ED" w:rsidRPr="00893DDC" w:rsidRDefault="005C06ED" w:rsidP="00E87914">
      <w:pPr>
        <w:spacing w:line="240" w:lineRule="auto"/>
        <w:jc w:val="both"/>
        <w:rPr>
          <w:rStyle w:val="Hypertextovodkaz"/>
          <w:szCs w:val="22"/>
        </w:rPr>
      </w:pPr>
      <w:r w:rsidRPr="00893DDC">
        <w:rPr>
          <w:szCs w:val="22"/>
        </w:rPr>
        <w:t>Podrobné informace o tomto veterinárním léčivém přípravku naleznete také v národní databázi (</w:t>
      </w:r>
      <w:hyperlink r:id="rId10" w:history="1">
        <w:r w:rsidRPr="00893DDC">
          <w:rPr>
            <w:rStyle w:val="Hypertextovodkaz"/>
            <w:szCs w:val="22"/>
          </w:rPr>
          <w:t>https://www.uskvbl.cz</w:t>
        </w:r>
      </w:hyperlink>
      <w:r w:rsidRPr="00893DDC">
        <w:rPr>
          <w:szCs w:val="22"/>
        </w:rPr>
        <w:t>).</w:t>
      </w:r>
    </w:p>
    <w:p w14:paraId="3F814AB7" w14:textId="77777777" w:rsidR="005C06ED" w:rsidRPr="00893DDC" w:rsidRDefault="005C06ED" w:rsidP="00893DDC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0B0962BE" w14:textId="77777777" w:rsidR="007B3BA1" w:rsidRPr="006431D8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1DD8C9" w14:textId="4F38265A" w:rsidR="007B3BA1" w:rsidRPr="00893DDC" w:rsidRDefault="007B3BA1" w:rsidP="002F2027">
      <w:pPr>
        <w:tabs>
          <w:tab w:val="clear" w:pos="567"/>
          <w:tab w:val="left" w:pos="709"/>
        </w:tabs>
        <w:spacing w:line="240" w:lineRule="auto"/>
        <w:jc w:val="both"/>
        <w:rPr>
          <w:b/>
          <w:szCs w:val="22"/>
        </w:rPr>
      </w:pPr>
      <w:r w:rsidRPr="00893DDC">
        <w:rPr>
          <w:b/>
          <w:szCs w:val="22"/>
          <w:highlight w:val="lightGray"/>
        </w:rPr>
        <w:t>16.</w:t>
      </w:r>
      <w:r w:rsidRPr="00893DDC">
        <w:rPr>
          <w:b/>
          <w:szCs w:val="22"/>
        </w:rPr>
        <w:tab/>
        <w:t>Kontaktní údaje</w:t>
      </w:r>
    </w:p>
    <w:p w14:paraId="4E124E9E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5ED4B3" w14:textId="77777777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iCs/>
          <w:szCs w:val="22"/>
        </w:rPr>
      </w:pPr>
      <w:r w:rsidRPr="00893DDC">
        <w:rPr>
          <w:szCs w:val="22"/>
          <w:u w:val="single"/>
        </w:rPr>
        <w:t>Držitel rozhodnutí o registraci a kontaktní údaje pro hlášení podezření na nežádoucí účinky</w:t>
      </w:r>
    </w:p>
    <w:p w14:paraId="6412A494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 xml:space="preserve">HUVEPHARMA NV </w:t>
      </w:r>
    </w:p>
    <w:p w14:paraId="778BF518" w14:textId="77777777" w:rsid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UITBREIDINGSTRAAT 80</w:t>
      </w:r>
    </w:p>
    <w:p w14:paraId="7FD8CBED" w14:textId="77777777" w:rsid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2600 ANTWERPEN</w:t>
      </w:r>
    </w:p>
    <w:p w14:paraId="3A409B88" w14:textId="6107B5DD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BELGIE</w:t>
      </w:r>
    </w:p>
    <w:p w14:paraId="5B9B7B1C" w14:textId="744545AB" w:rsidR="007B3BA1" w:rsidRPr="00893DDC" w:rsidRDefault="007B3BA1" w:rsidP="00893DDC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  <w:rPr>
          <w:szCs w:val="22"/>
        </w:rPr>
      </w:pPr>
      <w:r w:rsidRPr="00893DDC">
        <w:rPr>
          <w:szCs w:val="22"/>
        </w:rPr>
        <w:t xml:space="preserve">+32 3 292 83 05 </w:t>
      </w:r>
      <w:r w:rsidR="00EE4B19">
        <w:rPr>
          <w:szCs w:val="22"/>
        </w:rPr>
        <w:t>nebo</w:t>
      </w:r>
      <w:r w:rsidR="00EE4B19" w:rsidRPr="00893DDC">
        <w:rPr>
          <w:szCs w:val="22"/>
        </w:rPr>
        <w:t xml:space="preserve"> </w:t>
      </w:r>
      <w:r w:rsidRPr="00893DDC">
        <w:rPr>
          <w:szCs w:val="22"/>
        </w:rPr>
        <w:t xml:space="preserve">+32 3 288 18 49 </w:t>
      </w:r>
    </w:p>
    <w:p w14:paraId="76CEBEAE" w14:textId="77777777" w:rsidR="007B3BA1" w:rsidRPr="00893DDC" w:rsidRDefault="007B3BA1" w:rsidP="00893DDC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  <w:rPr>
          <w:szCs w:val="22"/>
        </w:rPr>
      </w:pPr>
      <w:r w:rsidRPr="00893DDC">
        <w:rPr>
          <w:szCs w:val="22"/>
        </w:rPr>
        <w:t>pharmacovigilance@huvepharma.com</w:t>
      </w:r>
    </w:p>
    <w:p w14:paraId="74760D6C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EDDDF2" w14:textId="77777777" w:rsidR="007B3BA1" w:rsidRPr="00893DDC" w:rsidRDefault="007B3BA1" w:rsidP="00893DDC">
      <w:pPr>
        <w:tabs>
          <w:tab w:val="clear" w:pos="567"/>
          <w:tab w:val="left" w:pos="708"/>
        </w:tabs>
        <w:spacing w:line="240" w:lineRule="auto"/>
        <w:jc w:val="both"/>
        <w:rPr>
          <w:bCs/>
          <w:szCs w:val="22"/>
          <w:u w:val="single"/>
        </w:rPr>
      </w:pPr>
      <w:r w:rsidRPr="00893DDC">
        <w:rPr>
          <w:szCs w:val="22"/>
          <w:u w:val="single"/>
        </w:rPr>
        <w:t>Výrobce odpovědný za uvolnění šarže</w:t>
      </w:r>
      <w:r w:rsidRPr="00893DDC">
        <w:rPr>
          <w:szCs w:val="22"/>
        </w:rPr>
        <w:t>:</w:t>
      </w:r>
    </w:p>
    <w:p w14:paraId="1368748B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HUVEPHARMA SA</w:t>
      </w:r>
    </w:p>
    <w:p w14:paraId="294BB411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34 rue Jean Monnet</w:t>
      </w:r>
    </w:p>
    <w:p w14:paraId="5847B329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ZI d’Etriché</w:t>
      </w:r>
    </w:p>
    <w:p w14:paraId="51B11492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Segré</w:t>
      </w:r>
    </w:p>
    <w:p w14:paraId="116EF55E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49500 Segré-en-Anjou Bleu</w:t>
      </w:r>
    </w:p>
    <w:p w14:paraId="68C7BFD5" w14:textId="77777777" w:rsidR="007B3BA1" w:rsidRPr="00893DDC" w:rsidRDefault="007B3BA1" w:rsidP="00893DD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93DDC">
        <w:rPr>
          <w:szCs w:val="22"/>
        </w:rPr>
        <w:t>FRANCIE</w:t>
      </w:r>
    </w:p>
    <w:p w14:paraId="5217406B" w14:textId="77777777" w:rsidR="007B3BA1" w:rsidRPr="00E87914" w:rsidRDefault="007B3BA1" w:rsidP="00893DDC">
      <w:pPr>
        <w:tabs>
          <w:tab w:val="clear" w:pos="567"/>
        </w:tabs>
        <w:spacing w:line="240" w:lineRule="auto"/>
        <w:jc w:val="both"/>
        <w:rPr>
          <w:szCs w:val="22"/>
          <w:highlight w:val="lightGray"/>
          <w:lang w:val="fr-FR"/>
        </w:rPr>
      </w:pPr>
    </w:p>
    <w:p w14:paraId="4DA32530" w14:textId="77777777" w:rsidR="00E407CB" w:rsidRPr="00893DDC" w:rsidRDefault="00E407CB" w:rsidP="00893DDC">
      <w:pPr>
        <w:spacing w:line="240" w:lineRule="auto"/>
        <w:jc w:val="both"/>
        <w:rPr>
          <w:szCs w:val="22"/>
        </w:rPr>
      </w:pPr>
    </w:p>
    <w:sectPr w:rsidR="00E407CB" w:rsidRPr="00893DDC" w:rsidSect="00724756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C855" w14:textId="77777777" w:rsidR="00016ECC" w:rsidRDefault="00016ECC" w:rsidP="00FF1977">
      <w:pPr>
        <w:spacing w:line="240" w:lineRule="auto"/>
      </w:pPr>
      <w:r>
        <w:separator/>
      </w:r>
    </w:p>
  </w:endnote>
  <w:endnote w:type="continuationSeparator" w:id="0">
    <w:p w14:paraId="46CCC851" w14:textId="77777777" w:rsidR="00016ECC" w:rsidRDefault="00016ECC" w:rsidP="00FF1977">
      <w:pPr>
        <w:spacing w:line="240" w:lineRule="auto"/>
      </w:pPr>
      <w:r>
        <w:continuationSeparator/>
      </w:r>
    </w:p>
  </w:endnote>
  <w:endnote w:type="continuationNotice" w:id="1">
    <w:p w14:paraId="281888A5" w14:textId="77777777" w:rsidR="00016ECC" w:rsidRDefault="00016E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B563E" w14:textId="50781174" w:rsidR="00FF1977" w:rsidRPr="00E87914" w:rsidRDefault="00FF1977" w:rsidP="00E879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E89A" w14:textId="294276D8" w:rsidR="00FF1977" w:rsidRPr="00E87914" w:rsidRDefault="00FF1977" w:rsidP="00E879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1E91C" w14:textId="77777777" w:rsidR="00016ECC" w:rsidRDefault="00016ECC" w:rsidP="00FF1977">
      <w:pPr>
        <w:spacing w:line="240" w:lineRule="auto"/>
      </w:pPr>
      <w:r>
        <w:separator/>
      </w:r>
    </w:p>
  </w:footnote>
  <w:footnote w:type="continuationSeparator" w:id="0">
    <w:p w14:paraId="6854B827" w14:textId="77777777" w:rsidR="00016ECC" w:rsidRDefault="00016ECC" w:rsidP="00FF1977">
      <w:pPr>
        <w:spacing w:line="240" w:lineRule="auto"/>
      </w:pPr>
      <w:r>
        <w:continuationSeparator/>
      </w:r>
    </w:p>
  </w:footnote>
  <w:footnote w:type="continuationNotice" w:id="1">
    <w:p w14:paraId="79C210CE" w14:textId="77777777" w:rsidR="00016ECC" w:rsidRDefault="00016E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B6EA" w14:textId="58C674B4" w:rsidR="00FF1977" w:rsidRDefault="00FF19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9FC"/>
    <w:multiLevelType w:val="hybridMultilevel"/>
    <w:tmpl w:val="AB9402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A1"/>
    <w:rsid w:val="00005A54"/>
    <w:rsid w:val="00005B86"/>
    <w:rsid w:val="00010559"/>
    <w:rsid w:val="00016ECC"/>
    <w:rsid w:val="000202D3"/>
    <w:rsid w:val="00022643"/>
    <w:rsid w:val="00034A11"/>
    <w:rsid w:val="000402C0"/>
    <w:rsid w:val="00041963"/>
    <w:rsid w:val="00051E1F"/>
    <w:rsid w:val="00051E55"/>
    <w:rsid w:val="000538E0"/>
    <w:rsid w:val="00063675"/>
    <w:rsid w:val="00072A44"/>
    <w:rsid w:val="000A0DEF"/>
    <w:rsid w:val="000B654D"/>
    <w:rsid w:val="000C6F6E"/>
    <w:rsid w:val="000D3C55"/>
    <w:rsid w:val="001005BB"/>
    <w:rsid w:val="00102B45"/>
    <w:rsid w:val="00115810"/>
    <w:rsid w:val="00116E1E"/>
    <w:rsid w:val="0012406B"/>
    <w:rsid w:val="00130A58"/>
    <w:rsid w:val="00154A4B"/>
    <w:rsid w:val="00177A90"/>
    <w:rsid w:val="001832B6"/>
    <w:rsid w:val="001900B5"/>
    <w:rsid w:val="00196076"/>
    <w:rsid w:val="001B3919"/>
    <w:rsid w:val="001B58B7"/>
    <w:rsid w:val="001E2222"/>
    <w:rsid w:val="002010EB"/>
    <w:rsid w:val="0020416F"/>
    <w:rsid w:val="00206D37"/>
    <w:rsid w:val="002178C1"/>
    <w:rsid w:val="00254FB8"/>
    <w:rsid w:val="00285B2A"/>
    <w:rsid w:val="00290284"/>
    <w:rsid w:val="00290B93"/>
    <w:rsid w:val="002C7BB6"/>
    <w:rsid w:val="002D1C2B"/>
    <w:rsid w:val="002F1017"/>
    <w:rsid w:val="002F2027"/>
    <w:rsid w:val="003424BE"/>
    <w:rsid w:val="00355A15"/>
    <w:rsid w:val="00360BD6"/>
    <w:rsid w:val="003618F5"/>
    <w:rsid w:val="0036747E"/>
    <w:rsid w:val="0037439A"/>
    <w:rsid w:val="003903A0"/>
    <w:rsid w:val="003A5120"/>
    <w:rsid w:val="003C4EB3"/>
    <w:rsid w:val="003C666F"/>
    <w:rsid w:val="003C7700"/>
    <w:rsid w:val="003C7883"/>
    <w:rsid w:val="003E206A"/>
    <w:rsid w:val="003E7460"/>
    <w:rsid w:val="00405AA2"/>
    <w:rsid w:val="00410876"/>
    <w:rsid w:val="00413FA3"/>
    <w:rsid w:val="0041710E"/>
    <w:rsid w:val="00422B88"/>
    <w:rsid w:val="00452C5F"/>
    <w:rsid w:val="00457754"/>
    <w:rsid w:val="00462FB1"/>
    <w:rsid w:val="00470DEA"/>
    <w:rsid w:val="00475CA5"/>
    <w:rsid w:val="00475EC3"/>
    <w:rsid w:val="00476BD6"/>
    <w:rsid w:val="004818CD"/>
    <w:rsid w:val="00487C82"/>
    <w:rsid w:val="00497A43"/>
    <w:rsid w:val="004A6061"/>
    <w:rsid w:val="004A6695"/>
    <w:rsid w:val="004B695A"/>
    <w:rsid w:val="004D1C97"/>
    <w:rsid w:val="004D2A80"/>
    <w:rsid w:val="004D4266"/>
    <w:rsid w:val="004D7D83"/>
    <w:rsid w:val="004E4E9C"/>
    <w:rsid w:val="004F0DEE"/>
    <w:rsid w:val="004F2B22"/>
    <w:rsid w:val="004F59D8"/>
    <w:rsid w:val="005117A6"/>
    <w:rsid w:val="00514B35"/>
    <w:rsid w:val="00517607"/>
    <w:rsid w:val="00544638"/>
    <w:rsid w:val="00565C37"/>
    <w:rsid w:val="0057660D"/>
    <w:rsid w:val="0058296E"/>
    <w:rsid w:val="0058750A"/>
    <w:rsid w:val="005C06ED"/>
    <w:rsid w:val="005D51FE"/>
    <w:rsid w:val="005F0CB7"/>
    <w:rsid w:val="005F500C"/>
    <w:rsid w:val="00613049"/>
    <w:rsid w:val="0061417E"/>
    <w:rsid w:val="006158B2"/>
    <w:rsid w:val="00623941"/>
    <w:rsid w:val="00640373"/>
    <w:rsid w:val="006431D8"/>
    <w:rsid w:val="006527E7"/>
    <w:rsid w:val="00680AF5"/>
    <w:rsid w:val="00682628"/>
    <w:rsid w:val="006B46D0"/>
    <w:rsid w:val="006E09CC"/>
    <w:rsid w:val="007104F3"/>
    <w:rsid w:val="00724756"/>
    <w:rsid w:val="00726F9E"/>
    <w:rsid w:val="00736622"/>
    <w:rsid w:val="00740F4F"/>
    <w:rsid w:val="00752645"/>
    <w:rsid w:val="00755DE5"/>
    <w:rsid w:val="00756FA8"/>
    <w:rsid w:val="00765CC3"/>
    <w:rsid w:val="00770A25"/>
    <w:rsid w:val="007879D8"/>
    <w:rsid w:val="007A2FBB"/>
    <w:rsid w:val="007B3BA1"/>
    <w:rsid w:val="007C604C"/>
    <w:rsid w:val="007D691B"/>
    <w:rsid w:val="007D788A"/>
    <w:rsid w:val="007E61CB"/>
    <w:rsid w:val="00800242"/>
    <w:rsid w:val="00806069"/>
    <w:rsid w:val="00807217"/>
    <w:rsid w:val="00807399"/>
    <w:rsid w:val="00830939"/>
    <w:rsid w:val="008420BF"/>
    <w:rsid w:val="00852E8C"/>
    <w:rsid w:val="0087778C"/>
    <w:rsid w:val="00892D00"/>
    <w:rsid w:val="00893DDC"/>
    <w:rsid w:val="008A449C"/>
    <w:rsid w:val="008C0BAA"/>
    <w:rsid w:val="008C197A"/>
    <w:rsid w:val="008D1538"/>
    <w:rsid w:val="008D26D8"/>
    <w:rsid w:val="008E1A04"/>
    <w:rsid w:val="008E1A39"/>
    <w:rsid w:val="0091132C"/>
    <w:rsid w:val="00936B91"/>
    <w:rsid w:val="00941EB1"/>
    <w:rsid w:val="00960E32"/>
    <w:rsid w:val="009728D2"/>
    <w:rsid w:val="00972CD3"/>
    <w:rsid w:val="00976557"/>
    <w:rsid w:val="00986B89"/>
    <w:rsid w:val="00992E4B"/>
    <w:rsid w:val="009A0E77"/>
    <w:rsid w:val="009C0DF7"/>
    <w:rsid w:val="009C0FDA"/>
    <w:rsid w:val="009C7060"/>
    <w:rsid w:val="009C7101"/>
    <w:rsid w:val="009D2972"/>
    <w:rsid w:val="009D6E09"/>
    <w:rsid w:val="009E4363"/>
    <w:rsid w:val="009F3979"/>
    <w:rsid w:val="009F57DE"/>
    <w:rsid w:val="009F65E2"/>
    <w:rsid w:val="00A14606"/>
    <w:rsid w:val="00A14EBE"/>
    <w:rsid w:val="00A24806"/>
    <w:rsid w:val="00A64574"/>
    <w:rsid w:val="00A8452F"/>
    <w:rsid w:val="00A9785C"/>
    <w:rsid w:val="00AA0953"/>
    <w:rsid w:val="00AA34B1"/>
    <w:rsid w:val="00AB2ACE"/>
    <w:rsid w:val="00AB4A7B"/>
    <w:rsid w:val="00AD0DEE"/>
    <w:rsid w:val="00AD5347"/>
    <w:rsid w:val="00AE7341"/>
    <w:rsid w:val="00AF613A"/>
    <w:rsid w:val="00B265AA"/>
    <w:rsid w:val="00B433B7"/>
    <w:rsid w:val="00B45FE2"/>
    <w:rsid w:val="00B51394"/>
    <w:rsid w:val="00B644E8"/>
    <w:rsid w:val="00B670DB"/>
    <w:rsid w:val="00B715CB"/>
    <w:rsid w:val="00B728C4"/>
    <w:rsid w:val="00B73D46"/>
    <w:rsid w:val="00B82306"/>
    <w:rsid w:val="00B86BB7"/>
    <w:rsid w:val="00B964BA"/>
    <w:rsid w:val="00BA7816"/>
    <w:rsid w:val="00BC232B"/>
    <w:rsid w:val="00BC5175"/>
    <w:rsid w:val="00BF6F6C"/>
    <w:rsid w:val="00C00BF0"/>
    <w:rsid w:val="00C021B8"/>
    <w:rsid w:val="00C14658"/>
    <w:rsid w:val="00C2206D"/>
    <w:rsid w:val="00C32834"/>
    <w:rsid w:val="00C350E2"/>
    <w:rsid w:val="00C560E3"/>
    <w:rsid w:val="00C64DB4"/>
    <w:rsid w:val="00C67AAE"/>
    <w:rsid w:val="00C714C2"/>
    <w:rsid w:val="00C74C2F"/>
    <w:rsid w:val="00C91469"/>
    <w:rsid w:val="00CA0912"/>
    <w:rsid w:val="00CA0A9A"/>
    <w:rsid w:val="00CB2099"/>
    <w:rsid w:val="00CB60C4"/>
    <w:rsid w:val="00CB7227"/>
    <w:rsid w:val="00CC6400"/>
    <w:rsid w:val="00CD0C7F"/>
    <w:rsid w:val="00CE0DD3"/>
    <w:rsid w:val="00CE5864"/>
    <w:rsid w:val="00CF1F51"/>
    <w:rsid w:val="00CF6BA7"/>
    <w:rsid w:val="00D0797E"/>
    <w:rsid w:val="00D178BA"/>
    <w:rsid w:val="00D363B9"/>
    <w:rsid w:val="00D55245"/>
    <w:rsid w:val="00DA05F2"/>
    <w:rsid w:val="00DB1629"/>
    <w:rsid w:val="00DB5727"/>
    <w:rsid w:val="00DC06B3"/>
    <w:rsid w:val="00DD0024"/>
    <w:rsid w:val="00DD1236"/>
    <w:rsid w:val="00DD6875"/>
    <w:rsid w:val="00DD79DC"/>
    <w:rsid w:val="00DF1BBA"/>
    <w:rsid w:val="00DF67A7"/>
    <w:rsid w:val="00E10A39"/>
    <w:rsid w:val="00E126B2"/>
    <w:rsid w:val="00E17F60"/>
    <w:rsid w:val="00E2600A"/>
    <w:rsid w:val="00E407CB"/>
    <w:rsid w:val="00E42460"/>
    <w:rsid w:val="00E63F69"/>
    <w:rsid w:val="00E66F0B"/>
    <w:rsid w:val="00E73154"/>
    <w:rsid w:val="00E82114"/>
    <w:rsid w:val="00E827DD"/>
    <w:rsid w:val="00E87914"/>
    <w:rsid w:val="00E90C5A"/>
    <w:rsid w:val="00E935E4"/>
    <w:rsid w:val="00EE2DDA"/>
    <w:rsid w:val="00EE3971"/>
    <w:rsid w:val="00EE4B19"/>
    <w:rsid w:val="00EF30E1"/>
    <w:rsid w:val="00F01C19"/>
    <w:rsid w:val="00F15AF8"/>
    <w:rsid w:val="00F24396"/>
    <w:rsid w:val="00F31ED7"/>
    <w:rsid w:val="00F37A4D"/>
    <w:rsid w:val="00F4005F"/>
    <w:rsid w:val="00F57FE1"/>
    <w:rsid w:val="00F65DFD"/>
    <w:rsid w:val="00F7001A"/>
    <w:rsid w:val="00F70E7D"/>
    <w:rsid w:val="00F748CB"/>
    <w:rsid w:val="00F94E08"/>
    <w:rsid w:val="00FA0085"/>
    <w:rsid w:val="00FD6C3F"/>
    <w:rsid w:val="00FD7F36"/>
    <w:rsid w:val="00FE1FE4"/>
    <w:rsid w:val="00FE629A"/>
    <w:rsid w:val="00FF0032"/>
    <w:rsid w:val="00FF197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9839"/>
  <w15:docId w15:val="{3E72319A-1C98-42D1-A926-E4D3C31A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1977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B3BA1"/>
    <w:rPr>
      <w:color w:val="0000FF"/>
      <w:u w:val="single"/>
    </w:rPr>
  </w:style>
  <w:style w:type="paragraph" w:styleId="Zhlav">
    <w:name w:val="header"/>
    <w:basedOn w:val="Normln"/>
    <w:link w:val="ZhlavChar"/>
    <w:rsid w:val="00FF197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FF1977"/>
    <w:rPr>
      <w:rFonts w:ascii="Helvetica" w:eastAsia="Times New Roman" w:hAnsi="Helvetic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rsid w:val="00FF197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FF1977"/>
    <w:rPr>
      <w:rFonts w:ascii="Helvetica" w:eastAsia="Times New Roman" w:hAnsi="Helvetica"/>
      <w:kern w:val="0"/>
      <w:sz w:val="16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9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77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HPRAMainBodyText">
    <w:name w:val="HPRA_MainBodyText"/>
    <w:basedOn w:val="Normln"/>
    <w:link w:val="HPRAMainBodyTextChar"/>
    <w:qFormat/>
    <w:rsid w:val="00FF1977"/>
    <w:pPr>
      <w:tabs>
        <w:tab w:val="clear" w:pos="567"/>
      </w:tabs>
      <w:spacing w:line="240" w:lineRule="auto"/>
    </w:pPr>
    <w:rPr>
      <w:rFonts w:ascii="Segoe UI" w:eastAsiaTheme="minorHAnsi" w:hAnsi="Segoe UI" w:cs="Segoe UI"/>
      <w:sz w:val="20"/>
    </w:rPr>
  </w:style>
  <w:style w:type="character" w:customStyle="1" w:styleId="HPRAMainBodyTextChar">
    <w:name w:val="HPRA_MainBodyText Char"/>
    <w:basedOn w:val="Standardnpsmoodstavce"/>
    <w:link w:val="HPRAMainBodyText"/>
    <w:rsid w:val="00FF1977"/>
    <w:rPr>
      <w:rFonts w:ascii="Segoe UI" w:hAnsi="Segoe UI" w:cs="Segoe UI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FF1977"/>
    <w:rPr>
      <w:rFonts w:eastAsia="Times New Roman"/>
      <w:kern w:val="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FF197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9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ADCA-711A-474A-808F-C630FC53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Dušek Daniel</cp:lastModifiedBy>
  <cp:revision>52</cp:revision>
  <dcterms:created xsi:type="dcterms:W3CDTF">2023-08-09T09:50:00Z</dcterms:created>
  <dcterms:modified xsi:type="dcterms:W3CDTF">2023-10-30T14:05:00Z</dcterms:modified>
</cp:coreProperties>
</file>