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ind w:right="113"/>
        <w:jc w:val="center"/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B. PŘÍBALOVÁ INFORMACE</w:t>
      </w:r>
    </w:p>
    <w:p w:rsidR="000E7636" w:rsidRPr="00F542B8" w:rsidRDefault="000E7636" w:rsidP="000E7636">
      <w:pPr>
        <w:pStyle w:val="Nzev"/>
        <w:rPr>
          <w:sz w:val="22"/>
          <w:szCs w:val="22"/>
        </w:rPr>
      </w:pPr>
      <w:r w:rsidRPr="00F542B8">
        <w:rPr>
          <w:sz w:val="22"/>
          <w:szCs w:val="22"/>
        </w:rPr>
        <w:br w:type="page"/>
      </w:r>
      <w:r w:rsidRPr="00F542B8">
        <w:rPr>
          <w:sz w:val="22"/>
          <w:szCs w:val="22"/>
        </w:rPr>
        <w:lastRenderedPageBreak/>
        <w:t>PŘÍBALOVÁ INFORMACE</w:t>
      </w:r>
    </w:p>
    <w:p w:rsidR="000E7636" w:rsidRPr="00F542B8" w:rsidRDefault="000E7636" w:rsidP="000E7636">
      <w:pPr>
        <w:jc w:val="center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Dinolytic 5 mg/ml injekční roztok</w:t>
      </w: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1.</w:t>
      </w:r>
      <w:r w:rsidRPr="00F542B8">
        <w:rPr>
          <w:b/>
          <w:sz w:val="22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0E7636" w:rsidRPr="00F542B8" w:rsidRDefault="000E7636" w:rsidP="000E7636">
      <w:pPr>
        <w:rPr>
          <w:sz w:val="22"/>
          <w:szCs w:val="22"/>
          <w:u w:val="single"/>
          <w:lang w:val="cs-CZ"/>
        </w:rPr>
      </w:pPr>
    </w:p>
    <w:p w:rsidR="009646AA" w:rsidRPr="00F542B8" w:rsidRDefault="000E7636" w:rsidP="005B7CB1">
      <w:pPr>
        <w:rPr>
          <w:sz w:val="22"/>
          <w:szCs w:val="22"/>
          <w:u w:val="single"/>
          <w:lang w:val="cs-CZ"/>
        </w:rPr>
      </w:pPr>
      <w:r w:rsidRPr="00F542B8">
        <w:rPr>
          <w:sz w:val="22"/>
          <w:szCs w:val="22"/>
          <w:u w:val="single"/>
          <w:lang w:val="cs-CZ"/>
        </w:rPr>
        <w:t>Držitel</w:t>
      </w:r>
      <w:r w:rsidR="009646AA" w:rsidRPr="00F542B8">
        <w:rPr>
          <w:sz w:val="22"/>
          <w:szCs w:val="22"/>
          <w:u w:val="single"/>
          <w:lang w:val="cs-CZ"/>
        </w:rPr>
        <w:t xml:space="preserve"> rozhodnutí o registraci</w:t>
      </w:r>
      <w:r w:rsidRPr="00F542B8">
        <w:rPr>
          <w:sz w:val="22"/>
          <w:szCs w:val="22"/>
          <w:u w:val="single"/>
          <w:lang w:val="cs-CZ"/>
        </w:rPr>
        <w:t>:</w:t>
      </w:r>
    </w:p>
    <w:p w:rsidR="000E7636" w:rsidRPr="00F542B8" w:rsidRDefault="005B7CB1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Zoetis Česká republika,</w:t>
      </w:r>
      <w:r w:rsidRPr="00F542B8">
        <w:rPr>
          <w:rFonts w:ascii="Arial" w:hAnsi="Arial" w:cs="Arial"/>
          <w:lang w:val="cs-CZ"/>
        </w:rPr>
        <w:t xml:space="preserve"> </w:t>
      </w:r>
      <w:r w:rsidR="000E7636" w:rsidRPr="00F542B8">
        <w:rPr>
          <w:sz w:val="22"/>
          <w:szCs w:val="22"/>
          <w:lang w:val="cs-CZ"/>
        </w:rPr>
        <w:t xml:space="preserve">s.r.o., </w:t>
      </w:r>
      <w:r w:rsidR="00B77ED5" w:rsidRPr="00F542B8">
        <w:rPr>
          <w:sz w:val="22"/>
          <w:szCs w:val="22"/>
          <w:lang w:val="cs-CZ"/>
        </w:rPr>
        <w:t>Náměstí 14. října 642/</w:t>
      </w:r>
      <w:r w:rsidR="000E7636" w:rsidRPr="00F542B8">
        <w:rPr>
          <w:sz w:val="22"/>
          <w:szCs w:val="22"/>
          <w:lang w:val="cs-CZ"/>
        </w:rPr>
        <w:t>17, 150 00</w:t>
      </w:r>
      <w:r w:rsidR="00226653" w:rsidRPr="00F542B8">
        <w:rPr>
          <w:sz w:val="22"/>
          <w:szCs w:val="22"/>
          <w:lang w:val="cs-CZ"/>
        </w:rPr>
        <w:t xml:space="preserve"> </w:t>
      </w:r>
      <w:r w:rsidR="000E7636" w:rsidRPr="00F542B8">
        <w:rPr>
          <w:sz w:val="22"/>
          <w:szCs w:val="22"/>
          <w:lang w:val="cs-CZ"/>
        </w:rPr>
        <w:t>Praha 5</w:t>
      </w:r>
      <w:r w:rsidR="00B77ED5" w:rsidRPr="00F542B8">
        <w:rPr>
          <w:sz w:val="22"/>
          <w:szCs w:val="22"/>
          <w:lang w:val="cs-CZ"/>
        </w:rPr>
        <w:t>, Česká republika</w:t>
      </w:r>
    </w:p>
    <w:p w:rsidR="005B7CB1" w:rsidRPr="00F542B8" w:rsidRDefault="005B7CB1" w:rsidP="005B7CB1">
      <w:pPr>
        <w:rPr>
          <w:sz w:val="22"/>
          <w:szCs w:val="22"/>
          <w:lang w:val="cs-CZ"/>
        </w:rPr>
      </w:pPr>
    </w:p>
    <w:p w:rsidR="009646AA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Výrobce</w:t>
      </w:r>
      <w:r w:rsidR="009646AA" w:rsidRPr="00F542B8">
        <w:rPr>
          <w:sz w:val="22"/>
          <w:szCs w:val="22"/>
          <w:u w:val="single"/>
          <w:lang w:val="cs-CZ"/>
        </w:rPr>
        <w:t xml:space="preserve"> odpovědný za uvolnění šarže</w:t>
      </w:r>
      <w:r w:rsidRPr="00F542B8">
        <w:rPr>
          <w:sz w:val="22"/>
          <w:szCs w:val="22"/>
          <w:u w:val="single"/>
          <w:lang w:val="cs-CZ"/>
        </w:rPr>
        <w:t>:</w:t>
      </w:r>
      <w:r w:rsidRPr="00F542B8">
        <w:rPr>
          <w:sz w:val="22"/>
          <w:szCs w:val="22"/>
          <w:lang w:val="cs-CZ"/>
        </w:rPr>
        <w:t xml:space="preserve"> </w:t>
      </w:r>
    </w:p>
    <w:p w:rsidR="009646AA" w:rsidRPr="00F542B8" w:rsidRDefault="009646AA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Zoetis Belgium SA, Rue Laid Burniat 1, 1348 Louvain-La-Neuve, Belgie</w:t>
      </w:r>
    </w:p>
    <w:p w:rsidR="00A90BF9" w:rsidRPr="00F542B8" w:rsidRDefault="00A90BF9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nebo</w:t>
      </w:r>
    </w:p>
    <w:p w:rsidR="00C70AB8" w:rsidRPr="00F542B8" w:rsidRDefault="00C70AB8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Zoetis Manufacturing &amp; Research Spain </w:t>
      </w:r>
      <w:proofErr w:type="gramStart"/>
      <w:r w:rsidRPr="00F542B8">
        <w:rPr>
          <w:sz w:val="22"/>
          <w:szCs w:val="22"/>
          <w:lang w:val="cs-CZ"/>
        </w:rPr>
        <w:t>S.L.</w:t>
      </w:r>
      <w:proofErr w:type="gramEnd"/>
      <w:r w:rsidRPr="00F542B8">
        <w:rPr>
          <w:sz w:val="22"/>
          <w:szCs w:val="22"/>
          <w:lang w:val="cs-CZ"/>
        </w:rPr>
        <w:t>, Carretera De Camprodon S/n, La Vall De Bianya, 17813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>Girona, Španělsko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2.</w:t>
      </w:r>
      <w:r w:rsidRPr="00F542B8">
        <w:rPr>
          <w:b/>
          <w:sz w:val="22"/>
          <w:szCs w:val="22"/>
          <w:lang w:val="cs-CZ"/>
        </w:rPr>
        <w:tab/>
        <w:t>NÁZEV VETERINÁRNÍHO LÉČIVÉHO PŘÍPRAVKU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Dinolytic 5 mg/ml injekční roztok </w:t>
      </w:r>
    </w:p>
    <w:p w:rsidR="000E7636" w:rsidRPr="00F542B8" w:rsidRDefault="000E7636" w:rsidP="000E7636">
      <w:pPr>
        <w:rPr>
          <w:bCs/>
          <w:sz w:val="22"/>
          <w:szCs w:val="22"/>
          <w:lang w:val="cs-CZ"/>
        </w:rPr>
      </w:pPr>
      <w:r w:rsidRPr="00F542B8">
        <w:rPr>
          <w:bCs/>
          <w:sz w:val="22"/>
          <w:szCs w:val="22"/>
          <w:lang w:val="cs-CZ"/>
        </w:rPr>
        <w:t>Dinoprostum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3.</w:t>
      </w:r>
      <w:r w:rsidRPr="00F542B8">
        <w:rPr>
          <w:b/>
          <w:sz w:val="22"/>
          <w:szCs w:val="22"/>
          <w:lang w:val="cs-CZ"/>
        </w:rPr>
        <w:tab/>
        <w:t>OBSAH LÉČIVÝCH A OSTATNÍCH LÁTEK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1 ml obsahuje:</w:t>
      </w: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Léčivé látky: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Dinoprostum (</w:t>
      </w:r>
      <w:r w:rsidR="00C70AB8" w:rsidRPr="00F542B8">
        <w:rPr>
          <w:sz w:val="22"/>
          <w:szCs w:val="22"/>
          <w:lang w:val="cs-CZ"/>
        </w:rPr>
        <w:t xml:space="preserve">jako </w:t>
      </w:r>
      <w:r w:rsidRPr="00F542B8">
        <w:rPr>
          <w:sz w:val="22"/>
          <w:szCs w:val="22"/>
          <w:lang w:val="cs-CZ"/>
        </w:rPr>
        <w:t xml:space="preserve">dinoprostum tromethaminoli) </w:t>
      </w:r>
      <w:r w:rsidRPr="00F542B8">
        <w:rPr>
          <w:sz w:val="22"/>
          <w:szCs w:val="22"/>
          <w:lang w:val="cs-CZ"/>
        </w:rPr>
        <w:tab/>
        <w:t>5 mg</w:t>
      </w:r>
      <w:r w:rsidRPr="00F542B8">
        <w:rPr>
          <w:sz w:val="22"/>
          <w:szCs w:val="22"/>
          <w:lang w:val="cs-CZ"/>
        </w:rPr>
        <w:br/>
      </w:r>
    </w:p>
    <w:p w:rsidR="000E7636" w:rsidRPr="00F542B8" w:rsidRDefault="000E7636" w:rsidP="000E7636">
      <w:pPr>
        <w:pStyle w:val="Textvysvtlivek"/>
        <w:tabs>
          <w:tab w:val="left" w:pos="4340"/>
        </w:tabs>
        <w:ind w:left="0" w:firstLine="0"/>
      </w:pPr>
      <w:r w:rsidRPr="00F542B8">
        <w:rPr>
          <w:b/>
        </w:rPr>
        <w:t>Pomocné látky:</w:t>
      </w:r>
      <w:r w:rsidRPr="00F542B8">
        <w:rPr>
          <w:b/>
        </w:rPr>
        <w:br/>
      </w:r>
      <w:r w:rsidRPr="00F542B8">
        <w:t xml:space="preserve">Benzylalkohol (E1519) </w:t>
      </w:r>
      <w:r w:rsidRPr="00F542B8">
        <w:tab/>
        <w:t>16,5 mg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4.</w:t>
      </w:r>
      <w:r w:rsidRPr="00F542B8">
        <w:rPr>
          <w:b/>
          <w:sz w:val="22"/>
          <w:szCs w:val="22"/>
          <w:lang w:val="cs-CZ"/>
        </w:rPr>
        <w:tab/>
        <w:t>INDIKACE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SKOT: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Dinolytic je indikován jako luteolytikum. Je účinný pouze u krav s aktivním corpus luteum tj. těch zvířat, která ovulovala nejméně 5 dní před ošetřením. Náhodné podání necyklujícím zvířatům nemělo žádné nepříznivé účinky na následnou fertilitu.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Dinolytic může být použit pro následující indikace: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- Programy řízené reprodukce</w:t>
      </w:r>
    </w:p>
    <w:p w:rsidR="000E7636" w:rsidRPr="00F542B8" w:rsidRDefault="000E7636" w:rsidP="000E7636">
      <w:pPr>
        <w:widowControl w:val="0"/>
        <w:ind w:firstLine="72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indukce a synchronizace říje  </w:t>
      </w:r>
    </w:p>
    <w:p w:rsidR="000E7636" w:rsidRPr="00F542B8" w:rsidRDefault="000E7636" w:rsidP="000E7636">
      <w:pPr>
        <w:widowControl w:val="0"/>
        <w:ind w:firstLine="72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- synchronizace ovulace v kombinaci s GnRH nebo analogy GnRH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léčba subestru (tichá říje či její absence)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léčba pyometry, pyometritis a endometritis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indukce abortu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- indukce porodu, zejména u krav, kde je březost komplikována stavy jako jsou mumifikované či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macerované plody, hydrops amnii atd.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- expulsace mrtvého plodu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KONĚ: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indukce oestru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léčba subestru (tichá říje či její absence, prvotní říje)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indukce abortu.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PRASATA: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- indukce porodu </w:t>
      </w:r>
    </w:p>
    <w:p w:rsidR="000E7636" w:rsidRPr="00F542B8" w:rsidRDefault="000E7636" w:rsidP="000E7636">
      <w:pPr>
        <w:widowControl w:val="0"/>
        <w:autoSpaceDE w:val="0"/>
        <w:autoSpaceDN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- zkrácení doby od odstavu k říji a nástupu fertilního období u prasnic ve stádech s reprodukčními problémy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5. </w:t>
      </w:r>
      <w:r w:rsidRPr="00F542B8">
        <w:rPr>
          <w:b/>
          <w:sz w:val="22"/>
          <w:szCs w:val="22"/>
          <w:lang w:val="cs-CZ"/>
        </w:rPr>
        <w:tab/>
        <w:t>KONTRAINDIKACE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lastRenderedPageBreak/>
        <w:t>SKOT, KONĚ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Dinolytic je neúčinný, pokud je aplikován dříve než 5 dní po ovulaci u skotu a klisen.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Neaplikujte intravenózně.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PRASATA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Prasnicím neaplikujte dříve než 3 dny před předpokládaným datem porodu.  Dřívější aplikace může vyvolat porod většího množství mrtvých selat či zvýšenou postnatální mortalitu.  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6.</w:t>
      </w:r>
      <w:r w:rsidRPr="00F542B8">
        <w:rPr>
          <w:b/>
          <w:sz w:val="22"/>
          <w:szCs w:val="22"/>
          <w:lang w:val="cs-CZ"/>
        </w:rPr>
        <w:tab/>
        <w:t>NEŽÁDOUCÍ ÚČINKY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SKOT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Zvýšená rektální teplota byla pozorována po aplikaci 5-10 násobné </w:t>
      </w:r>
      <w:r w:rsidR="00F542B8">
        <w:rPr>
          <w:sz w:val="22"/>
          <w:szCs w:val="22"/>
          <w:lang w:val="cs-CZ"/>
        </w:rPr>
        <w:t xml:space="preserve">dávky než je dávka doporučená. </w:t>
      </w:r>
      <w:r w:rsidRPr="00F542B8">
        <w:rPr>
          <w:sz w:val="22"/>
          <w:szCs w:val="22"/>
          <w:lang w:val="cs-CZ"/>
        </w:rPr>
        <w:t xml:space="preserve">Tento účinek byl ve všech případech přechodný.  V některých případech byla zaznamenaná v místě aplikace bakteriální infekce.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KONĚ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Nejčastěji pozorované vedlejší účinky jsou pocení a snížená rektální teplota, tyto příznaky byly ve všech případech přechodné. Jiné možné reakce mohou být abdominální poruchy</w:t>
      </w:r>
      <w:r w:rsidR="00F542B8">
        <w:rPr>
          <w:sz w:val="22"/>
          <w:szCs w:val="22"/>
          <w:lang w:val="cs-CZ"/>
        </w:rPr>
        <w:t xml:space="preserve">, zrychlená srdeční frekvence, </w:t>
      </w:r>
      <w:r w:rsidRPr="00F542B8">
        <w:rPr>
          <w:sz w:val="22"/>
          <w:szCs w:val="22"/>
          <w:lang w:val="cs-CZ"/>
        </w:rPr>
        <w:t>zrychlený dech, lokomoční diskoordinace a ulehnutí. Tyto účinky se objeví během 15 min. po aplikaci a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vymizí během hodiny.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PRASATA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Ve studiích, zkoumajících vedlejší účinky po předávkování, byly nejčastěji pozorované erytém, pruritus, lehká diskoordinace, tvorba hnízda, defekace, abdominální svalový spasmus, pohybování ocasem, hyperpnoe a dyspnoe, salivace, hlasové projevy a zvracení.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Ve skutečnosti jsou tyto symptomy podobné příznakům normálního porodu. Jsou přechodné a trvají od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>10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minut do 3 hodin.  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7.</w:t>
      </w:r>
      <w:r w:rsidRPr="00F542B8">
        <w:rPr>
          <w:b/>
          <w:sz w:val="22"/>
          <w:szCs w:val="22"/>
          <w:lang w:val="cs-CZ"/>
        </w:rPr>
        <w:tab/>
        <w:t>CÍLOVÝ DRUH ZVÍŘAT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ind w:left="709" w:hanging="70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Skot, koně, prasata.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8.</w:t>
      </w:r>
      <w:r w:rsidRPr="00F542B8">
        <w:rPr>
          <w:b/>
          <w:sz w:val="22"/>
          <w:szCs w:val="22"/>
          <w:lang w:val="cs-CZ"/>
        </w:rPr>
        <w:tab/>
        <w:t>DÁVKOVÁNÍ PRO KAŽDÝ DRUH, CESTA(Y) A ZPŮSOB PODÁNÍ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Intramuskulární podání.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ind w:left="720" w:hanging="720"/>
        <w:rPr>
          <w:b/>
          <w:sz w:val="22"/>
          <w:szCs w:val="22"/>
          <w:lang w:val="cs-CZ"/>
        </w:rPr>
      </w:pPr>
      <w:r w:rsidRPr="00F542B8">
        <w:rPr>
          <w:b/>
          <w:bCs/>
          <w:sz w:val="22"/>
          <w:szCs w:val="22"/>
          <w:lang w:val="cs-CZ"/>
        </w:rPr>
        <w:t>KRÁVY A JALOVICE</w:t>
      </w:r>
      <w:r w:rsidRPr="00F542B8">
        <w:rPr>
          <w:b/>
          <w:sz w:val="22"/>
          <w:szCs w:val="22"/>
          <w:lang w:val="cs-CZ"/>
        </w:rPr>
        <w:t xml:space="preserve">:  </w:t>
      </w:r>
    </w:p>
    <w:p w:rsidR="000E7636" w:rsidRPr="00F542B8" w:rsidRDefault="000E7636" w:rsidP="000E7636">
      <w:pPr>
        <w:pStyle w:val="Zkladntextodsazen2"/>
        <w:spacing w:before="0"/>
        <w:ind w:left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Všeobecná dávka činí 5 ml přípravku Dinolytic (tj. 25 mg dinoprostu) pro toto. Krávy nebo jalovice ošetřené během diestru přijdou normálně do říje a ovulují během 1-5 dnů po ošetření.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 xml:space="preserve">Subestrus (tichá či nepřítomná říje a perzistující corpus luteum): </w:t>
      </w:r>
      <w:r w:rsidRPr="00F542B8">
        <w:rPr>
          <w:sz w:val="22"/>
          <w:szCs w:val="22"/>
          <w:lang w:val="cs-CZ"/>
        </w:rPr>
        <w:t>po vyšetření a diagnostikování přítomnosti aktivního corpus luteum se aplikuje 5 ml Dinolyticu (25 mg dinoprostu).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Inseminace probíhá v obvyklý čas ve vztahu k pozorované říji.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Synchronizace říje:</w:t>
      </w:r>
      <w:r w:rsidRPr="00F542B8">
        <w:rPr>
          <w:sz w:val="22"/>
          <w:szCs w:val="22"/>
          <w:lang w:val="cs-CZ"/>
        </w:rPr>
        <w:t xml:space="preserve"> u cyklujících krav mohou být použity různé programy a technika k synchronizaci říje: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1. Aplikace 5 ml a inseminace po odhalení říje.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2. Aplikace dvou injekcí v intervalu 10 až 12 dní. Inseminace zvířat při zjištění říje či 80 hod. po ošetření.  Dvojí inseminace </w:t>
      </w:r>
      <w:smartTag w:uri="urn:schemas-microsoft-com:office:smarttags" w:element="metricconverter">
        <w:smartTagPr>
          <w:attr w:name="ProductID" w:val="72 a"/>
        </w:smartTagPr>
        <w:r w:rsidRPr="00F542B8">
          <w:rPr>
            <w:sz w:val="22"/>
            <w:szCs w:val="22"/>
            <w:lang w:val="cs-CZ"/>
          </w:rPr>
          <w:t>72 a</w:t>
        </w:r>
      </w:smartTag>
      <w:r w:rsidRPr="00F542B8">
        <w:rPr>
          <w:sz w:val="22"/>
          <w:szCs w:val="22"/>
          <w:lang w:val="cs-CZ"/>
        </w:rPr>
        <w:t xml:space="preserve"> 90 hod. po podání injekce je druhý program.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u w:val="single"/>
          <w:lang w:val="cs-CZ"/>
        </w:rPr>
      </w:pPr>
      <w:r w:rsidRPr="00F542B8">
        <w:rPr>
          <w:sz w:val="22"/>
          <w:szCs w:val="22"/>
          <w:u w:val="single"/>
          <w:lang w:val="cs-CZ"/>
        </w:rPr>
        <w:t xml:space="preserve">Synchronizace ovulace v kombinaci s GnRH nebo analogy GnRH jako součást programů </w:t>
      </w:r>
      <w:r w:rsidR="00F542B8" w:rsidRPr="00F542B8">
        <w:rPr>
          <w:sz w:val="22"/>
          <w:szCs w:val="22"/>
          <w:u w:val="single"/>
          <w:lang w:val="cs-CZ"/>
        </w:rPr>
        <w:t>pro načasovanou</w:t>
      </w:r>
      <w:r w:rsidRPr="00F542B8">
        <w:rPr>
          <w:sz w:val="22"/>
          <w:szCs w:val="22"/>
          <w:u w:val="single"/>
          <w:lang w:val="cs-CZ"/>
        </w:rPr>
        <w:t xml:space="preserve"> inseminaci dojnic: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U dojnic lze použít následující programy: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hanging="39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Den 0:</w:t>
      </w:r>
      <w:r w:rsidRPr="00F542B8">
        <w:rPr>
          <w:sz w:val="22"/>
          <w:szCs w:val="22"/>
          <w:lang w:val="cs-CZ"/>
        </w:rPr>
        <w:tab/>
        <w:t>Podání GnRH nebo analogu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hanging="39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Den 7:</w:t>
      </w:r>
      <w:r w:rsidRPr="00F542B8">
        <w:rPr>
          <w:sz w:val="22"/>
          <w:szCs w:val="22"/>
          <w:lang w:val="cs-CZ"/>
        </w:rPr>
        <w:tab/>
        <w:t>Intramuskulární podání Dinolytic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hanging="39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Den 9:</w:t>
      </w:r>
      <w:r w:rsidRPr="00F542B8">
        <w:rPr>
          <w:sz w:val="22"/>
          <w:szCs w:val="22"/>
          <w:lang w:val="cs-CZ"/>
        </w:rPr>
        <w:tab/>
        <w:t>Podání GnRH nebo analogu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left="709" w:hanging="283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Umělá inseminace; 16-20 hodin po podání GnRH nebo analogu, nebo při pozorované říji pokud nastane dříve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lastRenderedPageBreak/>
        <w:t>Alternativně lze použít: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hanging="39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Den 0:</w:t>
      </w:r>
      <w:r w:rsidRPr="00F542B8">
        <w:rPr>
          <w:sz w:val="22"/>
          <w:szCs w:val="22"/>
          <w:lang w:val="cs-CZ"/>
        </w:rPr>
        <w:tab/>
        <w:t>Podání GnRH nebo analogu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hanging="399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Den 7:</w:t>
      </w:r>
      <w:r w:rsidRPr="00F542B8">
        <w:rPr>
          <w:sz w:val="22"/>
          <w:szCs w:val="22"/>
          <w:lang w:val="cs-CZ"/>
        </w:rPr>
        <w:tab/>
        <w:t>Intramuskulární podání Dinolytic</w:t>
      </w:r>
    </w:p>
    <w:p w:rsidR="000E7636" w:rsidRPr="00F542B8" w:rsidRDefault="000E7636" w:rsidP="000E7636">
      <w:pPr>
        <w:widowControl w:val="0"/>
        <w:numPr>
          <w:ilvl w:val="0"/>
          <w:numId w:val="1"/>
        </w:numPr>
        <w:ind w:left="709" w:hanging="283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Umělá inseminace a podání GnRH nebo analogu; 60-72 hodin po podání Dinolytic nebo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>při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>pozorované říji pokud nastane dříve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Pro maximalizaci procenta zabřeznutí u léčených zvířat vyšetřete stav vaječníků a potvrďte cyklickou ovariální aktivitu. Optimálních výsledků bude dosaženo u zdravých normálně cyklujících zvířat.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 xml:space="preserve">Indukce abortu mezi </w:t>
      </w:r>
      <w:smartTag w:uri="urn:schemas-microsoft-com:office:smarttags" w:element="metricconverter">
        <w:smartTagPr>
          <w:attr w:name="ProductID" w:val="5. a"/>
        </w:smartTagPr>
        <w:r w:rsidRPr="00F542B8">
          <w:rPr>
            <w:sz w:val="22"/>
            <w:szCs w:val="22"/>
            <w:u w:val="single"/>
            <w:lang w:val="cs-CZ"/>
          </w:rPr>
          <w:t>5. a</w:t>
        </w:r>
      </w:smartTag>
      <w:r w:rsidRPr="00F542B8">
        <w:rPr>
          <w:sz w:val="22"/>
          <w:szCs w:val="22"/>
          <w:u w:val="single"/>
          <w:lang w:val="cs-CZ"/>
        </w:rPr>
        <w:t xml:space="preserve"> 120. dnem březosti:</w:t>
      </w:r>
      <w:r w:rsidRPr="00F542B8">
        <w:rPr>
          <w:sz w:val="22"/>
          <w:szCs w:val="22"/>
          <w:lang w:val="cs-CZ"/>
        </w:rPr>
        <w:t xml:space="preserve"> aplikace 5 ml Dinolyticu (25 mg dinoprostu) vede k abortu během 4 dnů po ošetření. Čím pozdější je stadium březosti, tím je indukce abortu obtížnější.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Indukce porodu:</w:t>
      </w:r>
      <w:r w:rsidRPr="00F542B8">
        <w:rPr>
          <w:sz w:val="22"/>
          <w:szCs w:val="22"/>
          <w:lang w:val="cs-CZ"/>
        </w:rPr>
        <w:t xml:space="preserve"> aplikace 5-7 ml Dinolyticu (25 mg dinoprostu) po 270. dnu březosti přivodí porod během 1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až 8 dní (průměr 3 dny) po podání. Jako častá komplikace této metody je retence placenty.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Pyometra a endometritis:</w:t>
      </w:r>
      <w:r w:rsidRPr="00F542B8">
        <w:rPr>
          <w:sz w:val="22"/>
          <w:szCs w:val="22"/>
          <w:lang w:val="cs-CZ"/>
        </w:rPr>
        <w:t xml:space="preserve"> 5 ml přípravku.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Pyometra je prakticky vždy kombinována s perzistujícím žlutým tělískem, jehož regrese vede k eliminaci purulentních sekretů. Ošetření musí být opakováno po 10-12 dnech pokud se jedná o dlouhotrvající stav. Na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farmách s chronickými endometritidami musí být všechny krávy ošetřeny mezi </w:t>
      </w:r>
      <w:smartTag w:uri="urn:schemas-microsoft-com:office:smarttags" w:element="metricconverter">
        <w:smartTagPr>
          <w:attr w:name="ProductID" w:val="15. a"/>
        </w:smartTagPr>
        <w:r w:rsidRPr="00F542B8">
          <w:rPr>
            <w:sz w:val="22"/>
            <w:szCs w:val="22"/>
            <w:lang w:val="cs-CZ"/>
          </w:rPr>
          <w:t>15. a</w:t>
        </w:r>
      </w:smartTag>
      <w:r w:rsidRPr="00F542B8">
        <w:rPr>
          <w:sz w:val="22"/>
          <w:szCs w:val="22"/>
          <w:lang w:val="cs-CZ"/>
        </w:rPr>
        <w:t xml:space="preserve"> 20. dnem po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porodu.  </w:t>
      </w: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KONĚ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Indukce říje u klisen:</w:t>
      </w:r>
      <w:r w:rsidRPr="00F542B8">
        <w:rPr>
          <w:sz w:val="22"/>
          <w:szCs w:val="22"/>
          <w:lang w:val="cs-CZ"/>
        </w:rPr>
        <w:t xml:space="preserve"> 1 ml přípravku se aplikuje mezi </w:t>
      </w:r>
      <w:smartTag w:uri="urn:schemas-microsoft-com:office:smarttags" w:element="metricconverter">
        <w:smartTagPr>
          <w:attr w:name="ProductID" w:val="4. a"/>
        </w:smartTagPr>
        <w:r w:rsidRPr="00F542B8">
          <w:rPr>
            <w:sz w:val="22"/>
            <w:szCs w:val="22"/>
            <w:lang w:val="cs-CZ"/>
          </w:rPr>
          <w:t>4. a</w:t>
        </w:r>
      </w:smartTag>
      <w:r w:rsidRPr="00F542B8">
        <w:rPr>
          <w:sz w:val="22"/>
          <w:szCs w:val="22"/>
          <w:lang w:val="cs-CZ"/>
        </w:rPr>
        <w:t xml:space="preserve"> 13. dnem cyklu a připuštění se provádí při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objevení se prvních příznaků říje.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Dávky pro všechny indikované případy činí u klisen 5-10 mg dinoprostu (tj. 1 až 2 ml Dinoylticu). Klisny, které byly léčeny během diestru přijdou do říje během 2-4 dnů a k ovulaci dochází během 8-10 dnů po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ošetření.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U klisen lze přípravkem až do 35 dnů březosti přivodit abortus, odpověď k ošetření mezi </w:t>
      </w:r>
      <w:smartTag w:uri="urn:schemas-microsoft-com:office:smarttags" w:element="metricconverter">
        <w:smartTagPr>
          <w:attr w:name="ProductID" w:val="40. a"/>
        </w:smartTagPr>
        <w:r w:rsidRPr="00F542B8">
          <w:rPr>
            <w:sz w:val="22"/>
            <w:szCs w:val="22"/>
            <w:lang w:val="cs-CZ"/>
          </w:rPr>
          <w:t>40. a</w:t>
        </w:r>
      </w:smartTag>
      <w:r w:rsidRPr="00F542B8">
        <w:rPr>
          <w:sz w:val="22"/>
          <w:szCs w:val="22"/>
          <w:lang w:val="cs-CZ"/>
        </w:rPr>
        <w:t xml:space="preserve"> 90. dnem březosti je méně předpověditelná, patrně vlivem sekrece PMSG z endometriálních žlázek, poskytujících c.l. odolnost k luteolytickému účinku Dinolyticu. Mezi </w:t>
      </w:r>
      <w:smartTag w:uri="urn:schemas-microsoft-com:office:smarttags" w:element="metricconverter">
        <w:smartTagPr>
          <w:attr w:name="ProductID" w:val="90. a"/>
        </w:smartTagPr>
        <w:r w:rsidRPr="00F542B8">
          <w:rPr>
            <w:sz w:val="22"/>
            <w:szCs w:val="22"/>
            <w:lang w:val="cs-CZ"/>
          </w:rPr>
          <w:t>90. a</w:t>
        </w:r>
      </w:smartTag>
      <w:r w:rsidRPr="00F542B8">
        <w:rPr>
          <w:sz w:val="22"/>
          <w:szCs w:val="22"/>
          <w:lang w:val="cs-CZ"/>
        </w:rPr>
        <w:t xml:space="preserve"> 120. dnem březosti může vést luteální regrese k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abortu.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 xml:space="preserve">PRASATA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Indukce porodu:</w:t>
      </w:r>
      <w:r w:rsidRPr="00F542B8">
        <w:rPr>
          <w:sz w:val="22"/>
          <w:szCs w:val="22"/>
          <w:lang w:val="cs-CZ"/>
        </w:rPr>
        <w:t xml:space="preserve"> po propočtu průměrné doby březosti u prasnic a prasniček na farmě (pohybující se mezi </w:t>
      </w:r>
      <w:smartTag w:uri="urn:schemas-microsoft-com:office:smarttags" w:element="metricconverter">
        <w:smartTagPr>
          <w:attr w:name="ProductID" w:val="111 a"/>
        </w:smartTagPr>
        <w:r w:rsidRPr="00F542B8">
          <w:rPr>
            <w:sz w:val="22"/>
            <w:szCs w:val="22"/>
            <w:lang w:val="cs-CZ"/>
          </w:rPr>
          <w:t>111 a</w:t>
        </w:r>
      </w:smartTag>
      <w:r w:rsidRPr="00F542B8">
        <w:rPr>
          <w:sz w:val="22"/>
          <w:szCs w:val="22"/>
          <w:lang w:val="cs-CZ"/>
        </w:rPr>
        <w:t xml:space="preserve"> 114, 115 dny) se aplikuje 2 ml DINOLYTICu (tj. 10 mg dinoprostu) pro toto během 2-3 dnů před koncem odhadovaného období březosti.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K porodu dojde asi 33 hod. po injekci, toto období je však individuální. Podání oxytocinu 20 hodin po PGF vede k přesnějšímu načasování porodu.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u w:val="single"/>
          <w:lang w:val="cs-CZ"/>
        </w:rPr>
        <w:t>Použití post partum:</w:t>
      </w:r>
      <w:r w:rsidRPr="00F542B8">
        <w:rPr>
          <w:sz w:val="22"/>
          <w:szCs w:val="22"/>
          <w:lang w:val="cs-CZ"/>
        </w:rPr>
        <w:t xml:space="preserve"> Jediná dávka 10 mg dinoprostu 24-48 hod po porodu.  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9.</w:t>
      </w:r>
      <w:r w:rsidRPr="00F542B8">
        <w:rPr>
          <w:b/>
          <w:sz w:val="22"/>
          <w:szCs w:val="22"/>
          <w:lang w:val="cs-CZ"/>
        </w:rPr>
        <w:tab/>
        <w:t>POKYNY PRO SPRÁVNÉ PODÁNÍ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Podobně jako u všech parenterálních přípravků je nutno dodržovat aseptickou techniku aplikace za účelem snížení možnosti bakteriální infekce v místě injekčního podání. Při objevení se prvních známek bakteriální infekce v místě injekčního podání je nutné zahájit účinnou antibiotickou terapii.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Indukce porodu a abortu při použití exogenní látky může vést k dystokii, fetální mortalitě, zadržení placenty nebo metritidě.  </w:t>
      </w:r>
    </w:p>
    <w:p w:rsidR="000E7636" w:rsidRPr="00F542B8" w:rsidRDefault="000E7636" w:rsidP="000E7636">
      <w:pPr>
        <w:pStyle w:val="Zkladntextodsazen2"/>
        <w:spacing w:before="0"/>
        <w:ind w:left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U skotu musí být provedena intenzivní antibiotická terapie při zjištění prvních příznaků infekce v místě injekčního podání.  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10.</w:t>
      </w:r>
      <w:r w:rsidRPr="00F542B8">
        <w:rPr>
          <w:b/>
          <w:sz w:val="22"/>
          <w:szCs w:val="22"/>
          <w:lang w:val="cs-CZ"/>
        </w:rPr>
        <w:tab/>
        <w:t>OCHRANNÁ</w:t>
      </w:r>
      <w:r w:rsidR="00F31E42" w:rsidRPr="00F542B8">
        <w:rPr>
          <w:b/>
          <w:sz w:val="22"/>
          <w:szCs w:val="22"/>
          <w:lang w:val="cs-CZ"/>
        </w:rPr>
        <w:t>(É)</w:t>
      </w:r>
      <w:r w:rsidRPr="00F542B8">
        <w:rPr>
          <w:b/>
          <w:sz w:val="22"/>
          <w:szCs w:val="22"/>
          <w:lang w:val="cs-CZ"/>
        </w:rPr>
        <w:t xml:space="preserve"> LHŮTA</w:t>
      </w:r>
      <w:r w:rsidR="00F31E42" w:rsidRPr="00F542B8">
        <w:rPr>
          <w:b/>
          <w:sz w:val="22"/>
          <w:szCs w:val="22"/>
          <w:lang w:val="cs-CZ"/>
        </w:rPr>
        <w:t>(Y)</w:t>
      </w:r>
      <w:r w:rsidRPr="00F542B8">
        <w:rPr>
          <w:b/>
          <w:sz w:val="22"/>
          <w:szCs w:val="22"/>
          <w:lang w:val="cs-CZ"/>
        </w:rPr>
        <w:t xml:space="preserve"> 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B54B66" w:rsidRPr="00F542B8" w:rsidRDefault="00B54B66" w:rsidP="00B54B6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Maso: </w:t>
      </w:r>
      <w:r w:rsidR="00F31E42" w:rsidRPr="00F542B8">
        <w:rPr>
          <w:sz w:val="22"/>
          <w:szCs w:val="22"/>
          <w:lang w:val="cs-CZ"/>
        </w:rPr>
        <w:t>2</w:t>
      </w:r>
      <w:r w:rsidRPr="00F542B8">
        <w:rPr>
          <w:sz w:val="22"/>
          <w:szCs w:val="22"/>
          <w:lang w:val="cs-CZ"/>
        </w:rPr>
        <w:t xml:space="preserve"> dn</w:t>
      </w:r>
      <w:r w:rsidR="00F31E42" w:rsidRPr="00F542B8">
        <w:rPr>
          <w:sz w:val="22"/>
          <w:szCs w:val="22"/>
          <w:lang w:val="cs-CZ"/>
        </w:rPr>
        <w:t>y</w:t>
      </w:r>
    </w:p>
    <w:p w:rsidR="00B54B66" w:rsidRPr="00F542B8" w:rsidRDefault="00B54B66" w:rsidP="00B54B6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Mléko: Bez ochranných lhůt.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11.</w:t>
      </w:r>
      <w:r w:rsidRPr="00F542B8">
        <w:rPr>
          <w:b/>
          <w:sz w:val="22"/>
          <w:szCs w:val="22"/>
          <w:lang w:val="cs-CZ"/>
        </w:rPr>
        <w:tab/>
        <w:t>ZVLÁŠTNÍ OPATŘENÍ PRO UCHOVÁVÁNÍ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Uchovávat mimo dosah dětí.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Uchovávejte při teplotě do 25</w:t>
      </w:r>
      <w:r w:rsidR="009646AA" w:rsidRPr="00F542B8">
        <w:rPr>
          <w:sz w:val="22"/>
          <w:szCs w:val="22"/>
          <w:lang w:val="cs-CZ"/>
        </w:rPr>
        <w:t xml:space="preserve"> </w:t>
      </w:r>
      <w:r w:rsidRPr="00F542B8">
        <w:rPr>
          <w:sz w:val="22"/>
          <w:szCs w:val="22"/>
          <w:lang w:val="cs-CZ"/>
        </w:rPr>
        <w:t>°C.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Nepoužívejte po uplynutí doby použitelnosti uvedené na obal</w:t>
      </w:r>
      <w:r w:rsidR="009646AA" w:rsidRPr="00F542B8">
        <w:rPr>
          <w:sz w:val="22"/>
          <w:szCs w:val="22"/>
          <w:lang w:val="cs-CZ"/>
        </w:rPr>
        <w:t>u</w:t>
      </w:r>
      <w:r w:rsidRPr="00F542B8">
        <w:rPr>
          <w:sz w:val="22"/>
          <w:szCs w:val="22"/>
          <w:lang w:val="cs-CZ"/>
        </w:rPr>
        <w:t>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Doby použitelnosti po prvním otevření vnitřního obalu: 28 dnů.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12.</w:t>
      </w:r>
      <w:r w:rsidRPr="00F542B8">
        <w:rPr>
          <w:b/>
          <w:sz w:val="22"/>
          <w:szCs w:val="22"/>
          <w:lang w:val="cs-CZ"/>
        </w:rPr>
        <w:tab/>
        <w:t>ZVLÁŠTNÍ UPOZORNĚNÍ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Manipulace s přípravkem je zakázána těhotným ženám a osobám s astmatem nebo respiračními problémy.  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Při náhodném potřísnění kůže místo ihned omýt vodou a mýdlem.  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13.</w:t>
      </w:r>
      <w:r w:rsidRPr="00F542B8">
        <w:rPr>
          <w:b/>
          <w:sz w:val="22"/>
          <w:szCs w:val="22"/>
          <w:lang w:val="cs-CZ"/>
        </w:rPr>
        <w:tab/>
        <w:t>ZVLÁŠTNÍ OPATŘENÍ PRO ZNEŠKODŇOVÁNÍ NEPOUŽITÝCH PŘÍPRAVKŮ NEBO ODPADU, POKUD JE JICH TŘEBA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Všechen nepoužitý veterinární léčivý přípravek nebo odpad, který pochází z tohoto přípravku, musí být likvidován podle místních právních předpisů.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14.</w:t>
      </w:r>
      <w:r w:rsidRPr="00F542B8">
        <w:rPr>
          <w:b/>
          <w:sz w:val="22"/>
          <w:szCs w:val="22"/>
          <w:lang w:val="cs-CZ"/>
        </w:rPr>
        <w:tab/>
        <w:t>DATUM POSLEDNÍ REVIZE PŘÍBALOVÉ INFORMACE</w:t>
      </w:r>
    </w:p>
    <w:p w:rsidR="000E7636" w:rsidRPr="00F542B8" w:rsidRDefault="000E7636" w:rsidP="000E7636">
      <w:pPr>
        <w:rPr>
          <w:bCs/>
          <w:sz w:val="22"/>
          <w:szCs w:val="22"/>
          <w:lang w:val="cs-CZ"/>
        </w:rPr>
      </w:pPr>
    </w:p>
    <w:p w:rsidR="000E7636" w:rsidRPr="00F542B8" w:rsidRDefault="00C75864" w:rsidP="000E7636">
      <w:pPr>
        <w:rPr>
          <w:bCs/>
          <w:sz w:val="22"/>
          <w:szCs w:val="22"/>
          <w:lang w:val="cs-CZ"/>
        </w:rPr>
      </w:pPr>
      <w:r w:rsidRPr="00F542B8">
        <w:rPr>
          <w:bCs/>
          <w:sz w:val="22"/>
          <w:szCs w:val="22"/>
          <w:lang w:val="cs-CZ"/>
        </w:rPr>
        <w:t>Září</w:t>
      </w:r>
      <w:r w:rsidR="00C70AB8" w:rsidRPr="00F542B8">
        <w:rPr>
          <w:bCs/>
          <w:sz w:val="22"/>
          <w:szCs w:val="22"/>
          <w:lang w:val="cs-CZ"/>
        </w:rPr>
        <w:t xml:space="preserve"> </w:t>
      </w:r>
      <w:r w:rsidR="00D61BA9" w:rsidRPr="00F542B8">
        <w:rPr>
          <w:bCs/>
          <w:sz w:val="22"/>
          <w:szCs w:val="22"/>
          <w:lang w:val="cs-CZ"/>
        </w:rPr>
        <w:t>202</w:t>
      </w:r>
      <w:r w:rsidR="00C70AB8" w:rsidRPr="00F542B8">
        <w:rPr>
          <w:bCs/>
          <w:sz w:val="22"/>
          <w:szCs w:val="22"/>
          <w:lang w:val="cs-CZ"/>
        </w:rPr>
        <w:t>3</w:t>
      </w:r>
    </w:p>
    <w:p w:rsidR="000E7636" w:rsidRPr="00F542B8" w:rsidRDefault="000E7636" w:rsidP="000E7636">
      <w:pPr>
        <w:rPr>
          <w:b/>
          <w:bCs/>
          <w:sz w:val="22"/>
          <w:szCs w:val="22"/>
          <w:lang w:val="cs-CZ"/>
        </w:rPr>
      </w:pPr>
    </w:p>
    <w:p w:rsidR="000E7636" w:rsidRPr="00F542B8" w:rsidRDefault="000E7636" w:rsidP="000E7636">
      <w:pPr>
        <w:rPr>
          <w:b/>
          <w:sz w:val="22"/>
          <w:szCs w:val="22"/>
          <w:lang w:val="cs-CZ"/>
        </w:rPr>
      </w:pPr>
      <w:r w:rsidRPr="00F542B8">
        <w:rPr>
          <w:b/>
          <w:sz w:val="22"/>
          <w:szCs w:val="22"/>
          <w:lang w:val="cs-CZ"/>
        </w:rPr>
        <w:t>15.</w:t>
      </w:r>
      <w:r w:rsidRPr="00F542B8">
        <w:rPr>
          <w:b/>
          <w:sz w:val="22"/>
          <w:szCs w:val="22"/>
          <w:lang w:val="cs-CZ"/>
        </w:rPr>
        <w:tab/>
        <w:t>DALŠÍ INFORMACE</w:t>
      </w:r>
    </w:p>
    <w:p w:rsidR="000E7636" w:rsidRPr="00F542B8" w:rsidRDefault="000E7636" w:rsidP="000E7636">
      <w:pPr>
        <w:widowControl w:val="0"/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V důsledku svého abortivního účinku u skotu, koní a ovcí je kontraindikováno užití tohoto preparátu během březosti, vyjma případů, kdy je abortus indikován.  U březích klisen vyvolávají prostaglandiny abortivní účinek v dávkách od 1,25 - 2 mg. Indukce porodu u prasnic v příliš časném stadiu březosti může vést k</w:t>
      </w:r>
      <w:r w:rsidR="00F542B8">
        <w:rPr>
          <w:sz w:val="22"/>
          <w:szCs w:val="22"/>
          <w:lang w:val="cs-CZ"/>
        </w:rPr>
        <w:t> </w:t>
      </w:r>
      <w:r w:rsidRPr="00F542B8">
        <w:rPr>
          <w:sz w:val="22"/>
          <w:szCs w:val="22"/>
          <w:lang w:val="cs-CZ"/>
        </w:rPr>
        <w:t xml:space="preserve">narození neživotných selat.  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Pouze pro zvířata.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Veterinární přípravek je vydáván pouze na předpis. 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0E7636" w:rsidRPr="00F542B8" w:rsidRDefault="000E7636" w:rsidP="000E7636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Na trhu nemusí být všechny velikosti balení.</w:t>
      </w:r>
    </w:p>
    <w:p w:rsidR="000E7636" w:rsidRPr="00F542B8" w:rsidRDefault="000E7636" w:rsidP="000E7636">
      <w:pPr>
        <w:rPr>
          <w:sz w:val="22"/>
          <w:szCs w:val="22"/>
          <w:lang w:val="cs-CZ"/>
        </w:rPr>
      </w:pPr>
    </w:p>
    <w:p w:rsidR="005B7CB1" w:rsidRPr="00F542B8" w:rsidRDefault="005B7CB1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registraci:</w:t>
      </w:r>
    </w:p>
    <w:p w:rsidR="005B7CB1" w:rsidRPr="00F542B8" w:rsidRDefault="005B7CB1" w:rsidP="005B7CB1">
      <w:pPr>
        <w:rPr>
          <w:sz w:val="22"/>
          <w:szCs w:val="22"/>
          <w:lang w:val="cs-CZ"/>
        </w:rPr>
      </w:pPr>
    </w:p>
    <w:p w:rsidR="005B7CB1" w:rsidRPr="00F542B8" w:rsidRDefault="005B7CB1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Zoetis Česká republika, s.r.o.</w:t>
      </w:r>
    </w:p>
    <w:p w:rsidR="005B7CB1" w:rsidRPr="00F542B8" w:rsidRDefault="00B77ED5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Náměstí 14. října 642/</w:t>
      </w:r>
      <w:r w:rsidR="005B7CB1" w:rsidRPr="00F542B8">
        <w:rPr>
          <w:sz w:val="22"/>
          <w:szCs w:val="22"/>
          <w:lang w:val="cs-CZ"/>
        </w:rPr>
        <w:t>17, 150 00 Praha 5</w:t>
      </w:r>
    </w:p>
    <w:p w:rsidR="005B7CB1" w:rsidRPr="00F542B8" w:rsidRDefault="005B7CB1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Česká republika </w:t>
      </w:r>
    </w:p>
    <w:p w:rsidR="005B7CB1" w:rsidRPr="00F542B8" w:rsidRDefault="005B7CB1" w:rsidP="005B7CB1">
      <w:pPr>
        <w:rPr>
          <w:sz w:val="22"/>
          <w:szCs w:val="22"/>
          <w:lang w:val="cs-CZ"/>
        </w:rPr>
      </w:pPr>
    </w:p>
    <w:p w:rsidR="005B7CB1" w:rsidRPr="00F542B8" w:rsidRDefault="005B7CB1" w:rsidP="009C7797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>Tel:       +420</w:t>
      </w:r>
      <w:r w:rsidR="009C7797" w:rsidRPr="00F542B8">
        <w:rPr>
          <w:sz w:val="22"/>
          <w:szCs w:val="22"/>
          <w:lang w:val="cs-CZ"/>
        </w:rPr>
        <w:t> 257 101</w:t>
      </w:r>
      <w:r w:rsidRPr="00F542B8">
        <w:rPr>
          <w:sz w:val="22"/>
          <w:szCs w:val="22"/>
          <w:lang w:val="cs-CZ"/>
        </w:rPr>
        <w:t> 111</w:t>
      </w:r>
    </w:p>
    <w:p w:rsidR="005B7CB1" w:rsidRPr="00F542B8" w:rsidRDefault="005B7CB1" w:rsidP="005B7CB1">
      <w:pPr>
        <w:rPr>
          <w:sz w:val="22"/>
          <w:szCs w:val="22"/>
          <w:lang w:val="cs-CZ"/>
        </w:rPr>
      </w:pPr>
      <w:r w:rsidRPr="00F542B8">
        <w:rPr>
          <w:sz w:val="22"/>
          <w:szCs w:val="22"/>
          <w:lang w:val="cs-CZ"/>
        </w:rPr>
        <w:t xml:space="preserve">E-mail: </w:t>
      </w:r>
      <w:hyperlink r:id="rId7" w:tooltip="blocked::mailto:infovet.cz@zoetis.com" w:history="1">
        <w:r w:rsidRPr="00F542B8">
          <w:rPr>
            <w:rStyle w:val="Hypertextovodkaz"/>
            <w:sz w:val="22"/>
            <w:szCs w:val="22"/>
            <w:lang w:val="cs-CZ"/>
          </w:rPr>
          <w:t>infovet.cz@zoetis.com</w:t>
        </w:r>
      </w:hyperlink>
      <w:bookmarkStart w:id="0" w:name="_GoBack"/>
      <w:bookmarkEnd w:id="0"/>
    </w:p>
    <w:sectPr w:rsidR="005B7CB1" w:rsidRPr="00F542B8">
      <w:head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D8" w:rsidRDefault="009656D8" w:rsidP="00C70AB8">
      <w:r>
        <w:separator/>
      </w:r>
    </w:p>
  </w:endnote>
  <w:endnote w:type="continuationSeparator" w:id="0">
    <w:p w:rsidR="009656D8" w:rsidRDefault="009656D8" w:rsidP="00C7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D8" w:rsidRDefault="009656D8" w:rsidP="00C70AB8">
      <w:r>
        <w:separator/>
      </w:r>
    </w:p>
  </w:footnote>
  <w:footnote w:type="continuationSeparator" w:id="0">
    <w:p w:rsidR="009656D8" w:rsidRDefault="009656D8" w:rsidP="00C7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B8" w:rsidRDefault="00C70A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50"/>
    <w:multiLevelType w:val="hybridMultilevel"/>
    <w:tmpl w:val="DD76A6D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36"/>
    <w:rsid w:val="000C1079"/>
    <w:rsid w:val="000E7636"/>
    <w:rsid w:val="001124F7"/>
    <w:rsid w:val="002112EE"/>
    <w:rsid w:val="00226653"/>
    <w:rsid w:val="002F04E5"/>
    <w:rsid w:val="00381D90"/>
    <w:rsid w:val="003E41E8"/>
    <w:rsid w:val="00423F05"/>
    <w:rsid w:val="005B7CB1"/>
    <w:rsid w:val="00704302"/>
    <w:rsid w:val="007A5414"/>
    <w:rsid w:val="00821552"/>
    <w:rsid w:val="009646AA"/>
    <w:rsid w:val="009656D8"/>
    <w:rsid w:val="009C7797"/>
    <w:rsid w:val="00A90BF9"/>
    <w:rsid w:val="00B24251"/>
    <w:rsid w:val="00B54B66"/>
    <w:rsid w:val="00B77ED5"/>
    <w:rsid w:val="00B93CDE"/>
    <w:rsid w:val="00C70AB8"/>
    <w:rsid w:val="00C75864"/>
    <w:rsid w:val="00D61BA9"/>
    <w:rsid w:val="00DB2F7D"/>
    <w:rsid w:val="00E05AC8"/>
    <w:rsid w:val="00F31E42"/>
    <w:rsid w:val="00F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0B2B-11C3-4CC3-8360-28AD2DC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636"/>
    <w:rPr>
      <w:lang w:val="nl-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E7636"/>
    <w:pPr>
      <w:spacing w:before="200"/>
      <w:ind w:left="284"/>
    </w:pPr>
    <w:rPr>
      <w:sz w:val="24"/>
    </w:rPr>
  </w:style>
  <w:style w:type="paragraph" w:styleId="Textvysvtlivek">
    <w:name w:val="endnote text"/>
    <w:basedOn w:val="Normln"/>
    <w:link w:val="TextvysvtlivekChar"/>
    <w:semiHidden/>
    <w:rsid w:val="000E7636"/>
    <w:pPr>
      <w:ind w:left="567" w:hanging="567"/>
    </w:pPr>
    <w:rPr>
      <w:sz w:val="22"/>
      <w:szCs w:val="22"/>
      <w:lang w:val="cs-CZ"/>
    </w:rPr>
  </w:style>
  <w:style w:type="paragraph" w:styleId="Nzev">
    <w:name w:val="Title"/>
    <w:basedOn w:val="Normln"/>
    <w:link w:val="NzevChar"/>
    <w:qFormat/>
    <w:rsid w:val="000E7636"/>
    <w:pPr>
      <w:jc w:val="center"/>
    </w:pPr>
    <w:rPr>
      <w:b/>
      <w:bCs/>
      <w:sz w:val="24"/>
      <w:szCs w:val="24"/>
      <w:lang w:val="cs-CZ"/>
    </w:rPr>
  </w:style>
  <w:style w:type="character" w:customStyle="1" w:styleId="NzevChar">
    <w:name w:val="Název Char"/>
    <w:link w:val="Nzev"/>
    <w:rsid w:val="000E7636"/>
    <w:rPr>
      <w:b/>
      <w:bCs/>
      <w:sz w:val="24"/>
      <w:szCs w:val="24"/>
      <w:lang w:val="cs-CZ" w:eastAsia="en-US" w:bidi="ar-SA"/>
    </w:rPr>
  </w:style>
  <w:style w:type="character" w:customStyle="1" w:styleId="Zkladntextodsazen2Char">
    <w:name w:val="Základní text odsazený 2 Char"/>
    <w:link w:val="Zkladntextodsazen2"/>
    <w:rsid w:val="000E7636"/>
    <w:rPr>
      <w:sz w:val="24"/>
      <w:lang w:val="nl-NL" w:eastAsia="en-US" w:bidi="ar-SA"/>
    </w:rPr>
  </w:style>
  <w:style w:type="character" w:customStyle="1" w:styleId="TextvysvtlivekChar">
    <w:name w:val="Text vysvětlivek Char"/>
    <w:link w:val="Textvysvtlivek"/>
    <w:semiHidden/>
    <w:rsid w:val="000E7636"/>
    <w:rPr>
      <w:sz w:val="22"/>
      <w:szCs w:val="22"/>
      <w:lang w:val="cs-CZ" w:eastAsia="en-US" w:bidi="ar-SA"/>
    </w:rPr>
  </w:style>
  <w:style w:type="character" w:styleId="Hypertextovodkaz">
    <w:name w:val="Hyperlink"/>
    <w:rsid w:val="005B7CB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2F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F7D"/>
    <w:rPr>
      <w:rFonts w:ascii="Tahoma" w:hAnsi="Tahoma" w:cs="Tahoma"/>
      <w:sz w:val="16"/>
      <w:szCs w:val="16"/>
      <w:lang w:val="nl-NL" w:eastAsia="en-US"/>
    </w:rPr>
  </w:style>
  <w:style w:type="paragraph" w:styleId="Zhlav">
    <w:name w:val="header"/>
    <w:basedOn w:val="Normln"/>
    <w:link w:val="ZhlavChar"/>
    <w:uiPriority w:val="99"/>
    <w:rsid w:val="00C70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AB8"/>
    <w:rPr>
      <w:lang w:val="nl-NL" w:eastAsia="en-US"/>
    </w:rPr>
  </w:style>
  <w:style w:type="paragraph" w:styleId="Zpat">
    <w:name w:val="footer"/>
    <w:basedOn w:val="Normln"/>
    <w:link w:val="ZpatChar"/>
    <w:rsid w:val="00C70A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0AB8"/>
    <w:rPr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vet.cz@zoet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USKVBL</Company>
  <LinksUpToDate>false</LinksUpToDate>
  <CharactersWithSpaces>8973</CharactersWithSpaces>
  <SharedDoc>false</SharedDoc>
  <HLinks>
    <vt:vector size="6" baseType="variant"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mailto:infovet.cz@zoetis.com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Neugebauerová Kateřina</dc:creator>
  <cp:keywords/>
  <cp:lastModifiedBy>Nepejchalová Leona</cp:lastModifiedBy>
  <cp:revision>6</cp:revision>
  <cp:lastPrinted>2016-10-10T08:37:00Z</cp:lastPrinted>
  <dcterms:created xsi:type="dcterms:W3CDTF">2023-08-24T09:00:00Z</dcterms:created>
  <dcterms:modified xsi:type="dcterms:W3CDTF">2023-09-18T09:36:00Z</dcterms:modified>
</cp:coreProperties>
</file>