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608B2" w14:textId="77777777" w:rsidR="00CF6BA7" w:rsidRDefault="00CF6BA7" w:rsidP="00CF6BA7">
      <w:pPr>
        <w:tabs>
          <w:tab w:val="clear" w:pos="567"/>
        </w:tabs>
        <w:spacing w:line="240" w:lineRule="auto"/>
        <w:rPr>
          <w:szCs w:val="22"/>
        </w:rPr>
      </w:pPr>
    </w:p>
    <w:p w14:paraId="49391EB8" w14:textId="77777777" w:rsidR="00EB165A" w:rsidRDefault="00EB165A" w:rsidP="00CF6BA7">
      <w:pPr>
        <w:tabs>
          <w:tab w:val="clear" w:pos="567"/>
        </w:tabs>
        <w:spacing w:line="240" w:lineRule="auto"/>
        <w:rPr>
          <w:szCs w:val="22"/>
        </w:rPr>
      </w:pPr>
    </w:p>
    <w:p w14:paraId="2F5C6139" w14:textId="77777777" w:rsidR="00EB165A" w:rsidRDefault="00EB165A" w:rsidP="00CF6BA7">
      <w:pPr>
        <w:tabs>
          <w:tab w:val="clear" w:pos="567"/>
        </w:tabs>
        <w:spacing w:line="240" w:lineRule="auto"/>
        <w:rPr>
          <w:szCs w:val="22"/>
        </w:rPr>
      </w:pPr>
    </w:p>
    <w:p w14:paraId="060A932A" w14:textId="77777777" w:rsidR="00EB165A" w:rsidRDefault="00EB165A" w:rsidP="00CF6BA7">
      <w:pPr>
        <w:tabs>
          <w:tab w:val="clear" w:pos="567"/>
        </w:tabs>
        <w:spacing w:line="240" w:lineRule="auto"/>
        <w:rPr>
          <w:szCs w:val="22"/>
        </w:rPr>
      </w:pPr>
    </w:p>
    <w:p w14:paraId="5EBC625C" w14:textId="77777777" w:rsidR="00EB165A" w:rsidRDefault="00EB165A" w:rsidP="00CF6BA7">
      <w:pPr>
        <w:tabs>
          <w:tab w:val="clear" w:pos="567"/>
        </w:tabs>
        <w:spacing w:line="240" w:lineRule="auto"/>
        <w:rPr>
          <w:szCs w:val="22"/>
        </w:rPr>
      </w:pPr>
    </w:p>
    <w:p w14:paraId="7C1654C9" w14:textId="77777777" w:rsidR="00EB165A" w:rsidRPr="00474C50" w:rsidRDefault="00EB165A" w:rsidP="00CF6BA7">
      <w:pPr>
        <w:tabs>
          <w:tab w:val="clear" w:pos="567"/>
        </w:tabs>
        <w:spacing w:line="240" w:lineRule="auto"/>
        <w:rPr>
          <w:szCs w:val="22"/>
        </w:rPr>
      </w:pPr>
    </w:p>
    <w:p w14:paraId="7BC86ECD" w14:textId="77777777" w:rsidR="00CF6BA7" w:rsidRPr="00474C50" w:rsidRDefault="00CF6BA7" w:rsidP="00CF6BA7">
      <w:pPr>
        <w:tabs>
          <w:tab w:val="clear" w:pos="567"/>
        </w:tabs>
        <w:spacing w:line="240" w:lineRule="auto"/>
        <w:rPr>
          <w:szCs w:val="22"/>
        </w:rPr>
      </w:pPr>
    </w:p>
    <w:p w14:paraId="534F9C04" w14:textId="77777777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302134DF" w14:textId="77777777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04F62CAD" w14:textId="77777777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731C9E45" w14:textId="77777777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2BF0AA77" w14:textId="77777777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4AC85233" w14:textId="77777777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0206467F" w14:textId="77777777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45CB330E" w14:textId="77777777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1F726D6B" w14:textId="77777777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03DC5760" w14:textId="77777777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3710A583" w14:textId="77777777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14AA6FCE" w14:textId="77777777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698FE3D0" w14:textId="77777777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50238252" w14:textId="77777777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7D4B62DF" w14:textId="77777777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501CF21B" w14:textId="77777777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0180E1A2" w14:textId="77777777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485CC5F0" w14:textId="77777777" w:rsidR="003C7700" w:rsidRPr="00474C50" w:rsidRDefault="003C7700" w:rsidP="003C7700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2A2269F9" w14:textId="067EEC03" w:rsidR="003C7700" w:rsidRDefault="003C7700" w:rsidP="003C7700">
      <w:pPr>
        <w:tabs>
          <w:tab w:val="clear" w:pos="567"/>
        </w:tabs>
        <w:spacing w:line="240" w:lineRule="auto"/>
        <w:jc w:val="center"/>
        <w:rPr>
          <w:b/>
        </w:rPr>
      </w:pPr>
      <w:r>
        <w:br w:type="page"/>
      </w:r>
      <w:r>
        <w:rPr>
          <w:b/>
        </w:rPr>
        <w:lastRenderedPageBreak/>
        <w:t>PŘÍBALOVÁ INFORMACE</w:t>
      </w:r>
    </w:p>
    <w:p w14:paraId="736DFD3A" w14:textId="77777777" w:rsidR="000F0673" w:rsidRPr="00474C50" w:rsidRDefault="000F0673" w:rsidP="003C7700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14:paraId="054835F9" w14:textId="70440536" w:rsidR="003C7700" w:rsidRDefault="003C7700">
      <w:pPr>
        <w:jc w:val="center"/>
        <w:rPr>
          <w:b/>
        </w:rPr>
      </w:pPr>
      <w:r>
        <w:rPr>
          <w:b/>
        </w:rPr>
        <w:t xml:space="preserve">HUVAMOX 800 mg/g prášek pro </w:t>
      </w:r>
      <w:r w:rsidR="00FA3260">
        <w:rPr>
          <w:b/>
        </w:rPr>
        <w:t xml:space="preserve">podání </w:t>
      </w:r>
      <w:r>
        <w:rPr>
          <w:b/>
        </w:rPr>
        <w:t xml:space="preserve">v pitné vodě pro </w:t>
      </w:r>
      <w:r w:rsidR="0011400B" w:rsidRPr="0011400B">
        <w:rPr>
          <w:b/>
        </w:rPr>
        <w:t>kura domácího</w:t>
      </w:r>
      <w:r>
        <w:rPr>
          <w:b/>
        </w:rPr>
        <w:t>, krůty, kachny a</w:t>
      </w:r>
      <w:r w:rsidR="00BE627D">
        <w:rPr>
          <w:b/>
        </w:rPr>
        <w:t> </w:t>
      </w:r>
      <w:r>
        <w:rPr>
          <w:b/>
        </w:rPr>
        <w:t xml:space="preserve">prasata </w:t>
      </w:r>
    </w:p>
    <w:p w14:paraId="477A1D5F" w14:textId="77777777" w:rsidR="009B45F2" w:rsidRDefault="009B45F2">
      <w:pPr>
        <w:jc w:val="center"/>
        <w:rPr>
          <w:rFonts w:cs="Arial"/>
          <w:szCs w:val="22"/>
        </w:rPr>
      </w:pPr>
    </w:p>
    <w:p w14:paraId="3DAEE20E" w14:textId="77777777" w:rsidR="0043028B" w:rsidRPr="0043028B" w:rsidRDefault="0043028B" w:rsidP="003C770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69AB58A" w14:textId="3EF47426" w:rsidR="003C7700" w:rsidRPr="00474C50" w:rsidRDefault="00C80BDE" w:rsidP="003C7700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</w:t>
      </w:r>
      <w:r w:rsidR="003C7700">
        <w:rPr>
          <w:b/>
          <w:highlight w:val="lightGray"/>
        </w:rPr>
        <w:t>.</w:t>
      </w:r>
      <w:r w:rsidR="003C7700">
        <w:rPr>
          <w:b/>
        </w:rPr>
        <w:tab/>
      </w:r>
      <w:r>
        <w:rPr>
          <w:b/>
        </w:rPr>
        <w:t>Název veterinárního léčivého přípravku</w:t>
      </w:r>
    </w:p>
    <w:p w14:paraId="6833485F" w14:textId="77777777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126C4B2B" w14:textId="439401ED" w:rsidR="003C7700" w:rsidRDefault="003C7700" w:rsidP="003C7700">
      <w:pPr>
        <w:rPr>
          <w:rFonts w:cs="Arial"/>
          <w:szCs w:val="22"/>
        </w:rPr>
      </w:pPr>
      <w:r>
        <w:t xml:space="preserve">HUVAMOX 800 mg/g prášek pro </w:t>
      </w:r>
      <w:r w:rsidR="00FA3260">
        <w:t xml:space="preserve">podání </w:t>
      </w:r>
      <w:r>
        <w:t xml:space="preserve">v pitné vodě pro </w:t>
      </w:r>
      <w:r w:rsidR="0011400B" w:rsidRPr="0011400B">
        <w:t>kura domácího</w:t>
      </w:r>
      <w:r>
        <w:t xml:space="preserve">, krůty, kachny a prasata </w:t>
      </w:r>
    </w:p>
    <w:p w14:paraId="34513E1A" w14:textId="77777777" w:rsidR="000F0673" w:rsidRPr="00474C50" w:rsidRDefault="000F0673" w:rsidP="00E827DD">
      <w:pPr>
        <w:tabs>
          <w:tab w:val="clear" w:pos="567"/>
        </w:tabs>
        <w:spacing w:line="240" w:lineRule="auto"/>
        <w:rPr>
          <w:szCs w:val="22"/>
        </w:rPr>
      </w:pPr>
    </w:p>
    <w:p w14:paraId="321175EB" w14:textId="77777777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1D0CE8F2" w14:textId="7980B692" w:rsidR="003C7700" w:rsidRPr="00474C50" w:rsidRDefault="00C80BDE" w:rsidP="003C7700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2</w:t>
      </w:r>
      <w:r w:rsidR="003C7700">
        <w:rPr>
          <w:b/>
          <w:highlight w:val="lightGray"/>
        </w:rPr>
        <w:t>.</w:t>
      </w:r>
      <w:r w:rsidR="003C7700">
        <w:rPr>
          <w:b/>
        </w:rPr>
        <w:tab/>
      </w:r>
      <w:r>
        <w:rPr>
          <w:b/>
        </w:rPr>
        <w:t>Složení</w:t>
      </w:r>
    </w:p>
    <w:p w14:paraId="13514E87" w14:textId="77777777" w:rsidR="003C7700" w:rsidRDefault="003C7700" w:rsidP="003C770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13E56E1" w14:textId="77777777" w:rsidR="003C7700" w:rsidRPr="00527622" w:rsidRDefault="003C7700" w:rsidP="003C7700">
      <w:pPr>
        <w:tabs>
          <w:tab w:val="clear" w:pos="567"/>
        </w:tabs>
        <w:spacing w:line="240" w:lineRule="auto"/>
        <w:rPr>
          <w:szCs w:val="22"/>
        </w:rPr>
      </w:pPr>
      <w:r>
        <w:t>Každý g (gram) obsahuje:</w:t>
      </w:r>
    </w:p>
    <w:p w14:paraId="3F97B44E" w14:textId="77777777" w:rsidR="003C7700" w:rsidRPr="00527622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39ECE183" w14:textId="3DA47454" w:rsidR="003C7700" w:rsidRPr="00527622" w:rsidRDefault="00FA3260" w:rsidP="003C7700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 xml:space="preserve">Léčivá </w:t>
      </w:r>
      <w:r w:rsidR="003C7700">
        <w:rPr>
          <w:b/>
        </w:rPr>
        <w:t>látka:</w:t>
      </w:r>
    </w:p>
    <w:p w14:paraId="4F943BE0" w14:textId="77777777" w:rsidR="003C7700" w:rsidRDefault="003C7700" w:rsidP="007879D8">
      <w:pPr>
        <w:tabs>
          <w:tab w:val="clear" w:pos="567"/>
        </w:tabs>
        <w:spacing w:line="240" w:lineRule="auto"/>
        <w:ind w:firstLine="708"/>
        <w:rPr>
          <w:iCs/>
          <w:szCs w:val="22"/>
        </w:rPr>
      </w:pPr>
    </w:p>
    <w:p w14:paraId="04C9DFB0" w14:textId="4DC956FB" w:rsidR="007879D8" w:rsidRPr="007879D8" w:rsidRDefault="007879D8" w:rsidP="007879D8">
      <w:pPr>
        <w:rPr>
          <w:rFonts w:eastAsia="Calibri" w:cs="Arial"/>
          <w:bCs/>
          <w:szCs w:val="22"/>
        </w:rPr>
      </w:pPr>
      <w:proofErr w:type="spellStart"/>
      <w:r>
        <w:t>Amoxicillin</w:t>
      </w:r>
      <w:r w:rsidR="00FA3260">
        <w:t>um</w:t>
      </w:r>
      <w:proofErr w:type="spellEnd"/>
      <w:r>
        <w:t xml:space="preserve"> ………………………………697 mg</w:t>
      </w:r>
    </w:p>
    <w:p w14:paraId="4F971836" w14:textId="690F8D76" w:rsidR="007879D8" w:rsidRPr="007879D8" w:rsidRDefault="007879D8" w:rsidP="007879D8">
      <w:pPr>
        <w:rPr>
          <w:rFonts w:eastAsia="Calibri" w:cs="Arial"/>
          <w:szCs w:val="22"/>
        </w:rPr>
      </w:pPr>
      <w:r>
        <w:t xml:space="preserve">(odpovídá 800 mg </w:t>
      </w:r>
      <w:proofErr w:type="spellStart"/>
      <w:r>
        <w:t>amoxicil</w:t>
      </w:r>
      <w:r w:rsidR="00FA3260">
        <w:t>l</w:t>
      </w:r>
      <w:r>
        <w:t>in</w:t>
      </w:r>
      <w:r w:rsidR="00FA3260">
        <w:t>um</w:t>
      </w:r>
      <w:proofErr w:type="spellEnd"/>
      <w:r>
        <w:t xml:space="preserve"> </w:t>
      </w:r>
      <w:proofErr w:type="spellStart"/>
      <w:r w:rsidR="00FA3260">
        <w:t>trihydricum</w:t>
      </w:r>
      <w:proofErr w:type="spellEnd"/>
      <w:r>
        <w:t>).</w:t>
      </w:r>
    </w:p>
    <w:p w14:paraId="7288AF13" w14:textId="77777777" w:rsidR="007879D8" w:rsidRDefault="007879D8" w:rsidP="007879D8">
      <w:pPr>
        <w:tabs>
          <w:tab w:val="clear" w:pos="567"/>
        </w:tabs>
        <w:spacing w:line="240" w:lineRule="auto"/>
        <w:ind w:firstLine="708"/>
        <w:rPr>
          <w:iCs/>
          <w:szCs w:val="22"/>
        </w:rPr>
      </w:pPr>
    </w:p>
    <w:p w14:paraId="2E29009D" w14:textId="77777777" w:rsidR="007879D8" w:rsidRPr="00474C50" w:rsidRDefault="003424BE" w:rsidP="003424BE">
      <w:pPr>
        <w:tabs>
          <w:tab w:val="clear" w:pos="567"/>
        </w:tabs>
        <w:spacing w:line="240" w:lineRule="auto"/>
        <w:rPr>
          <w:iCs/>
          <w:szCs w:val="22"/>
        </w:rPr>
      </w:pPr>
      <w:r>
        <w:t>Bílý až nažloutlý prášek.</w:t>
      </w:r>
    </w:p>
    <w:p w14:paraId="6AD19E7A" w14:textId="77777777" w:rsidR="00C80BDE" w:rsidRDefault="00C80BDE" w:rsidP="00C80BDE">
      <w:pPr>
        <w:tabs>
          <w:tab w:val="clear" w:pos="567"/>
        </w:tabs>
        <w:spacing w:line="240" w:lineRule="auto"/>
        <w:rPr>
          <w:szCs w:val="22"/>
        </w:rPr>
      </w:pPr>
    </w:p>
    <w:p w14:paraId="01D3A273" w14:textId="77777777" w:rsidR="00C80BDE" w:rsidRPr="00881B0D" w:rsidRDefault="00C80BDE" w:rsidP="00C80BDE">
      <w:pPr>
        <w:tabs>
          <w:tab w:val="clear" w:pos="567"/>
        </w:tabs>
        <w:spacing w:line="240" w:lineRule="auto"/>
        <w:rPr>
          <w:szCs w:val="22"/>
        </w:rPr>
      </w:pPr>
    </w:p>
    <w:p w14:paraId="06B9AC6E" w14:textId="3B7E12C0" w:rsidR="00C80BDE" w:rsidRPr="00474C50" w:rsidRDefault="00C80BDE" w:rsidP="00C80BDE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3.</w:t>
      </w:r>
      <w:r>
        <w:rPr>
          <w:b/>
        </w:rPr>
        <w:tab/>
        <w:t>Cílové druhy zvířat</w:t>
      </w:r>
    </w:p>
    <w:p w14:paraId="1C18A00D" w14:textId="77777777" w:rsidR="00C80BDE" w:rsidRDefault="00C80BDE" w:rsidP="00C80BDE">
      <w:pPr>
        <w:tabs>
          <w:tab w:val="clear" w:pos="567"/>
        </w:tabs>
        <w:spacing w:line="240" w:lineRule="auto"/>
        <w:rPr>
          <w:szCs w:val="22"/>
        </w:rPr>
      </w:pPr>
    </w:p>
    <w:p w14:paraId="77C0CD04" w14:textId="1BD08F05" w:rsidR="00C80BDE" w:rsidRPr="00E54AF5" w:rsidRDefault="00C80BDE" w:rsidP="00C80BD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Kur domácí (brojleři, kuřice, pro reprodukci), krůty (brojleři, pro reprodukci), kachny (brojleři, pro reprodukci) a prasata.</w:t>
      </w:r>
    </w:p>
    <w:p w14:paraId="6A2F1CEE" w14:textId="77777777" w:rsidR="00C80BDE" w:rsidRDefault="00C80BDE" w:rsidP="003C7700">
      <w:pPr>
        <w:tabs>
          <w:tab w:val="clear" w:pos="567"/>
        </w:tabs>
        <w:spacing w:line="240" w:lineRule="auto"/>
        <w:rPr>
          <w:szCs w:val="22"/>
        </w:rPr>
      </w:pPr>
    </w:p>
    <w:p w14:paraId="238D6513" w14:textId="77777777" w:rsidR="00C80BDE" w:rsidRPr="00474C50" w:rsidRDefault="00C80BDE" w:rsidP="003C7700">
      <w:pPr>
        <w:tabs>
          <w:tab w:val="clear" w:pos="567"/>
        </w:tabs>
        <w:spacing w:line="240" w:lineRule="auto"/>
        <w:rPr>
          <w:szCs w:val="22"/>
        </w:rPr>
      </w:pPr>
    </w:p>
    <w:p w14:paraId="5E9A4848" w14:textId="2B0B7581" w:rsidR="003C7700" w:rsidRPr="00474C50" w:rsidRDefault="003C7700" w:rsidP="003C7700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4.</w:t>
      </w:r>
      <w:r>
        <w:rPr>
          <w:b/>
        </w:rPr>
        <w:tab/>
      </w:r>
      <w:r w:rsidR="00C80BDE">
        <w:rPr>
          <w:b/>
        </w:rPr>
        <w:t>Indikace pro použití</w:t>
      </w:r>
    </w:p>
    <w:p w14:paraId="5FD3E8C4" w14:textId="77777777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27F2F4B7" w14:textId="37D8CBFD" w:rsidR="0011400B" w:rsidRPr="00E54AF5" w:rsidRDefault="0011400B" w:rsidP="0011400B">
      <w:pPr>
        <w:tabs>
          <w:tab w:val="clear" w:pos="567"/>
        </w:tabs>
        <w:spacing w:line="240" w:lineRule="auto"/>
        <w:rPr>
          <w:szCs w:val="22"/>
        </w:rPr>
      </w:pPr>
      <w:bookmarkStart w:id="0" w:name="_Hlk44665719"/>
      <w:bookmarkStart w:id="1" w:name="_Hlk25316505"/>
      <w:r>
        <w:t xml:space="preserve">Kur domácí, krůty a kachny: léčba infekcí </w:t>
      </w:r>
      <w:r w:rsidR="006B61AB">
        <w:t>vyvolaných</w:t>
      </w:r>
      <w:r>
        <w:t xml:space="preserve"> bakteriemi citlivými k amoxicilinu.</w:t>
      </w:r>
    </w:p>
    <w:p w14:paraId="2EA2DD35" w14:textId="77777777" w:rsidR="0011400B" w:rsidRPr="00236EA0" w:rsidRDefault="0011400B" w:rsidP="0011400B">
      <w:pPr>
        <w:tabs>
          <w:tab w:val="clear" w:pos="567"/>
        </w:tabs>
        <w:spacing w:line="240" w:lineRule="auto"/>
        <w:rPr>
          <w:szCs w:val="22"/>
        </w:rPr>
      </w:pPr>
    </w:p>
    <w:p w14:paraId="390D1418" w14:textId="71A7A2A9" w:rsidR="0011400B" w:rsidRDefault="0011400B" w:rsidP="0011400B">
      <w:pPr>
        <w:pStyle w:val="HPRAMainBodyText"/>
        <w:jc w:val="both"/>
        <w:rPr>
          <w:szCs w:val="22"/>
        </w:rPr>
      </w:pPr>
      <w:bookmarkStart w:id="2" w:name="_Hlk49957886"/>
      <w:bookmarkEnd w:id="0"/>
      <w:r>
        <w:rPr>
          <w:rFonts w:ascii="Times New Roman" w:hAnsi="Times New Roman"/>
          <w:sz w:val="22"/>
        </w:rPr>
        <w:t>Prasata</w:t>
      </w:r>
      <w:r w:rsidRPr="00AF0107">
        <w:rPr>
          <w:rFonts w:ascii="Times New Roman" w:hAnsi="Times New Roman"/>
          <w:sz w:val="22"/>
        </w:rPr>
        <w:t>:</w:t>
      </w:r>
      <w:r w:rsidRPr="00252289">
        <w:rPr>
          <w:rFonts w:ascii="Times New Roman" w:hAnsi="Times New Roman"/>
          <w:b/>
          <w:sz w:val="22"/>
        </w:rPr>
        <w:t xml:space="preserve"> </w:t>
      </w:r>
      <w:r w:rsidRPr="00252289">
        <w:rPr>
          <w:rFonts w:ascii="Times New Roman" w:hAnsi="Times New Roman"/>
          <w:sz w:val="22"/>
        </w:rPr>
        <w:t>l</w:t>
      </w:r>
      <w:r>
        <w:rPr>
          <w:rFonts w:ascii="Times New Roman" w:hAnsi="Times New Roman"/>
          <w:sz w:val="22"/>
        </w:rPr>
        <w:t xml:space="preserve">éčba </w:t>
      </w:r>
      <w:proofErr w:type="spellStart"/>
      <w:r>
        <w:rPr>
          <w:rFonts w:ascii="Times New Roman" w:hAnsi="Times New Roman"/>
          <w:sz w:val="22"/>
        </w:rPr>
        <w:t>pasteurelózy</w:t>
      </w:r>
      <w:proofErr w:type="spellEnd"/>
      <w:r>
        <w:rPr>
          <w:rFonts w:ascii="Times New Roman" w:hAnsi="Times New Roman"/>
          <w:sz w:val="22"/>
        </w:rPr>
        <w:t xml:space="preserve"> </w:t>
      </w:r>
      <w:r w:rsidR="006B61AB">
        <w:rPr>
          <w:rFonts w:ascii="Times New Roman" w:hAnsi="Times New Roman"/>
          <w:sz w:val="22"/>
        </w:rPr>
        <w:t xml:space="preserve">vyvolané </w:t>
      </w:r>
      <w:proofErr w:type="spellStart"/>
      <w:r>
        <w:rPr>
          <w:rFonts w:ascii="Times New Roman" w:hAnsi="Times New Roman"/>
          <w:i/>
          <w:sz w:val="22"/>
        </w:rPr>
        <w:t>Pasteurella</w:t>
      </w:r>
      <w:proofErr w:type="spellEnd"/>
      <w:r>
        <w:rPr>
          <w:rFonts w:ascii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</w:rPr>
        <w:t>multocida</w:t>
      </w:r>
      <w:proofErr w:type="spellEnd"/>
      <w:r>
        <w:rPr>
          <w:rFonts w:ascii="Times New Roman" w:hAnsi="Times New Roman"/>
          <w:sz w:val="22"/>
        </w:rPr>
        <w:t xml:space="preserve"> citlivou k amoxicilinu. </w:t>
      </w:r>
      <w:bookmarkEnd w:id="1"/>
      <w:bookmarkEnd w:id="2"/>
    </w:p>
    <w:p w14:paraId="45C8AE64" w14:textId="77777777" w:rsidR="0011400B" w:rsidRPr="00145C3F" w:rsidRDefault="0011400B" w:rsidP="0011400B">
      <w:pPr>
        <w:pStyle w:val="HPRAMainBodyText"/>
        <w:jc w:val="both"/>
        <w:rPr>
          <w:szCs w:val="22"/>
        </w:rPr>
      </w:pPr>
    </w:p>
    <w:p w14:paraId="6BF48093" w14:textId="77777777" w:rsidR="003C7700" w:rsidRPr="00806007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1DF57028" w14:textId="47183491" w:rsidR="003C7700" w:rsidRPr="00474C50" w:rsidRDefault="003C7700" w:rsidP="003C7700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5.</w:t>
      </w:r>
      <w:r>
        <w:rPr>
          <w:b/>
        </w:rPr>
        <w:tab/>
      </w:r>
      <w:r w:rsidR="00C80BDE">
        <w:rPr>
          <w:b/>
        </w:rPr>
        <w:t>Kontraindikace</w:t>
      </w:r>
    </w:p>
    <w:p w14:paraId="6BDC5F9B" w14:textId="77777777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004CBC8B" w14:textId="283975FD" w:rsidR="00C64DB4" w:rsidRDefault="000B654D" w:rsidP="003C770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Nepoužívat u koní, králíků, morčat, křečků, </w:t>
      </w:r>
      <w:proofErr w:type="spellStart"/>
      <w:r>
        <w:t>pískomilů</w:t>
      </w:r>
      <w:proofErr w:type="spellEnd"/>
      <w:r>
        <w:t xml:space="preserve"> ani žádného </w:t>
      </w:r>
      <w:r w:rsidR="0011400B">
        <w:t xml:space="preserve">jiného </w:t>
      </w:r>
      <w:r>
        <w:t xml:space="preserve">malého býložravce vzhledem k tomu, že amoxicilin, stejně jako všechny </w:t>
      </w:r>
      <w:proofErr w:type="spellStart"/>
      <w:r>
        <w:t>aminopeniciliny</w:t>
      </w:r>
      <w:proofErr w:type="spellEnd"/>
      <w:r>
        <w:t>, má nepříznivý účinek na</w:t>
      </w:r>
      <w:r w:rsidR="00BE627D">
        <w:t> </w:t>
      </w:r>
      <w:r>
        <w:t xml:space="preserve">bakterie céka. </w:t>
      </w:r>
    </w:p>
    <w:p w14:paraId="1AE9BE18" w14:textId="77777777" w:rsidR="009C7101" w:rsidRPr="00E54AF5" w:rsidRDefault="000B654D" w:rsidP="003C770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u přežvýkavců.</w:t>
      </w:r>
    </w:p>
    <w:p w14:paraId="142E6EE6" w14:textId="1335C6D6" w:rsidR="003C7700" w:rsidRDefault="003C7700" w:rsidP="003C770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Nepoužívat u zvířat přecitlivělostí na peniciliny nebo jiná </w:t>
      </w:r>
      <w:r w:rsidR="00EC5340">
        <w:t>beta</w:t>
      </w:r>
      <w:r>
        <w:t>-</w:t>
      </w:r>
      <w:proofErr w:type="spellStart"/>
      <w:r>
        <w:t>laktamová</w:t>
      </w:r>
      <w:proofErr w:type="spellEnd"/>
      <w:r>
        <w:t xml:space="preserve"> antibiotika nebo</w:t>
      </w:r>
      <w:r w:rsidR="00BE627D">
        <w:t> </w:t>
      </w:r>
      <w:r>
        <w:t>na</w:t>
      </w:r>
      <w:r w:rsidR="00BE627D">
        <w:t> </w:t>
      </w:r>
      <w:r w:rsidR="0011400B" w:rsidRPr="0011400B">
        <w:t xml:space="preserve">některou </w:t>
      </w:r>
      <w:r>
        <w:t>z pomocných látek.</w:t>
      </w:r>
    </w:p>
    <w:p w14:paraId="546116B0" w14:textId="1119CA73" w:rsidR="00D0797E" w:rsidRPr="00D0797E" w:rsidRDefault="00EF0211" w:rsidP="00D0797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Nepoužívat u zvířat </w:t>
      </w:r>
      <w:r w:rsidR="00D0797E">
        <w:t>s onemocněním ledvin včetně anurie nebo oligurie.</w:t>
      </w:r>
    </w:p>
    <w:p w14:paraId="2BB0536D" w14:textId="257854ED" w:rsidR="003C7700" w:rsidRPr="003C7700" w:rsidRDefault="0011400B" w:rsidP="003C770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Nepoužívat </w:t>
      </w:r>
      <w:r w:rsidR="003C7700">
        <w:t xml:space="preserve">v přítomnosti bakterií produkujících </w:t>
      </w:r>
      <w:r w:rsidR="00EC5340">
        <w:t>beta</w:t>
      </w:r>
      <w:r w:rsidR="003C7700">
        <w:t>-</w:t>
      </w:r>
      <w:proofErr w:type="spellStart"/>
      <w:r w:rsidR="003C7700">
        <w:t>laktamázu</w:t>
      </w:r>
      <w:proofErr w:type="spellEnd"/>
      <w:r w:rsidR="003C7700">
        <w:t>.</w:t>
      </w:r>
    </w:p>
    <w:p w14:paraId="267D4F3F" w14:textId="77777777" w:rsidR="003C7700" w:rsidRDefault="003C7700" w:rsidP="003C7700">
      <w:pPr>
        <w:tabs>
          <w:tab w:val="clear" w:pos="567"/>
        </w:tabs>
        <w:spacing w:line="240" w:lineRule="auto"/>
        <w:jc w:val="both"/>
        <w:rPr>
          <w:szCs w:val="22"/>
          <w:lang w:val="sl-SI"/>
        </w:rPr>
      </w:pPr>
    </w:p>
    <w:p w14:paraId="4BBFE5E9" w14:textId="77777777" w:rsidR="00C80BDE" w:rsidRDefault="00C80BDE" w:rsidP="003C7700">
      <w:pPr>
        <w:tabs>
          <w:tab w:val="clear" w:pos="567"/>
        </w:tabs>
        <w:spacing w:line="240" w:lineRule="auto"/>
        <w:jc w:val="both"/>
        <w:rPr>
          <w:szCs w:val="22"/>
          <w:lang w:val="sl-SI"/>
        </w:rPr>
      </w:pPr>
    </w:p>
    <w:p w14:paraId="79A6822C" w14:textId="15429A8E" w:rsidR="00C80BDE" w:rsidRPr="00474C50" w:rsidRDefault="00C80BDE" w:rsidP="00C80BDE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6.</w:t>
      </w:r>
      <w:r>
        <w:rPr>
          <w:b/>
        </w:rPr>
        <w:tab/>
        <w:t>Zvláštní upozornění</w:t>
      </w:r>
    </w:p>
    <w:p w14:paraId="03DCD783" w14:textId="77777777" w:rsidR="00C80BDE" w:rsidRPr="00474C50" w:rsidRDefault="00C80BDE" w:rsidP="00C80BDE">
      <w:pPr>
        <w:tabs>
          <w:tab w:val="clear" w:pos="567"/>
        </w:tabs>
        <w:spacing w:line="240" w:lineRule="auto"/>
        <w:rPr>
          <w:szCs w:val="22"/>
        </w:rPr>
      </w:pPr>
    </w:p>
    <w:p w14:paraId="4A446414" w14:textId="372FF3CE" w:rsidR="00C80BDE" w:rsidRDefault="00C80BDE" w:rsidP="00C80BD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Zvláštní upozornění:</w:t>
      </w:r>
    </w:p>
    <w:p w14:paraId="3CC0228A" w14:textId="77777777" w:rsidR="00C80BDE" w:rsidRPr="00B670DB" w:rsidRDefault="00C80BDE" w:rsidP="00C80BDE">
      <w:pPr>
        <w:tabs>
          <w:tab w:val="clear" w:pos="567"/>
        </w:tabs>
        <w:spacing w:line="240" w:lineRule="auto"/>
        <w:jc w:val="both"/>
      </w:pPr>
      <w:r>
        <w:t>Přípravek není účinný proti organismům produkujícím beta-</w:t>
      </w:r>
      <w:proofErr w:type="spellStart"/>
      <w:r>
        <w:t>laktamázu</w:t>
      </w:r>
      <w:proofErr w:type="spellEnd"/>
      <w:r>
        <w:t>.</w:t>
      </w:r>
    </w:p>
    <w:p w14:paraId="31F9E8B7" w14:textId="002BB89A" w:rsidR="00C80BDE" w:rsidRPr="00B670DB" w:rsidRDefault="00C80BDE" w:rsidP="00C80BDE">
      <w:pPr>
        <w:tabs>
          <w:tab w:val="clear" w:pos="567"/>
        </w:tabs>
        <w:spacing w:line="240" w:lineRule="auto"/>
        <w:jc w:val="both"/>
      </w:pPr>
      <w:r>
        <w:t xml:space="preserve">Byla prokázána zkřížená rezistence mezi amoxicilinem a jinými peniciliny, zejména </w:t>
      </w:r>
      <w:proofErr w:type="spellStart"/>
      <w:r>
        <w:t>amino</w:t>
      </w:r>
      <w:proofErr w:type="spellEnd"/>
      <w:r>
        <w:t>-peniciliny</w:t>
      </w:r>
      <w:r w:rsidR="00EF0211" w:rsidRPr="00EF0211">
        <w:t xml:space="preserve"> </w:t>
      </w:r>
      <w:r w:rsidR="00EF0211">
        <w:t xml:space="preserve">u bakterií citlivých na amoxicilin. </w:t>
      </w:r>
      <w:r>
        <w:t xml:space="preserve"> Použití </w:t>
      </w:r>
      <w:r w:rsidR="00EF0211">
        <w:t xml:space="preserve">veterinárního léčivého </w:t>
      </w:r>
      <w:r>
        <w:t>přípravku/amoxicilinu je třeba pečlivě zvážit, pokud testování antimikrobiální citlivosti prokázalo rezistenci na peniciliny, protože může být snížena jeho účinnost.</w:t>
      </w:r>
    </w:p>
    <w:p w14:paraId="5B61937D" w14:textId="4D89B064" w:rsidR="00C80BDE" w:rsidRPr="00B670DB" w:rsidRDefault="00C80BDE" w:rsidP="00C80BDE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lastRenderedPageBreak/>
        <w:t xml:space="preserve">Příjem léků zvířaty může být změněn v důsledku nemoci. V případě nedostatečného příjmu vody by měla být zvířata ošetřena parenterálně s využitím vhodného injekčního </w:t>
      </w:r>
      <w:r w:rsidR="00EF0211">
        <w:t xml:space="preserve">veterinárního léčivého </w:t>
      </w:r>
      <w:r>
        <w:t>přípravku předepsaného veterinárním lékařem.</w:t>
      </w:r>
    </w:p>
    <w:p w14:paraId="4964088A" w14:textId="77777777" w:rsidR="00C80BDE" w:rsidRPr="00DD6E5D" w:rsidRDefault="00C80BDE" w:rsidP="00C80BD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06FF446" w14:textId="77777777" w:rsidR="00C80BDE" w:rsidRDefault="00C80BDE" w:rsidP="00C80BDE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u w:val="single"/>
        </w:rPr>
        <w:t>Zvláštní opatření pro bezpečné použití u cílových druhů zvířat:</w:t>
      </w:r>
    </w:p>
    <w:p w14:paraId="1664AC49" w14:textId="77A94C38" w:rsidR="00EF0211" w:rsidRPr="00625A1C" w:rsidRDefault="00EF0211" w:rsidP="00EF0211">
      <w:pPr>
        <w:tabs>
          <w:tab w:val="clear" w:pos="567"/>
        </w:tabs>
        <w:spacing w:line="240" w:lineRule="auto"/>
        <w:jc w:val="both"/>
      </w:pPr>
      <w:r>
        <w:t xml:space="preserve">Použití veterinárního léčivého přípravku </w:t>
      </w:r>
      <w:r w:rsidR="00EC5340">
        <w:t>by mělo</w:t>
      </w:r>
      <w:r>
        <w:t xml:space="preserve"> být založeno na základě výsledků testů citlivosti </w:t>
      </w:r>
      <w:r w:rsidR="00EC5340">
        <w:t>cílového patogenu/</w:t>
      </w:r>
      <w:r>
        <w:t xml:space="preserve">cílových patogenů. Pokud to není možné, </w:t>
      </w:r>
      <w:r w:rsidR="00EC5340" w:rsidRPr="00EC5340">
        <w:t xml:space="preserve">je nutné založit terapii na místních (regionální/na úrovni farmy) </w:t>
      </w:r>
      <w:proofErr w:type="spellStart"/>
      <w:r w:rsidR="00EC5340" w:rsidRPr="00EC5340">
        <w:t>epizootologických</w:t>
      </w:r>
      <w:proofErr w:type="spellEnd"/>
      <w:r w:rsidR="00EC5340" w:rsidRPr="00EC5340">
        <w:t xml:space="preserve"> informacích</w:t>
      </w:r>
      <w:r>
        <w:t xml:space="preserve"> a znalosti o citlivosti cílových patogenů. </w:t>
      </w:r>
      <w:r w:rsidRPr="00625A1C">
        <w:t xml:space="preserve">Při použití tohoto </w:t>
      </w:r>
      <w:r>
        <w:t xml:space="preserve">veterinárního léčivého </w:t>
      </w:r>
      <w:r w:rsidRPr="00625A1C">
        <w:t>přípravku je nutno zohlednit oficiální celostátní a místní pravidla antibiotické politiky.</w:t>
      </w:r>
    </w:p>
    <w:p w14:paraId="2F322132" w14:textId="34DDFF20" w:rsidR="00EF0211" w:rsidRPr="008F4B55" w:rsidRDefault="00EF0211" w:rsidP="00EF0211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t xml:space="preserve">Použití přípravku, které je odlišné od pokynů uvedených v souhrnu údajů o přípravku (SPC) může zvýšit prevalenci bakterií rezistentních na amoxicilin a snížit účinnost amoxicilinu i účinnost léčby </w:t>
      </w:r>
      <w:r>
        <w:rPr>
          <w:color w:val="000000"/>
        </w:rPr>
        <w:t>jinými peniciliny z důvodu možné zkřížené rezistence.</w:t>
      </w:r>
    </w:p>
    <w:p w14:paraId="3130493E" w14:textId="155B18FD" w:rsidR="00EF0211" w:rsidRDefault="002176E9" w:rsidP="00EF0211">
      <w:pPr>
        <w:tabs>
          <w:tab w:val="clear" w:pos="567"/>
          <w:tab w:val="left" w:pos="708"/>
        </w:tabs>
        <w:spacing w:line="240" w:lineRule="auto"/>
      </w:pPr>
      <w:bookmarkStart w:id="3" w:name="_Hlk109120095"/>
      <w:r>
        <w:t>Jako lék</w:t>
      </w:r>
      <w:r w:rsidR="00EF0211">
        <w:t xml:space="preserve"> první volby</w:t>
      </w:r>
      <w:bookmarkEnd w:id="3"/>
      <w:r w:rsidR="00EF0211">
        <w:t xml:space="preserve">, </w:t>
      </w:r>
      <w:r>
        <w:t>pokud</w:t>
      </w:r>
      <w:r w:rsidR="00EF0211">
        <w:t xml:space="preserve"> testování citlivosti naznačuje pravděpodobnou účinnost tohoto přístupu, by </w:t>
      </w:r>
      <w:bookmarkStart w:id="4" w:name="_Hlk109120143"/>
      <w:r>
        <w:t xml:space="preserve">mělo být použito </w:t>
      </w:r>
      <w:proofErr w:type="spellStart"/>
      <w:r>
        <w:t>úzkospektré</w:t>
      </w:r>
      <w:proofErr w:type="spellEnd"/>
      <w:r>
        <w:t xml:space="preserve"> antibiotikum</w:t>
      </w:r>
      <w:r w:rsidR="00EF0211">
        <w:t xml:space="preserve"> s nižším rizikem selekce rezistence.</w:t>
      </w:r>
      <w:bookmarkEnd w:id="4"/>
    </w:p>
    <w:p w14:paraId="24768D57" w14:textId="62DA4F64" w:rsidR="00EF0211" w:rsidRDefault="00EF0211" w:rsidP="00EF0211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 xml:space="preserve">Nenechávejte </w:t>
      </w:r>
      <w:proofErr w:type="spellStart"/>
      <w:r w:rsidR="002176E9">
        <w:t>medikovanou</w:t>
      </w:r>
      <w:proofErr w:type="spellEnd"/>
      <w:r w:rsidR="002176E9">
        <w:t xml:space="preserve"> </w:t>
      </w:r>
      <w:r>
        <w:t>vodu k dispozici jiným zvířatům.</w:t>
      </w:r>
    </w:p>
    <w:p w14:paraId="731916D2" w14:textId="6C2492FB" w:rsidR="00EF0211" w:rsidRDefault="00EF0211" w:rsidP="00EF0211">
      <w:pPr>
        <w:tabs>
          <w:tab w:val="clear" w:pos="567"/>
          <w:tab w:val="left" w:pos="708"/>
        </w:tabs>
        <w:spacing w:line="240" w:lineRule="auto"/>
      </w:pPr>
      <w:bookmarkStart w:id="5" w:name="_Hlk135043695"/>
      <w:r>
        <w:t xml:space="preserve">Antimikrobiální látky by neměly být používány </w:t>
      </w:r>
      <w:r w:rsidR="00EB0285">
        <w:t>jako součást kontroly zdraví na úrovni</w:t>
      </w:r>
      <w:r>
        <w:t xml:space="preserve"> stáda.</w:t>
      </w:r>
    </w:p>
    <w:p w14:paraId="248D7CCA" w14:textId="5227975A" w:rsidR="00EF0211" w:rsidRDefault="00EB0285" w:rsidP="00EF0211">
      <w:pPr>
        <w:tabs>
          <w:tab w:val="clear" w:pos="567"/>
          <w:tab w:val="left" w:pos="708"/>
        </w:tabs>
        <w:spacing w:line="240" w:lineRule="auto"/>
      </w:pPr>
      <w:r>
        <w:t>Nepoužívejte</w:t>
      </w:r>
      <w:r w:rsidR="00EF0211">
        <w:t xml:space="preserve"> k profylaxi.</w:t>
      </w:r>
      <w:bookmarkEnd w:id="5"/>
    </w:p>
    <w:p w14:paraId="06813A7E" w14:textId="77777777" w:rsidR="00EF0211" w:rsidRPr="00236EA0" w:rsidRDefault="00EF0211" w:rsidP="00EF0211">
      <w:pPr>
        <w:tabs>
          <w:tab w:val="clear" w:pos="567"/>
        </w:tabs>
        <w:spacing w:line="240" w:lineRule="auto"/>
        <w:rPr>
          <w:b/>
          <w:szCs w:val="22"/>
        </w:rPr>
      </w:pPr>
    </w:p>
    <w:p w14:paraId="28A51717" w14:textId="1C52A824" w:rsidR="007F59BB" w:rsidRPr="00474C50" w:rsidRDefault="00C80BDE" w:rsidP="00C80BD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Zvláštní opatření pro osobu, která podává veterinární léčivý přípravek zvířatům</w:t>
      </w:r>
      <w:r w:rsidR="007F59BB">
        <w:rPr>
          <w:szCs w:val="22"/>
        </w:rPr>
        <w:t>:</w:t>
      </w:r>
    </w:p>
    <w:p w14:paraId="00859F86" w14:textId="77777777" w:rsidR="00C80BDE" w:rsidRPr="007575A4" w:rsidRDefault="00C80BDE" w:rsidP="00C80BD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Peniciliny a cefalosporiny mohou po injekci, inhalaci, požití nebo kontaktu s kůží vyvolat přecitlivělost (alergii). Přecitlivělost na peniciliny může vést ke zkříženým reakcím s cefalosporiny a naopak. Alergické reakce na tyto látky mohou být v některých případech vážné.</w:t>
      </w:r>
    </w:p>
    <w:p w14:paraId="21457DE5" w14:textId="2A0925E0" w:rsidR="00C80BDE" w:rsidRPr="00781823" w:rsidRDefault="00C80BDE" w:rsidP="00C80BD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Lidé se známou přecitlivělostí na beta-</w:t>
      </w:r>
      <w:proofErr w:type="spellStart"/>
      <w:r>
        <w:t>laktamová</w:t>
      </w:r>
      <w:proofErr w:type="spellEnd"/>
      <w:r>
        <w:t xml:space="preserve"> antibiotika by se měli vyhnout </w:t>
      </w:r>
      <w:r w:rsidR="007F59BB">
        <w:t>kontaktu </w:t>
      </w:r>
      <w:r>
        <w:t>s </w:t>
      </w:r>
      <w:r w:rsidR="00EF0211">
        <w:t xml:space="preserve">veterinárním léčivým </w:t>
      </w:r>
      <w:r>
        <w:t>přípravkem.</w:t>
      </w:r>
    </w:p>
    <w:p w14:paraId="01FB8619" w14:textId="1F5712BE" w:rsidR="00C80BDE" w:rsidRPr="007575A4" w:rsidRDefault="00C80BDE" w:rsidP="00C80BD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S </w:t>
      </w:r>
      <w:r w:rsidR="00EF0211">
        <w:t xml:space="preserve">veterinárním léčivým </w:t>
      </w:r>
      <w:r>
        <w:t>přípravkem zacházejte velmi opatrně, aby nedošlo k expozici, a dodržujte všechna doporučená opatření.</w:t>
      </w:r>
    </w:p>
    <w:p w14:paraId="29542C23" w14:textId="77777777" w:rsidR="00C80BDE" w:rsidRPr="007575A4" w:rsidRDefault="00C80BDE" w:rsidP="00C80BD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Zabraňte vdechování prachu. Použijte buď jednorázový respirátor s polomaskou vyhovující evropské normě EN149, nebo respirátor pro více použití podle evropské normy EN140 s filtrem podle normy EN143.</w:t>
      </w:r>
    </w:p>
    <w:p w14:paraId="1D2DFBA5" w14:textId="3981509B" w:rsidR="00C80BDE" w:rsidRPr="007575A4" w:rsidRDefault="00C80BDE" w:rsidP="00C80BD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Během přípravy a podávání </w:t>
      </w:r>
      <w:proofErr w:type="spellStart"/>
      <w:r w:rsidR="007F59BB">
        <w:t>medikované</w:t>
      </w:r>
      <w:proofErr w:type="spellEnd"/>
      <w:r w:rsidR="007F59BB">
        <w:t xml:space="preserve"> </w:t>
      </w:r>
      <w:r>
        <w:t>vody nebo tekutého krmiva noste rukavice.</w:t>
      </w:r>
    </w:p>
    <w:p w14:paraId="081BAF44" w14:textId="276CDD00" w:rsidR="00C80BDE" w:rsidRPr="007575A4" w:rsidRDefault="00C80BDE" w:rsidP="00C80BD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 použití si umyjte ruce. Po manipulaci s </w:t>
      </w:r>
      <w:r w:rsidR="00EF0211">
        <w:t xml:space="preserve">veterinárním léčivým </w:t>
      </w:r>
      <w:r>
        <w:t xml:space="preserve">přípravkem nebo </w:t>
      </w:r>
      <w:proofErr w:type="spellStart"/>
      <w:r>
        <w:t>medikovanou</w:t>
      </w:r>
      <w:proofErr w:type="spellEnd"/>
      <w:r>
        <w:t xml:space="preserve"> vodou nebo krmivem omyjte veškerou exponovanou pokožku.</w:t>
      </w:r>
    </w:p>
    <w:p w14:paraId="291F7605" w14:textId="77777777" w:rsidR="00C80BDE" w:rsidRPr="007575A4" w:rsidRDefault="00C80BDE" w:rsidP="00C80BD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 případě zasažení očí nebo kontaktu s pokožkou opláchněte postižené místo velkým množstvím čisté vody.</w:t>
      </w:r>
    </w:p>
    <w:p w14:paraId="36FF6363" w14:textId="0C0F531D" w:rsidR="00C80BDE" w:rsidRPr="007575A4" w:rsidRDefault="00C80BDE" w:rsidP="00C80BD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Při manipulaci s </w:t>
      </w:r>
      <w:r w:rsidR="00EF0211">
        <w:t xml:space="preserve">veterinárním léčivým </w:t>
      </w:r>
      <w:r>
        <w:t>přípravkem nekuřte, nejezte a nepijte. V případě náhodného požití ihned vypláchněte ústa vodou a vyhledejte lékařskou pomoc.</w:t>
      </w:r>
    </w:p>
    <w:p w14:paraId="7E94ACAF" w14:textId="77777777" w:rsidR="00C80BDE" w:rsidRPr="00B670DB" w:rsidRDefault="00C80BDE" w:rsidP="00C80BD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Pokud se u vás po expozici objeví příznaky, jako je kožní vyrážka, vyhledejte lékařskou pomoc a ukažte lékaři toto varování. Otok obličeje, rtů, očí nebo potíže s dýcháním jsou vážné příznaky a vyžadují okamžitou lékařskou pomoc.</w:t>
      </w:r>
    </w:p>
    <w:p w14:paraId="28B1A452" w14:textId="77777777" w:rsidR="00C80BDE" w:rsidRPr="00DD6E5D" w:rsidRDefault="00C80BDE" w:rsidP="00C80BD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F9A33F" w14:textId="77777777" w:rsidR="00C80BDE" w:rsidRPr="0099532E" w:rsidRDefault="00C80BDE" w:rsidP="00C80BDE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>Březost, laktace a snáška:</w:t>
      </w:r>
    </w:p>
    <w:p w14:paraId="20F89057" w14:textId="30FE0CC5" w:rsidR="00C80BDE" w:rsidRPr="00E54AF5" w:rsidRDefault="00C80BDE" w:rsidP="00C80BD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Laboratorní studie na potkanech neprokázaly teratogenní účinek</w:t>
      </w:r>
      <w:r w:rsidR="00EF0211">
        <w:t>.</w:t>
      </w:r>
    </w:p>
    <w:p w14:paraId="7AC61505" w14:textId="77777777" w:rsidR="00C80BDE" w:rsidRPr="00E54AF5" w:rsidRDefault="00C80BDE" w:rsidP="00C80BD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Použít pouze po zvážení terapeutického prospěchu a rizika příslušným veterinárním lékařem.</w:t>
      </w:r>
    </w:p>
    <w:p w14:paraId="1C216298" w14:textId="77777777" w:rsidR="00C80BDE" w:rsidRPr="00DD6E5D" w:rsidRDefault="00C80BDE" w:rsidP="00C80BD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68BED0D" w14:textId="77777777" w:rsidR="00C80BDE" w:rsidRDefault="00C80BDE" w:rsidP="00C80BDE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rPr>
          <w:u w:val="single"/>
        </w:rPr>
        <w:t>Interakce s jinými léčivými přípravky a další formy interakce:</w:t>
      </w:r>
    </w:p>
    <w:p w14:paraId="47D02BC6" w14:textId="3E97EED3" w:rsidR="00C80BDE" w:rsidRPr="00474C50" w:rsidRDefault="00C80BDE" w:rsidP="00C80BD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82C1A82" w14:textId="77777777" w:rsidR="00C80BDE" w:rsidRPr="00B670DB" w:rsidRDefault="00C80BDE" w:rsidP="00C80BDE">
      <w:pPr>
        <w:jc w:val="both"/>
        <w:rPr>
          <w:szCs w:val="22"/>
        </w:rPr>
      </w:pPr>
      <w:r>
        <w:t xml:space="preserve">Přípravek by neměl být podáván s antibiotiky s bakteriostatickým účinkem, jako jsou tetracykliny, </w:t>
      </w:r>
      <w:proofErr w:type="spellStart"/>
      <w:r>
        <w:t>makrolidy</w:t>
      </w:r>
      <w:proofErr w:type="spellEnd"/>
      <w:r>
        <w:t>, sulfonamidy, protože mohou antagonizovat baktericidní účinek penicilinů.</w:t>
      </w:r>
    </w:p>
    <w:p w14:paraId="6F019CF4" w14:textId="77777777" w:rsidR="00C80BDE" w:rsidRPr="00B670DB" w:rsidRDefault="00C80BDE" w:rsidP="00C80BDE">
      <w:pPr>
        <w:jc w:val="both"/>
        <w:rPr>
          <w:szCs w:val="22"/>
        </w:rPr>
      </w:pPr>
      <w:r>
        <w:t xml:space="preserve">Nepoužívejte současně s neomycinem, protože blokuje absorpci perorálních penicilinů. </w:t>
      </w:r>
    </w:p>
    <w:p w14:paraId="2BEF3188" w14:textId="77777777" w:rsidR="00C80BDE" w:rsidRPr="00474C50" w:rsidRDefault="00C80BDE" w:rsidP="00C80BD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4BEFAC" w14:textId="65B1E114" w:rsidR="00C80BDE" w:rsidRPr="00474C50" w:rsidRDefault="00C80BDE" w:rsidP="00C80BD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Předávkování</w:t>
      </w:r>
      <w:r>
        <w:t>:</w:t>
      </w:r>
    </w:p>
    <w:p w14:paraId="063654FB" w14:textId="77777777" w:rsidR="00C80BDE" w:rsidRPr="00544638" w:rsidRDefault="00C80BDE" w:rsidP="00C80BD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Nebyly hlášeny žádné problémy s předávkováním. Léčba by měla být symptomatická a není k dispozici žádné specifické </w:t>
      </w:r>
      <w:proofErr w:type="spellStart"/>
      <w:r>
        <w:t>antidotum</w:t>
      </w:r>
      <w:proofErr w:type="spellEnd"/>
      <w:r>
        <w:t>.</w:t>
      </w:r>
    </w:p>
    <w:p w14:paraId="6D66DD33" w14:textId="77777777" w:rsidR="00C80BDE" w:rsidRPr="00474C50" w:rsidRDefault="00C80BDE" w:rsidP="00C80BD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E40DA53" w14:textId="7414A097" w:rsidR="00C80BDE" w:rsidRPr="00474C50" w:rsidRDefault="00C80BDE" w:rsidP="00EE007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lastRenderedPageBreak/>
        <w:t>Hlavní inkompatibility</w:t>
      </w:r>
      <w:r>
        <w:t>:</w:t>
      </w:r>
    </w:p>
    <w:p w14:paraId="3904721A" w14:textId="77777777" w:rsidR="00C80BDE" w:rsidRPr="00474C50" w:rsidRDefault="00C80BDE" w:rsidP="00C80BD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Studie kompatibility nejsou k dispozici, a proto tento veterinární léčivý přípravek nesmí být mísen s žádnými dalšími veterinárními léčivými přípravky.</w:t>
      </w:r>
    </w:p>
    <w:p w14:paraId="3F6E8FB5" w14:textId="77777777" w:rsidR="00C80BDE" w:rsidRDefault="00C80BDE" w:rsidP="003C77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D415479" w14:textId="77777777" w:rsidR="00C80BDE" w:rsidRPr="00EE0071" w:rsidRDefault="00C80BDE" w:rsidP="003C770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A36654E" w14:textId="00773FEC" w:rsidR="003C7700" w:rsidRPr="00474C50" w:rsidRDefault="00C80BDE" w:rsidP="00252289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7</w:t>
      </w:r>
      <w:r w:rsidR="003C7700">
        <w:rPr>
          <w:b/>
          <w:highlight w:val="lightGray"/>
        </w:rPr>
        <w:t>.</w:t>
      </w:r>
      <w:r w:rsidR="003C7700">
        <w:rPr>
          <w:b/>
        </w:rPr>
        <w:tab/>
      </w:r>
      <w:r w:rsidRPr="00B416A5">
        <w:rPr>
          <w:b/>
        </w:rPr>
        <w:t>Nežádoucí účinky</w:t>
      </w:r>
    </w:p>
    <w:p w14:paraId="43D95852" w14:textId="77777777" w:rsidR="003C7700" w:rsidRDefault="003C7700" w:rsidP="0025228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94EBAA2" w14:textId="34456EDA" w:rsidR="00C80BDE" w:rsidRPr="00E54AF5" w:rsidRDefault="00C80BDE" w:rsidP="00C80BD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Kur domácí, krůty, kachny a prasata.</w:t>
      </w:r>
    </w:p>
    <w:p w14:paraId="01D01BCE" w14:textId="77777777" w:rsidR="00C80BDE" w:rsidRDefault="00C80BDE" w:rsidP="00C80BDE">
      <w:pPr>
        <w:tabs>
          <w:tab w:val="clear" w:pos="567"/>
          <w:tab w:val="left" w:pos="708"/>
        </w:tabs>
        <w:spacing w:line="240" w:lineRule="auto"/>
        <w:ind w:firstLine="567"/>
        <w:rPr>
          <w:szCs w:val="22"/>
        </w:rPr>
      </w:pPr>
      <w:bookmarkStart w:id="6" w:name="_Hlk4287130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2"/>
      </w:tblGrid>
      <w:tr w:rsidR="00C80BDE" w:rsidRPr="00C80BDE" w14:paraId="624AD3EA" w14:textId="77777777" w:rsidTr="00C80BDE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F7C8" w14:textId="77777777" w:rsidR="00B416A5" w:rsidRPr="00B416A5" w:rsidRDefault="00B416A5" w:rsidP="00B416A5">
            <w:pPr>
              <w:spacing w:before="60" w:after="60"/>
              <w:rPr>
                <w:kern w:val="2"/>
                <w14:ligatures w14:val="standardContextual"/>
              </w:rPr>
            </w:pPr>
            <w:r w:rsidRPr="00B416A5">
              <w:rPr>
                <w:kern w:val="2"/>
                <w14:ligatures w14:val="standardContextual"/>
              </w:rPr>
              <w:t xml:space="preserve">Neznámá četnost </w:t>
            </w:r>
          </w:p>
          <w:p w14:paraId="27C74D28" w14:textId="79DBDE41" w:rsidR="00C80BDE" w:rsidRDefault="00B416A5" w:rsidP="00B416A5">
            <w:pPr>
              <w:spacing w:before="60" w:after="60"/>
              <w:rPr>
                <w:kern w:val="2"/>
                <w:szCs w:val="22"/>
                <w14:ligatures w14:val="standardContextual"/>
              </w:rPr>
            </w:pPr>
            <w:r w:rsidRPr="00B416A5">
              <w:rPr>
                <w:kern w:val="2"/>
                <w14:ligatures w14:val="standardContextual"/>
              </w:rPr>
              <w:t>(z dostupných údajů nelze určit)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CE87" w14:textId="214F3854" w:rsidR="00C80BDE" w:rsidRDefault="00C80BDE">
            <w:pPr>
              <w:spacing w:before="60" w:after="60"/>
              <w:rPr>
                <w:iCs/>
                <w:kern w:val="2"/>
                <w:szCs w:val="2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Reakce z přecitlivělosti (od alergické kožní reakce až po anafylaktický šok)</w:t>
            </w:r>
          </w:p>
          <w:p w14:paraId="0EEAD71B" w14:textId="77777777" w:rsidR="00C80BDE" w:rsidRDefault="00C80BDE">
            <w:pPr>
              <w:spacing w:before="60" w:after="60"/>
              <w:rPr>
                <w:iCs/>
                <w:kern w:val="2"/>
                <w:szCs w:val="2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Poruchy trávicího traktu (zvracení, průjem)</w:t>
            </w:r>
          </w:p>
        </w:tc>
      </w:tr>
    </w:tbl>
    <w:p w14:paraId="6BB09F2F" w14:textId="77777777" w:rsidR="00C80BDE" w:rsidRDefault="00C80BDE" w:rsidP="00C80BDE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0F7C6102" w14:textId="649A10D1" w:rsidR="00C80BDE" w:rsidRDefault="00C80BDE" w:rsidP="00EE0071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 w:rsidRPr="00EE0071">
        <w:rPr>
          <w:szCs w:val="22"/>
        </w:rPr>
        <w:t xml:space="preserve">Hlášení nežádoucích účinků je důležité. Umožňuje nepřetržité sledování bezpečnosti veterinárního léčivého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nebo místní zástupce držitele rozhodnutí o registraci s využitím kontaktních údajů uvedených na konci této příbalové informace nebo prostřednictvím národního systému hlášení nežádoucích účinků: </w:t>
      </w:r>
    </w:p>
    <w:p w14:paraId="05841372" w14:textId="77777777" w:rsidR="00A00CF6" w:rsidRPr="00EE0071" w:rsidRDefault="00A00CF6" w:rsidP="00EE0071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bookmarkEnd w:id="6"/>
    <w:p w14:paraId="2D65C101" w14:textId="77777777" w:rsidR="00A00CF6" w:rsidRPr="00A00CF6" w:rsidRDefault="00A00CF6" w:rsidP="00A00CF6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 w:rsidRPr="00A00CF6">
        <w:rPr>
          <w:szCs w:val="22"/>
        </w:rPr>
        <w:t xml:space="preserve">Ústav pro státní kontrolu veterinárních biopreparátů a léčiv </w:t>
      </w:r>
    </w:p>
    <w:p w14:paraId="33AA03E1" w14:textId="77777777" w:rsidR="00A00CF6" w:rsidRPr="00A00CF6" w:rsidRDefault="00A00CF6" w:rsidP="00A00CF6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 w:rsidRPr="00A00CF6">
        <w:rPr>
          <w:szCs w:val="22"/>
        </w:rPr>
        <w:t>Hudcova 232/</w:t>
      </w:r>
      <w:proofErr w:type="gramStart"/>
      <w:r w:rsidRPr="00A00CF6">
        <w:rPr>
          <w:szCs w:val="22"/>
        </w:rPr>
        <w:t>56a</w:t>
      </w:r>
      <w:proofErr w:type="gramEnd"/>
      <w:r w:rsidRPr="00A00CF6">
        <w:rPr>
          <w:szCs w:val="22"/>
        </w:rPr>
        <w:t xml:space="preserve"> </w:t>
      </w:r>
    </w:p>
    <w:p w14:paraId="1C639147" w14:textId="77777777" w:rsidR="00A00CF6" w:rsidRPr="00A00CF6" w:rsidRDefault="00A00CF6" w:rsidP="00A00CF6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 w:rsidRPr="00A00CF6">
        <w:rPr>
          <w:szCs w:val="22"/>
        </w:rPr>
        <w:t>621 00 Brno</w:t>
      </w:r>
    </w:p>
    <w:p w14:paraId="32C90FA9" w14:textId="77777777" w:rsidR="00A00CF6" w:rsidRPr="00A00CF6" w:rsidRDefault="00A00CF6" w:rsidP="00A00CF6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 w:rsidRPr="00A00CF6">
        <w:rPr>
          <w:szCs w:val="22"/>
        </w:rPr>
        <w:t>e-mail: adr@uskvbl.cz</w:t>
      </w:r>
    </w:p>
    <w:p w14:paraId="4E56AE2F" w14:textId="00CC8C69" w:rsidR="003C7700" w:rsidRDefault="00A00CF6" w:rsidP="003C7700">
      <w:pPr>
        <w:tabs>
          <w:tab w:val="clear" w:pos="567"/>
        </w:tabs>
        <w:spacing w:line="240" w:lineRule="auto"/>
        <w:rPr>
          <w:szCs w:val="22"/>
        </w:rPr>
      </w:pPr>
      <w:r w:rsidRPr="00A00CF6">
        <w:rPr>
          <w:szCs w:val="22"/>
        </w:rPr>
        <w:t>Webové stránky: http://www.uskvbl.cz/cs/farmakovigilance</w:t>
      </w:r>
    </w:p>
    <w:p w14:paraId="0CD6087A" w14:textId="77777777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21B67759" w14:textId="423359EF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8.</w:t>
      </w:r>
      <w:r>
        <w:rPr>
          <w:b/>
        </w:rPr>
        <w:tab/>
      </w:r>
      <w:r w:rsidR="00C80BDE">
        <w:rPr>
          <w:b/>
        </w:rPr>
        <w:t>Dávkování pro každý druh, cesty podání</w:t>
      </w:r>
    </w:p>
    <w:p w14:paraId="700D5A16" w14:textId="77777777" w:rsidR="003C7700" w:rsidRDefault="003C7700" w:rsidP="003C770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37CF2B" w14:textId="6A840B12" w:rsidR="00881B0D" w:rsidRPr="000D3A23" w:rsidRDefault="00881B0D" w:rsidP="00881B0D">
      <w:pPr>
        <w:jc w:val="both"/>
        <w:rPr>
          <w:szCs w:val="22"/>
        </w:rPr>
      </w:pPr>
      <w:bookmarkStart w:id="7" w:name="_Hlk29204502"/>
      <w:r>
        <w:t>Podání v pitné vodě.</w:t>
      </w:r>
    </w:p>
    <w:p w14:paraId="07A0C836" w14:textId="77777777" w:rsidR="006501AA" w:rsidRDefault="006501AA" w:rsidP="00252289">
      <w:pPr>
        <w:tabs>
          <w:tab w:val="clear" w:pos="567"/>
        </w:tabs>
        <w:spacing w:line="240" w:lineRule="auto"/>
        <w:jc w:val="both"/>
      </w:pPr>
    </w:p>
    <w:p w14:paraId="777D04F8" w14:textId="7740AFAF" w:rsidR="003C7700" w:rsidRPr="003C7700" w:rsidRDefault="00881B0D" w:rsidP="002522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Kur domácí</w:t>
      </w:r>
      <w:r w:rsidR="003C7700">
        <w:t xml:space="preserve">:  </w:t>
      </w:r>
    </w:p>
    <w:p w14:paraId="12348546" w14:textId="73F690A5" w:rsidR="009C7101" w:rsidRDefault="003C7700" w:rsidP="00252289">
      <w:pPr>
        <w:jc w:val="both"/>
        <w:rPr>
          <w:szCs w:val="22"/>
        </w:rPr>
      </w:pPr>
      <w:r>
        <w:t xml:space="preserve">Doporučená dávka je 15 mg </w:t>
      </w:r>
      <w:proofErr w:type="spellStart"/>
      <w:r>
        <w:t>trihydrátu</w:t>
      </w:r>
      <w:proofErr w:type="spellEnd"/>
      <w:r>
        <w:t xml:space="preserve"> amoxicilinu na kg živé hmotnosti denně, což odpovídá 13,1 mg amoxicilinu na kg živé hmotnosti denně (což odpovídá 18,8 mg </w:t>
      </w:r>
      <w:r w:rsidR="00EF0211">
        <w:t xml:space="preserve">veterinárního léčivého </w:t>
      </w:r>
      <w:r>
        <w:t>přípravku na kg živé hmotnosti denně).</w:t>
      </w:r>
    </w:p>
    <w:p w14:paraId="03E9868E" w14:textId="77777777" w:rsidR="003C7700" w:rsidRPr="003C7700" w:rsidRDefault="003C7700" w:rsidP="002522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Celková doba léčby by měla být 3 dny nebo v závažných případech 5 dnů.</w:t>
      </w:r>
    </w:p>
    <w:p w14:paraId="30DBAAF0" w14:textId="77777777" w:rsidR="003C7700" w:rsidRPr="00DD6E5D" w:rsidRDefault="003C7700" w:rsidP="0025228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6397940" w14:textId="77777777" w:rsidR="003C7700" w:rsidRPr="003C7700" w:rsidRDefault="003C7700" w:rsidP="002522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Kachny:  </w:t>
      </w:r>
    </w:p>
    <w:p w14:paraId="15ED71B5" w14:textId="18808F9B" w:rsidR="003C7700" w:rsidRPr="003C7700" w:rsidRDefault="003C7700" w:rsidP="002522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Doporučená dávka je 20 mg </w:t>
      </w:r>
      <w:proofErr w:type="spellStart"/>
      <w:r>
        <w:t>trihydrátu</w:t>
      </w:r>
      <w:proofErr w:type="spellEnd"/>
      <w:r>
        <w:t xml:space="preserve"> amoxicilinu na kg živé hmotnosti denně, což odpovídá 17,4 mg amoxicilinu na kg živé hmotnosti denně (což odpovídá 25 mg </w:t>
      </w:r>
      <w:r w:rsidR="00EF0211">
        <w:t xml:space="preserve">veterinárního léčivého </w:t>
      </w:r>
      <w:r>
        <w:t>přípravku na kg živé hmotnosti denně) po dobu 3 po sobě jdoucích dnů.</w:t>
      </w:r>
    </w:p>
    <w:p w14:paraId="512FDE22" w14:textId="77777777" w:rsidR="003C7700" w:rsidRPr="00DD6E5D" w:rsidRDefault="003C7700" w:rsidP="0025228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698CBA" w14:textId="77777777" w:rsidR="003C7700" w:rsidRPr="003C7700" w:rsidRDefault="003C7700" w:rsidP="002522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Krůty:  </w:t>
      </w:r>
    </w:p>
    <w:p w14:paraId="50489542" w14:textId="4C16FEF9" w:rsidR="003C7700" w:rsidRPr="003C7700" w:rsidRDefault="003C7700" w:rsidP="002522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Doporučená dávka je 15-20 mg </w:t>
      </w:r>
      <w:proofErr w:type="spellStart"/>
      <w:r>
        <w:t>trihydrátu</w:t>
      </w:r>
      <w:proofErr w:type="spellEnd"/>
      <w:r>
        <w:t xml:space="preserve"> amoxicilinu na kg živé hmotnosti denně, což odpovídá 13,1 - 17,4 mg amoxicilinu na kg živé hmotnosti denně (což odp</w:t>
      </w:r>
      <w:r w:rsidR="00BE627D">
        <w:t xml:space="preserve">ovídá 18,8 - 25 mg </w:t>
      </w:r>
      <w:r w:rsidR="00EF0211">
        <w:t xml:space="preserve">veterinárního léčivého </w:t>
      </w:r>
      <w:r w:rsidR="00BE627D">
        <w:t>přípravku na </w:t>
      </w:r>
      <w:r>
        <w:t>kg živé hmotnosti denně) po dobu 3 dnů nebo v závažných případech 5 dnů.</w:t>
      </w:r>
    </w:p>
    <w:p w14:paraId="0B92EF14" w14:textId="77777777" w:rsidR="003C7700" w:rsidRPr="00DD6E5D" w:rsidRDefault="003C7700" w:rsidP="0025228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EEA8D89" w14:textId="77777777" w:rsidR="003C7700" w:rsidRPr="003C7700" w:rsidRDefault="003C7700" w:rsidP="002522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Prasata: </w:t>
      </w:r>
    </w:p>
    <w:p w14:paraId="27448E3F" w14:textId="620D32D6" w:rsidR="003C7700" w:rsidRPr="003C7700" w:rsidRDefault="003C7700" w:rsidP="002522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Doporučená dávka je 20 mg </w:t>
      </w:r>
      <w:proofErr w:type="spellStart"/>
      <w:r>
        <w:t>trihydrátu</w:t>
      </w:r>
      <w:proofErr w:type="spellEnd"/>
      <w:r>
        <w:t xml:space="preserve"> amoxicilinu na kg živé hmotnosti denně, což odpovídá 17,4 mg amoxicilinu na kg živé hmotnosti denně (což odpovídá 25 mg </w:t>
      </w:r>
      <w:r w:rsidR="00EF0211">
        <w:t xml:space="preserve">veterinárního léčivého </w:t>
      </w:r>
      <w:r>
        <w:t>přípravku na kg živé hmotnosti denně) po dobu až 5 dnů.</w:t>
      </w:r>
    </w:p>
    <w:p w14:paraId="0C11D9B0" w14:textId="77777777" w:rsidR="003C7700" w:rsidRPr="00DD6E5D" w:rsidRDefault="003C7700" w:rsidP="0025228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D8DD67" w14:textId="37C1091D" w:rsidR="003C7700" w:rsidRPr="003C7700" w:rsidRDefault="00881B0D" w:rsidP="00252289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 xml:space="preserve">Podání </w:t>
      </w:r>
      <w:r w:rsidR="003C7700">
        <w:rPr>
          <w:u w:val="single"/>
        </w:rPr>
        <w:t>v pitné vodě:</w:t>
      </w:r>
    </w:p>
    <w:p w14:paraId="51B26F31" w14:textId="5C9ECA4E" w:rsidR="003C7700" w:rsidRPr="003C7700" w:rsidRDefault="003C7700" w:rsidP="00A71A5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Při přípravě </w:t>
      </w:r>
      <w:proofErr w:type="spellStart"/>
      <w:r w:rsidR="006501AA">
        <w:t>medikované</w:t>
      </w:r>
      <w:proofErr w:type="spellEnd"/>
      <w:r w:rsidR="006501AA">
        <w:t xml:space="preserve"> </w:t>
      </w:r>
      <w:r w:rsidR="00881B0D">
        <w:t xml:space="preserve">vody </w:t>
      </w:r>
      <w:r>
        <w:t xml:space="preserve">je třeba vzít v úvahu </w:t>
      </w:r>
      <w:r w:rsidR="00881B0D">
        <w:t xml:space="preserve">živou </w:t>
      </w:r>
      <w:r>
        <w:t>hmotnost léčených zvířat a jejich skutečnou denní spotřebu vody. Spotřeba se může lišit v závislosti na faktorech, jako je druh, věk, zdravotní stav, systém chovu (např. různá teplota, různé světelné režimy). K dosažení správného dávkování je třeba odpovídajícím způsobem upravit koncentraci amoxicilinu.</w:t>
      </w:r>
    </w:p>
    <w:p w14:paraId="45607C2C" w14:textId="77777777" w:rsidR="003C7700" w:rsidRPr="00DD6E5D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4FE3691F" w14:textId="77777777" w:rsidR="00EF0211" w:rsidRDefault="00EF0211" w:rsidP="00EF0211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>Na základě doporučené dávky a počtu a hmotnosti zvířat, která je třeba ošetřit, se přesná denní koncentrace veterinárního léčivého přípravku vypočítá podle následujícího vzorce:</w:t>
      </w:r>
    </w:p>
    <w:p w14:paraId="0DD107FF" w14:textId="77777777" w:rsidR="003C7700" w:rsidRPr="00DD6E5D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67"/>
        <w:gridCol w:w="2835"/>
        <w:gridCol w:w="2723"/>
      </w:tblGrid>
      <w:tr w:rsidR="003C7700" w:rsidRPr="003C7700" w14:paraId="3E53873C" w14:textId="77777777" w:rsidTr="00153231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2C8BE4" w14:textId="40C13219" w:rsidR="003C7700" w:rsidRPr="003C7700" w:rsidRDefault="003C7700" w:rsidP="003C770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 xml:space="preserve"> mg </w:t>
            </w:r>
            <w:r w:rsidR="00EF0211">
              <w:t xml:space="preserve">veterinárního léčivého </w:t>
            </w:r>
            <w:r>
              <w:t>přípravku na kg živé hmotnosti za den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F83E4" w14:textId="77777777" w:rsidR="003C7700" w:rsidRPr="00DD6E5D" w:rsidRDefault="003C7700" w:rsidP="003C770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  <w:p w14:paraId="4F73A868" w14:textId="77777777" w:rsidR="003C7700" w:rsidRPr="003C7700" w:rsidRDefault="003C7700" w:rsidP="003C770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106AE2" w14:textId="4EABC458" w:rsidR="003C7700" w:rsidRPr="003C7700" w:rsidRDefault="00EF0211" w:rsidP="00881B0D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P</w:t>
            </w:r>
            <w:r w:rsidR="003C7700">
              <w:t xml:space="preserve">růměrná </w:t>
            </w:r>
            <w:r w:rsidR="00881B0D">
              <w:t xml:space="preserve">živá </w:t>
            </w:r>
            <w:r w:rsidR="003C7700">
              <w:t>hmotnost (kg) léčených zvířat</w:t>
            </w:r>
          </w:p>
        </w:tc>
        <w:tc>
          <w:tcPr>
            <w:tcW w:w="2723" w:type="dxa"/>
            <w:vMerge w:val="restart"/>
          </w:tcPr>
          <w:p w14:paraId="47E1366B" w14:textId="7E4C44C0" w:rsidR="003C7700" w:rsidRDefault="003C7700" w:rsidP="003C770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  <w:p w14:paraId="4EF67E13" w14:textId="77777777" w:rsidR="005230B8" w:rsidRPr="00DD6E5D" w:rsidRDefault="005230B8" w:rsidP="003C770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  <w:p w14:paraId="25F18A4E" w14:textId="2E9846F3" w:rsidR="003C7700" w:rsidRPr="003C7700" w:rsidRDefault="003C7700" w:rsidP="003C770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 xml:space="preserve">= mg </w:t>
            </w:r>
            <w:r w:rsidR="00EF0211">
              <w:t xml:space="preserve">veterinárního léčivého </w:t>
            </w:r>
            <w:r>
              <w:t>přípravku na litr pitné vody</w:t>
            </w:r>
          </w:p>
        </w:tc>
      </w:tr>
      <w:tr w:rsidR="003C7700" w:rsidRPr="003C7700" w14:paraId="17734C85" w14:textId="77777777" w:rsidTr="00153231"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77EBC7" w14:textId="601F143A" w:rsidR="003C7700" w:rsidRPr="003C7700" w:rsidRDefault="005230B8" w:rsidP="00881B0D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>
              <w:t>p</w:t>
            </w:r>
            <w:r w:rsidR="003C7700">
              <w:t xml:space="preserve">růměrná denní </w:t>
            </w:r>
            <w:r w:rsidR="00EF0211">
              <w:t>příjem</w:t>
            </w:r>
            <w:r w:rsidR="003C7700">
              <w:t xml:space="preserve"> vody (l</w:t>
            </w:r>
            <w:r w:rsidR="00EF0211">
              <w:t>/ zvíře)</w:t>
            </w:r>
          </w:p>
        </w:tc>
        <w:tc>
          <w:tcPr>
            <w:tcW w:w="0" w:type="auto"/>
            <w:vMerge/>
            <w:vAlign w:val="center"/>
            <w:hideMark/>
          </w:tcPr>
          <w:p w14:paraId="049D091D" w14:textId="77777777" w:rsidR="003C7700" w:rsidRPr="00DD6E5D" w:rsidRDefault="003C7700" w:rsidP="003C770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</w:tbl>
    <w:p w14:paraId="3D4B3986" w14:textId="77777777" w:rsidR="003C7700" w:rsidRPr="00DD6E5D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09EA8DCB" w14:textId="040BDCD4" w:rsidR="003C7700" w:rsidRPr="003C7700" w:rsidRDefault="003C7700" w:rsidP="002522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Pro zajištění správného dávkování by měla být živá hmotnost stanovena co nejpřesněji</w:t>
      </w:r>
      <w:r w:rsidR="00EF0211">
        <w:t>.</w:t>
      </w:r>
    </w:p>
    <w:p w14:paraId="064E5C7F" w14:textId="6FE708C4" w:rsidR="003C7883" w:rsidRPr="003C7883" w:rsidRDefault="00C64DB4" w:rsidP="002522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Všechna zvířata, která mají být léčena, by měla mít dostatečný přístup </w:t>
      </w:r>
      <w:r w:rsidR="00E54ED2">
        <w:t>k napájecímu systému</w:t>
      </w:r>
      <w:r>
        <w:t xml:space="preserve">, aby byla zajištěn adekvátní </w:t>
      </w:r>
      <w:r w:rsidR="00E54ED2">
        <w:t xml:space="preserve">příjem </w:t>
      </w:r>
      <w:proofErr w:type="spellStart"/>
      <w:r w:rsidR="00E54ED2">
        <w:t>medikované</w:t>
      </w:r>
      <w:proofErr w:type="spellEnd"/>
      <w:r>
        <w:t xml:space="preserve"> vody.</w:t>
      </w:r>
    </w:p>
    <w:p w14:paraId="073F2D03" w14:textId="211ED990" w:rsidR="00D0797E" w:rsidRPr="00D0797E" w:rsidRDefault="00D0797E" w:rsidP="00252289">
      <w:pPr>
        <w:tabs>
          <w:tab w:val="clear" w:pos="567"/>
        </w:tabs>
        <w:spacing w:line="240" w:lineRule="auto"/>
        <w:jc w:val="both"/>
      </w:pPr>
      <w:r>
        <w:t xml:space="preserve">Aby byl zajištěn </w:t>
      </w:r>
      <w:r w:rsidR="00E54ED2">
        <w:t xml:space="preserve">příjem </w:t>
      </w:r>
      <w:proofErr w:type="spellStart"/>
      <w:r w:rsidR="00E54ED2">
        <w:t>medikované</w:t>
      </w:r>
      <w:proofErr w:type="spellEnd"/>
      <w:r w:rsidR="00E54ED2">
        <w:t xml:space="preserve"> </w:t>
      </w:r>
      <w:r w:rsidR="00881B0D">
        <w:t>vody</w:t>
      </w:r>
      <w:r>
        <w:t>, neměla by mít zvířata během léčby přístup k jinému zdroji vody.</w:t>
      </w:r>
    </w:p>
    <w:p w14:paraId="1DAE7A66" w14:textId="77777777" w:rsidR="00D0797E" w:rsidRPr="00D0797E" w:rsidRDefault="00D0797E" w:rsidP="00252289">
      <w:pPr>
        <w:tabs>
          <w:tab w:val="clear" w:pos="567"/>
        </w:tabs>
        <w:spacing w:line="240" w:lineRule="auto"/>
        <w:jc w:val="both"/>
      </w:pPr>
      <w:r>
        <w:t>Roztok s čerstvou pitnou vodou připravte bezprostředně před použitím.</w:t>
      </w:r>
    </w:p>
    <w:p w14:paraId="499A5845" w14:textId="010A8394" w:rsidR="00C64DB4" w:rsidRPr="009B45F2" w:rsidRDefault="00C64DB4" w:rsidP="00252289">
      <w:pPr>
        <w:jc w:val="both"/>
      </w:pPr>
      <w:r>
        <w:t xml:space="preserve">Úplné rozpuštění přípravku by mělo být zajištěno jemným mícháním přípravku až do úplného </w:t>
      </w:r>
      <w:r w:rsidRPr="009B45F2">
        <w:t>rozpuštění. Během podávání zvířatům musí být zachována homogenita pitné vody</w:t>
      </w:r>
      <w:r w:rsidR="00881B0D">
        <w:t xml:space="preserve"> s obsahem přípravku</w:t>
      </w:r>
      <w:r w:rsidRPr="009B45F2">
        <w:t>.</w:t>
      </w:r>
    </w:p>
    <w:p w14:paraId="41393844" w14:textId="378D2A0D" w:rsidR="00D0797E" w:rsidRPr="00D0797E" w:rsidRDefault="00D0797E" w:rsidP="00252289">
      <w:pPr>
        <w:tabs>
          <w:tab w:val="clear" w:pos="567"/>
        </w:tabs>
        <w:spacing w:line="240" w:lineRule="auto"/>
        <w:jc w:val="both"/>
      </w:pPr>
      <w:r>
        <w:t xml:space="preserve">Maximální rozpustnost </w:t>
      </w:r>
      <w:r w:rsidR="00EF0211">
        <w:t xml:space="preserve">veterinárního léčivého </w:t>
      </w:r>
      <w:r>
        <w:t xml:space="preserve">přípravku ve vodě je 8 g/ l při 20 °C a 3 g/l při 5 °C. </w:t>
      </w:r>
      <w:r w:rsidR="000F0673">
        <w:t>U </w:t>
      </w:r>
      <w:r>
        <w:t>zásobních roztoků a</w:t>
      </w:r>
      <w:r w:rsidR="00BE627D">
        <w:t> </w:t>
      </w:r>
      <w:r>
        <w:t>při</w:t>
      </w:r>
      <w:r w:rsidR="00BE627D">
        <w:t> </w:t>
      </w:r>
      <w:r>
        <w:t xml:space="preserve">použití dávkovače dbejte na to, abyste nepřekročili maximální rozpustnost, které lze za daných podmínek dosáhnout. Upravte nastavení průtoku dávkovacího </w:t>
      </w:r>
      <w:r w:rsidR="00881B0D">
        <w:t xml:space="preserve">zařízení </w:t>
      </w:r>
      <w:r>
        <w:t>podle koncentrace zásobního roztoku a příjmu vody u léčených zvířat.</w:t>
      </w:r>
    </w:p>
    <w:p w14:paraId="4B306371" w14:textId="24AE0F70" w:rsidR="00D0797E" w:rsidRPr="00D0797E" w:rsidRDefault="00D0797E" w:rsidP="00A71A52">
      <w:pPr>
        <w:tabs>
          <w:tab w:val="clear" w:pos="567"/>
        </w:tabs>
        <w:spacing w:line="240" w:lineRule="auto"/>
        <w:jc w:val="both"/>
      </w:pPr>
      <w:r>
        <w:t xml:space="preserve">Veškerá </w:t>
      </w:r>
      <w:proofErr w:type="spellStart"/>
      <w:r w:rsidR="00E54ED2">
        <w:t>medikovaná</w:t>
      </w:r>
      <w:proofErr w:type="spellEnd"/>
      <w:r w:rsidR="00E54ED2">
        <w:t xml:space="preserve"> </w:t>
      </w:r>
      <w:r>
        <w:t xml:space="preserve">voda, která se nespotřebuje do 24 hodin, musí být zlikvidována a pitná voda </w:t>
      </w:r>
      <w:r w:rsidR="00641A59">
        <w:t xml:space="preserve">s obsahem přípravku </w:t>
      </w:r>
      <w:r>
        <w:t>znovu doplněna.</w:t>
      </w:r>
    </w:p>
    <w:p w14:paraId="1A63BE9E" w14:textId="77777777" w:rsidR="003C7700" w:rsidRPr="00DD6E5D" w:rsidRDefault="003C7700" w:rsidP="0025228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4082BF" w14:textId="572C590C" w:rsidR="003C7700" w:rsidRPr="003C7700" w:rsidRDefault="004A07E7" w:rsidP="00252289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 xml:space="preserve">Podání </w:t>
      </w:r>
      <w:r w:rsidR="003C7700">
        <w:rPr>
          <w:u w:val="single"/>
        </w:rPr>
        <w:t>v tekutém krmivu (pro prasata):</w:t>
      </w:r>
    </w:p>
    <w:p w14:paraId="68E4C79B" w14:textId="77777777" w:rsidR="003C7700" w:rsidRPr="00DD6E5D" w:rsidRDefault="003C7700" w:rsidP="0025228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40271B3" w14:textId="3E8931AE" w:rsidR="004A07E7" w:rsidRPr="008E3DCA" w:rsidRDefault="00E54ED2" w:rsidP="004A07E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</w:t>
      </w:r>
      <w:r w:rsidR="004A07E7">
        <w:t xml:space="preserve"> tekutém krmivu podejte dávku 20 mg </w:t>
      </w:r>
      <w:proofErr w:type="spellStart"/>
      <w:r w:rsidR="004A07E7">
        <w:t>trihydrátu</w:t>
      </w:r>
      <w:proofErr w:type="spellEnd"/>
      <w:r w:rsidR="004A07E7">
        <w:t xml:space="preserve"> amoxicilinu na kg živé hmotnosti</w:t>
      </w:r>
      <w:bookmarkStart w:id="8" w:name="_Hlk49958261"/>
      <w:r w:rsidR="004A07E7">
        <w:t xml:space="preserve"> denně, což odpovídá 17,4 mg amoxicilinu na kg živé hmotnosti denně </w:t>
      </w:r>
      <w:bookmarkStart w:id="9" w:name="_Hlk44662134"/>
      <w:bookmarkEnd w:id="8"/>
      <w:r w:rsidR="004A07E7">
        <w:t xml:space="preserve">(což odpovídá 25 mg </w:t>
      </w:r>
      <w:r w:rsidR="00EF0211">
        <w:t xml:space="preserve">veterinárního léčivého </w:t>
      </w:r>
      <w:r w:rsidR="004A07E7">
        <w:t>přípravku na kg živé hmotnosti denně)</w:t>
      </w:r>
      <w:r w:rsidR="004A07E7">
        <w:rPr>
          <w:sz w:val="20"/>
        </w:rPr>
        <w:t xml:space="preserve"> </w:t>
      </w:r>
      <w:bookmarkEnd w:id="9"/>
      <w:r w:rsidR="004A07E7">
        <w:t>po dobu až 5 dnů. Krmivo s obsahem přípravku je nezbytné pod dobu léčby čerstvě připravovat alespoň 2krát denně. Denní dávka by se měla počítat na základě počtu zvířat a průměrné hmotnosti a poté vydělit počtem dávek krmiva připravovaných během dne.</w:t>
      </w:r>
    </w:p>
    <w:p w14:paraId="1CD0E301" w14:textId="72D9B3DF" w:rsidR="004A07E7" w:rsidRDefault="004A07E7" w:rsidP="004A07E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Tekuté krmivo s obsahem </w:t>
      </w:r>
      <w:r w:rsidR="00EF0211">
        <w:t xml:space="preserve">veterinárního léčivého </w:t>
      </w:r>
      <w:r>
        <w:t xml:space="preserve">přípravku by se mělo připravovat s čerstvou pitnou vodou. Rozpusťte požadované množství </w:t>
      </w:r>
      <w:r w:rsidR="00EF0211">
        <w:t xml:space="preserve">veterinárního léčivého </w:t>
      </w:r>
      <w:r>
        <w:t>přípravku v celém množství vody, které je potřeba pro přípravu tekutého krmiva, nebo jeho části. Maximální rozpustnost přípravku ve vodě je přibližně 8 g/l při 20 °C a 3 g/l při 5 °C. Je třeba zajistit úplné rozpuštění prášku.</w:t>
      </w:r>
    </w:p>
    <w:p w14:paraId="14A16453" w14:textId="275FBF46" w:rsidR="004A07E7" w:rsidRPr="000D3A23" w:rsidRDefault="004A07E7" w:rsidP="004A07E7">
      <w:pPr>
        <w:tabs>
          <w:tab w:val="clear" w:pos="567"/>
        </w:tabs>
        <w:spacing w:line="240" w:lineRule="auto"/>
        <w:contextualSpacing/>
        <w:jc w:val="both"/>
        <w:rPr>
          <w:szCs w:val="22"/>
        </w:rPr>
      </w:pPr>
      <w:r>
        <w:t>Tuto vodu s obsahem přípravku lze pak smíchat se suchým kompletním krmivem a případně se</w:t>
      </w:r>
      <w:r w:rsidR="00BE627D">
        <w:t> </w:t>
      </w:r>
      <w:r>
        <w:t xml:space="preserve">zbytkem vody. Použitý systém by měl zajistit rovnoměrné </w:t>
      </w:r>
      <w:r w:rsidR="00E54ED2">
        <w:t xml:space="preserve">zamíchání </w:t>
      </w:r>
      <w:r>
        <w:t>vody s obsahem přípravku do</w:t>
      </w:r>
      <w:r w:rsidR="00BE627D">
        <w:t> </w:t>
      </w:r>
      <w:r>
        <w:t xml:space="preserve">krmiva. Jakmile bude tekuté krmivo s obsahem přípravku připraveno, mělo by být </w:t>
      </w:r>
      <w:r w:rsidR="00E54ED2">
        <w:t xml:space="preserve">zkrmeno </w:t>
      </w:r>
      <w:r>
        <w:t>prasatům do 2 hodin. Stabilita amoxicilinu ve všech komerčních krmivech nebyla stanovena. Aby byl</w:t>
      </w:r>
      <w:r w:rsidR="00E54ED2">
        <w:t>o</w:t>
      </w:r>
      <w:r>
        <w:t xml:space="preserve"> minimalizován</w:t>
      </w:r>
      <w:r w:rsidR="00E54ED2">
        <w:t>o</w:t>
      </w:r>
      <w:r>
        <w:t xml:space="preserve"> případn</w:t>
      </w:r>
      <w:r w:rsidR="00E54ED2">
        <w:t>é</w:t>
      </w:r>
      <w:r>
        <w:t xml:space="preserve"> </w:t>
      </w:r>
      <w:r w:rsidR="00E54ED2">
        <w:t>snížení účinnosti</w:t>
      </w:r>
      <w:r>
        <w:t xml:space="preserve"> amoxicilinu, nemělo by množství připraveného tekutého krmiva s obsahem přípravku překročit množství krmiva, které bude spotřebováno do 2 hodin. Tekuté krmivo s obsahem přípravku by nemělo být fermentováno</w:t>
      </w:r>
      <w:bookmarkStart w:id="10" w:name="_Hlk58939524"/>
      <w:r>
        <w:t xml:space="preserve">. Veškeré tekuté krmivo s obsahem přípravku, které není spotřebováno do 2 hodin, musí být zlikvidováno. </w:t>
      </w:r>
    </w:p>
    <w:bookmarkEnd w:id="7"/>
    <w:bookmarkEnd w:id="10"/>
    <w:p w14:paraId="49981B9E" w14:textId="54B91648" w:rsidR="003C7700" w:rsidRPr="009D2972" w:rsidRDefault="003C7883" w:rsidP="00A71A52">
      <w:pPr>
        <w:tabs>
          <w:tab w:val="clear" w:pos="567"/>
        </w:tabs>
        <w:spacing w:line="240" w:lineRule="auto"/>
        <w:jc w:val="both"/>
      </w:pPr>
      <w:r>
        <w:t>Po skončení léčebného období musí být systémy přívodu vody a tekutého krmiva řádně vyčištěny, aby</w:t>
      </w:r>
      <w:r w:rsidR="00BE627D">
        <w:t> </w:t>
      </w:r>
      <w:r>
        <w:t xml:space="preserve">se zabránilo příjmu </w:t>
      </w:r>
      <w:proofErr w:type="spellStart"/>
      <w:r>
        <w:t>subterapeutických</w:t>
      </w:r>
      <w:proofErr w:type="spellEnd"/>
      <w:r>
        <w:t xml:space="preserve"> množství </w:t>
      </w:r>
      <w:r w:rsidR="004A07E7">
        <w:t xml:space="preserve">léčivé </w:t>
      </w:r>
      <w:r>
        <w:t>látky.</w:t>
      </w:r>
    </w:p>
    <w:p w14:paraId="6B68679E" w14:textId="1686FB4B" w:rsidR="003C7700" w:rsidRDefault="003C7700" w:rsidP="003C770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36324D1" w14:textId="77777777" w:rsidR="000F0673" w:rsidRPr="00474C50" w:rsidRDefault="000F0673" w:rsidP="003C770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F5C15D5" w14:textId="1F39B5ED" w:rsidR="003C7700" w:rsidRPr="00C021B8" w:rsidRDefault="003C7700" w:rsidP="003C7700">
      <w:pPr>
        <w:tabs>
          <w:tab w:val="clear" w:pos="567"/>
        </w:tabs>
        <w:spacing w:line="240" w:lineRule="auto"/>
        <w:rPr>
          <w:szCs w:val="22"/>
        </w:rPr>
      </w:pPr>
      <w:r w:rsidRPr="00AF0107">
        <w:rPr>
          <w:b/>
          <w:highlight w:val="lightGray"/>
        </w:rPr>
        <w:t>9.</w:t>
      </w:r>
      <w:r>
        <w:rPr>
          <w:b/>
        </w:rPr>
        <w:tab/>
      </w:r>
      <w:r w:rsidR="00C80BDE">
        <w:rPr>
          <w:b/>
        </w:rPr>
        <w:t>Informace o správném podávání</w:t>
      </w:r>
    </w:p>
    <w:p w14:paraId="2ABE428E" w14:textId="77777777" w:rsidR="003C7700" w:rsidRPr="003C7700" w:rsidRDefault="003C7700" w:rsidP="003C7700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600C0193" w14:textId="57724FA8" w:rsidR="00E827DD" w:rsidRDefault="00EE153C" w:rsidP="00252289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 xml:space="preserve">Podání </w:t>
      </w:r>
      <w:r w:rsidR="00C021B8">
        <w:rPr>
          <w:u w:val="single"/>
        </w:rPr>
        <w:t>v pitné vodě:</w:t>
      </w:r>
      <w:r w:rsidR="00C021B8">
        <w:t xml:space="preserve"> Aby byla zajištěna konzumace </w:t>
      </w:r>
      <w:r w:rsidR="00881B0D">
        <w:t>vody s obsahem přípravku</w:t>
      </w:r>
      <w:r w:rsidR="00C021B8">
        <w:t>, neměla by mít zvířata během léčby přístup k jinému zdroji vody.</w:t>
      </w:r>
      <w:r w:rsidR="00C021B8">
        <w:rPr>
          <w:u w:val="single"/>
        </w:rPr>
        <w:t xml:space="preserve"> </w:t>
      </w:r>
    </w:p>
    <w:p w14:paraId="47A542E3" w14:textId="040510A1" w:rsidR="00E827DD" w:rsidRPr="003C7700" w:rsidRDefault="00EE153C" w:rsidP="002522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 xml:space="preserve">Podání </w:t>
      </w:r>
      <w:r w:rsidR="00E827DD">
        <w:rPr>
          <w:u w:val="single"/>
        </w:rPr>
        <w:t>v tekutém krmivu:</w:t>
      </w:r>
      <w:r w:rsidR="00E827DD">
        <w:t xml:space="preserve"> Ačkoli by omezený přístup k jiným zdrojům vody pomohl zajistit, aby bylo tekuté krmivo </w:t>
      </w:r>
      <w:r>
        <w:t xml:space="preserve">s obsahem přípravku </w:t>
      </w:r>
      <w:r w:rsidR="00E54ED2">
        <w:t>spotřebováno</w:t>
      </w:r>
      <w:r w:rsidR="00E827DD">
        <w:t xml:space="preserve">, čistá pitná voda by měla být vždy k dispozici zvlášť </w:t>
      </w:r>
      <w:r w:rsidR="00A71A52">
        <w:t>z </w:t>
      </w:r>
      <w:r w:rsidR="00E827DD">
        <w:t>důvodů zajištění dobrých životních podmínek.</w:t>
      </w:r>
    </w:p>
    <w:p w14:paraId="2A03DA2E" w14:textId="25AA2DAA" w:rsidR="003C7700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0CA6A435" w14:textId="77777777" w:rsidR="000F0673" w:rsidRPr="00DD6E5D" w:rsidRDefault="000F067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569D4F62" w14:textId="515BA78F" w:rsidR="003C7700" w:rsidRPr="00474C50" w:rsidRDefault="003C7700" w:rsidP="00EE0071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10.</w:t>
      </w:r>
      <w:r>
        <w:rPr>
          <w:b/>
        </w:rPr>
        <w:tab/>
      </w:r>
      <w:r w:rsidR="00C80BDE">
        <w:rPr>
          <w:b/>
        </w:rPr>
        <w:t>Ochranné lhůty</w:t>
      </w:r>
    </w:p>
    <w:p w14:paraId="6BFB3A57" w14:textId="77777777" w:rsidR="003C7700" w:rsidRDefault="003C7700" w:rsidP="00EE007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FFA1059" w14:textId="54E30B39" w:rsidR="003C7700" w:rsidRPr="00806007" w:rsidRDefault="003C7700" w:rsidP="003C7700">
      <w:pPr>
        <w:tabs>
          <w:tab w:val="clear" w:pos="567"/>
        </w:tabs>
        <w:spacing w:line="240" w:lineRule="auto"/>
        <w:rPr>
          <w:szCs w:val="22"/>
        </w:rPr>
      </w:pPr>
      <w:r>
        <w:t>Ku</w:t>
      </w:r>
      <w:r w:rsidR="00742B39">
        <w:t>r domácí</w:t>
      </w:r>
      <w:r>
        <w:t xml:space="preserve"> (maso): 1 den</w:t>
      </w:r>
      <w:r>
        <w:br/>
        <w:t>Kachny (maso): 9 dnů</w:t>
      </w:r>
      <w:r>
        <w:br/>
        <w:t>Krůty (maso): 5 dnů</w:t>
      </w:r>
      <w:r>
        <w:br/>
        <w:t>Prasata (maso): 2 dny</w:t>
      </w:r>
    </w:p>
    <w:p w14:paraId="5751D9CF" w14:textId="44380632" w:rsidR="00B670DB" w:rsidRPr="00B670DB" w:rsidRDefault="00B670DB" w:rsidP="00B670DB">
      <w:pPr>
        <w:rPr>
          <w:szCs w:val="22"/>
        </w:rPr>
      </w:pPr>
      <w:r>
        <w:t xml:space="preserve">Nepoužívat u </w:t>
      </w:r>
      <w:r w:rsidR="00C65282">
        <w:t>ptáků</w:t>
      </w:r>
      <w:r>
        <w:t>, jejichž vejce jsou určena pro lidskou spotřebu.</w:t>
      </w:r>
      <w:r>
        <w:rPr>
          <w:rFonts w:ascii="Segoe UI" w:hAnsi="Segoe UI"/>
          <w:sz w:val="20"/>
        </w:rPr>
        <w:t xml:space="preserve"> </w:t>
      </w:r>
      <w:r>
        <w:t>Nepoužívat během 4 týdnů před</w:t>
      </w:r>
      <w:r w:rsidR="00BE627D">
        <w:t> </w:t>
      </w:r>
      <w:r>
        <w:t>počátkem snášky.</w:t>
      </w:r>
    </w:p>
    <w:p w14:paraId="7A1DABDE" w14:textId="64F13F04" w:rsidR="003C7700" w:rsidRDefault="003C7700" w:rsidP="003C770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60B7218" w14:textId="77777777" w:rsidR="000F0673" w:rsidRPr="00474C50" w:rsidRDefault="000F0673" w:rsidP="003C770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68D34B8" w14:textId="34527F8F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11.</w:t>
      </w:r>
      <w:r>
        <w:rPr>
          <w:b/>
        </w:rPr>
        <w:tab/>
      </w:r>
      <w:r w:rsidR="00C80BDE">
        <w:rPr>
          <w:b/>
        </w:rPr>
        <w:t>Zvláštní opatření pro uchovávání</w:t>
      </w:r>
    </w:p>
    <w:p w14:paraId="622C4990" w14:textId="77777777" w:rsidR="003C7700" w:rsidRPr="00474C50" w:rsidRDefault="003C7700" w:rsidP="003C770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80F0788" w14:textId="5BF47128" w:rsidR="003C7700" w:rsidRPr="00474C50" w:rsidRDefault="003C7700" w:rsidP="003C770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</w:t>
      </w:r>
      <w:r w:rsidR="007210F9">
        <w:t>ejte</w:t>
      </w:r>
      <w:r>
        <w:t xml:space="preserve"> mimo dohled a dosah dětí.</w:t>
      </w:r>
    </w:p>
    <w:p w14:paraId="53A0CDAA" w14:textId="77777777" w:rsidR="00D0797E" w:rsidRDefault="00D0797E" w:rsidP="003C770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Chraňte před chladem nebo mrazem.</w:t>
      </w:r>
    </w:p>
    <w:p w14:paraId="5AFEC3C1" w14:textId="77777777" w:rsidR="009C7101" w:rsidRDefault="009C7101" w:rsidP="003C770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Uchovávejte v původním obalu, aby byl přípravek chráněn před světlem.</w:t>
      </w:r>
    </w:p>
    <w:p w14:paraId="7AA8AA83" w14:textId="77777777" w:rsidR="003C7700" w:rsidRPr="00474C50" w:rsidRDefault="003C7700" w:rsidP="003C770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Uchovávejte v dobře uzavřeném vnitřním obalu.</w:t>
      </w:r>
    </w:p>
    <w:p w14:paraId="33A256E8" w14:textId="77777777" w:rsidR="003C7700" w:rsidRDefault="00D0797E" w:rsidP="003C770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Uchovávejte v suchu.</w:t>
      </w:r>
    </w:p>
    <w:p w14:paraId="75ECCABC" w14:textId="77777777" w:rsidR="00D0797E" w:rsidRPr="00474C50" w:rsidRDefault="00D0797E" w:rsidP="003C770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82A80F1" w14:textId="764F5719" w:rsidR="003C7700" w:rsidRDefault="003C7700" w:rsidP="003C770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Nepoužívejte tento veterinární léčivý přípravek po uplynutí doby použitelnost</w:t>
      </w:r>
      <w:r w:rsidR="00FA3260">
        <w:t>i</w:t>
      </w:r>
      <w:r>
        <w:t xml:space="preserve"> uvedené na etiketě. Doba použitelnosti končí posledním dnem v měsíci.</w:t>
      </w:r>
    </w:p>
    <w:p w14:paraId="31A14DBB" w14:textId="77777777" w:rsidR="003C7700" w:rsidRPr="00474C50" w:rsidRDefault="003C7700" w:rsidP="003C770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42FD0E8" w14:textId="5CCD4C1F" w:rsidR="003C7700" w:rsidRPr="00474C50" w:rsidRDefault="003C7700" w:rsidP="003C770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Doba použitelnosti po prvním otevření vnitřního obalu: 6 měsíců</w:t>
      </w:r>
      <w:r w:rsidR="00FA3260">
        <w:t>.</w:t>
      </w:r>
    </w:p>
    <w:p w14:paraId="096E232F" w14:textId="2532650C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  <w:r>
        <w:t xml:space="preserve">Doba použitelnosti po rozpuštění v pitné vodě podle </w:t>
      </w:r>
      <w:r w:rsidR="00FA3260">
        <w:t>návodu</w:t>
      </w:r>
      <w:r>
        <w:t>: 24 hodin</w:t>
      </w:r>
      <w:r w:rsidR="00FA3260">
        <w:t>.</w:t>
      </w:r>
    </w:p>
    <w:p w14:paraId="61487FD0" w14:textId="195B40F3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  <w:r>
        <w:t xml:space="preserve">Doba použitelnosti po přidání do tekutého krmiva podle </w:t>
      </w:r>
      <w:r w:rsidR="00FA3260">
        <w:t>návodu</w:t>
      </w:r>
      <w:r>
        <w:t>: 2 hodiny</w:t>
      </w:r>
      <w:r w:rsidR="00FA3260">
        <w:t>.</w:t>
      </w:r>
    </w:p>
    <w:p w14:paraId="2F639C9A" w14:textId="5024BCF0" w:rsidR="003C7700" w:rsidRDefault="003C7700" w:rsidP="0025228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F7BEAC" w14:textId="77777777" w:rsidR="003C7700" w:rsidRPr="00474C50" w:rsidRDefault="003C7700" w:rsidP="0025228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65374F2" w14:textId="664F610F" w:rsidR="001E2E21" w:rsidRPr="00474C50" w:rsidRDefault="00C80BDE" w:rsidP="00252289">
      <w:pPr>
        <w:keepNext/>
        <w:tabs>
          <w:tab w:val="clear" w:pos="567"/>
        </w:tabs>
        <w:spacing w:line="240" w:lineRule="auto"/>
        <w:ind w:left="567" w:hanging="567"/>
        <w:jc w:val="both"/>
        <w:rPr>
          <w:b/>
          <w:szCs w:val="22"/>
        </w:rPr>
      </w:pPr>
      <w:r>
        <w:rPr>
          <w:b/>
          <w:highlight w:val="lightGray"/>
        </w:rPr>
        <w:t>12</w:t>
      </w:r>
      <w:r w:rsidR="003C7700">
        <w:rPr>
          <w:b/>
          <w:highlight w:val="lightGray"/>
        </w:rPr>
        <w:t>.</w:t>
      </w:r>
      <w:r w:rsidR="003C7700">
        <w:rPr>
          <w:b/>
        </w:rPr>
        <w:tab/>
      </w:r>
      <w:r>
        <w:rPr>
          <w:b/>
        </w:rPr>
        <w:t>Zvláštní opatření pro likvidaci</w:t>
      </w:r>
    </w:p>
    <w:p w14:paraId="373DFDB8" w14:textId="77777777" w:rsidR="003C7700" w:rsidRPr="00474C50" w:rsidRDefault="003C7700" w:rsidP="00C80BDE">
      <w:pPr>
        <w:keepNext/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</w:p>
    <w:p w14:paraId="5B270A4F" w14:textId="15F65D81" w:rsidR="00EE0071" w:rsidRDefault="00EE0071" w:rsidP="003F0D37">
      <w:pPr>
        <w:keepNext/>
        <w:tabs>
          <w:tab w:val="clear" w:pos="567"/>
        </w:tabs>
        <w:spacing w:line="240" w:lineRule="auto"/>
        <w:jc w:val="both"/>
      </w:pPr>
      <w:r>
        <w:t>Léčivé přípravky se nesmí likvidovat prostřednictvím odpadní vody či domovního odpadu.</w:t>
      </w:r>
    </w:p>
    <w:p w14:paraId="03C35218" w14:textId="77777777" w:rsidR="00EE0071" w:rsidRDefault="00EE0071" w:rsidP="003F0D37">
      <w:pPr>
        <w:keepNext/>
        <w:tabs>
          <w:tab w:val="clear" w:pos="567"/>
        </w:tabs>
        <w:spacing w:line="240" w:lineRule="auto"/>
        <w:jc w:val="both"/>
      </w:pPr>
    </w:p>
    <w:p w14:paraId="6D6DC727" w14:textId="77777777" w:rsidR="00EE0071" w:rsidRDefault="00EE0071" w:rsidP="003F0D37">
      <w:pPr>
        <w:keepNext/>
        <w:tabs>
          <w:tab w:val="clear" w:pos="567"/>
        </w:tabs>
        <w:spacing w:line="240" w:lineRule="auto"/>
        <w:jc w:val="both"/>
      </w:pPr>
      <w:r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277E0B05" w14:textId="77777777" w:rsidR="00EE0071" w:rsidRDefault="00EE0071" w:rsidP="003F0D37">
      <w:pPr>
        <w:keepNext/>
        <w:tabs>
          <w:tab w:val="clear" w:pos="567"/>
        </w:tabs>
        <w:spacing w:line="240" w:lineRule="auto"/>
        <w:jc w:val="both"/>
      </w:pPr>
    </w:p>
    <w:p w14:paraId="5F082F9B" w14:textId="7D28904F" w:rsidR="003C7700" w:rsidRDefault="00EE0071" w:rsidP="003F0D37">
      <w:pPr>
        <w:tabs>
          <w:tab w:val="clear" w:pos="567"/>
        </w:tabs>
        <w:spacing w:line="240" w:lineRule="auto"/>
        <w:jc w:val="both"/>
        <w:rPr>
          <w:szCs w:val="22"/>
          <w:lang w:val="sl-SI"/>
        </w:rPr>
      </w:pPr>
      <w:r>
        <w:t>O možnostech likvidace nepotřebných léčivých přípravků se poraďte s vaším veterinárním lékařem nebo lékárníkem.</w:t>
      </w:r>
    </w:p>
    <w:p w14:paraId="0BD77690" w14:textId="6649597B" w:rsidR="00C80BDE" w:rsidRDefault="00C80BDE" w:rsidP="00C80BDE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26FAC0D1" w14:textId="77777777" w:rsidR="00EE0071" w:rsidRDefault="00EE0071" w:rsidP="00C80BDE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63EC2A0F" w14:textId="77777777" w:rsidR="00C80BDE" w:rsidRDefault="00C80BDE" w:rsidP="00C80BDE">
      <w:pPr>
        <w:tabs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13.</w:t>
      </w:r>
      <w:r>
        <w:rPr>
          <w:b/>
        </w:rPr>
        <w:tab/>
        <w:t>Klasifikace veterinárních léčivých přípravků</w:t>
      </w:r>
    </w:p>
    <w:p w14:paraId="761660AE" w14:textId="77777777" w:rsidR="00C80BDE" w:rsidRDefault="00C80BDE" w:rsidP="00C80BDE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7A8DAB1D" w14:textId="5387EE3E" w:rsidR="00C80BDE" w:rsidRDefault="00C80BDE" w:rsidP="00C80BDE">
      <w:pPr>
        <w:tabs>
          <w:tab w:val="clear" w:pos="567"/>
        </w:tabs>
        <w:spacing w:line="240" w:lineRule="auto"/>
        <w:jc w:val="both"/>
      </w:pPr>
      <w:r>
        <w:t>Veterinární léčivý přípravek je vydáván pouze na předpis</w:t>
      </w:r>
    </w:p>
    <w:p w14:paraId="38F301B4" w14:textId="77777777" w:rsidR="00C80BDE" w:rsidRDefault="00C80BDE" w:rsidP="00C80BDE">
      <w:pPr>
        <w:tabs>
          <w:tab w:val="clear" w:pos="567"/>
        </w:tabs>
        <w:spacing w:line="240" w:lineRule="auto"/>
        <w:jc w:val="both"/>
        <w:rPr>
          <w:szCs w:val="22"/>
          <w:lang w:val="sl-SI"/>
        </w:rPr>
      </w:pPr>
    </w:p>
    <w:p w14:paraId="6DF373F2" w14:textId="77777777" w:rsidR="00C80BDE" w:rsidRDefault="00C80BDE" w:rsidP="00C80BDE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2FB3FEC1" w14:textId="77777777" w:rsidR="00C80BDE" w:rsidRDefault="00C80BDE" w:rsidP="00C80BDE">
      <w:pPr>
        <w:tabs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14.</w:t>
      </w:r>
      <w:r>
        <w:rPr>
          <w:b/>
        </w:rPr>
        <w:tab/>
        <w:t>Registrační čísla a velikosti balení</w:t>
      </w:r>
    </w:p>
    <w:p w14:paraId="27410510" w14:textId="77777777" w:rsidR="00C80BDE" w:rsidRDefault="00C80BDE" w:rsidP="00C80BDE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163FF956" w14:textId="422A85EE" w:rsidR="001E2E21" w:rsidRPr="00F830AB" w:rsidRDefault="001E2E21" w:rsidP="00AF0107">
      <w:pPr>
        <w:tabs>
          <w:tab w:val="clear" w:pos="567"/>
        </w:tabs>
        <w:spacing w:line="240" w:lineRule="auto"/>
        <w:rPr>
          <w:szCs w:val="22"/>
        </w:rPr>
      </w:pPr>
      <w:r>
        <w:t>Kelímek o obsahu 100 g.</w:t>
      </w:r>
    </w:p>
    <w:p w14:paraId="2F4D25A5" w14:textId="7460CA48" w:rsidR="001E2E21" w:rsidRPr="00F830AB" w:rsidRDefault="001E2E21" w:rsidP="00AF0107">
      <w:pPr>
        <w:tabs>
          <w:tab w:val="clear" w:pos="567"/>
        </w:tabs>
        <w:spacing w:line="240" w:lineRule="auto"/>
        <w:rPr>
          <w:szCs w:val="22"/>
        </w:rPr>
      </w:pPr>
      <w:r>
        <w:t xml:space="preserve">Tepelně uzavřený vak o obsahu 100 g. </w:t>
      </w:r>
    </w:p>
    <w:p w14:paraId="3DA9F6C5" w14:textId="413F2C36" w:rsidR="001E2E21" w:rsidRPr="00F830AB" w:rsidRDefault="001E2E21" w:rsidP="00AF0107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Rychlouzavíratelný</w:t>
      </w:r>
      <w:proofErr w:type="spellEnd"/>
      <w:r>
        <w:t xml:space="preserve"> vak se zipem o obsahu 500 g.</w:t>
      </w:r>
    </w:p>
    <w:p w14:paraId="3C6CB683" w14:textId="2F8FDE3F" w:rsidR="001E2E21" w:rsidRPr="00F830AB" w:rsidRDefault="001E2E21" w:rsidP="00AF0107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Rychlouzavíratelný</w:t>
      </w:r>
      <w:proofErr w:type="spellEnd"/>
      <w:r>
        <w:t xml:space="preserve"> vak se zipem o obsahu 1 kg. </w:t>
      </w:r>
    </w:p>
    <w:p w14:paraId="11662256" w14:textId="77777777" w:rsidR="001E2E21" w:rsidRDefault="001E2E21" w:rsidP="00C80BDE">
      <w:pPr>
        <w:tabs>
          <w:tab w:val="clear" w:pos="567"/>
          <w:tab w:val="left" w:pos="708"/>
        </w:tabs>
        <w:spacing w:line="240" w:lineRule="auto"/>
      </w:pPr>
    </w:p>
    <w:p w14:paraId="665B69C5" w14:textId="453264DD" w:rsidR="00C80BDE" w:rsidRDefault="00C80BDE" w:rsidP="00C80BDE">
      <w:pPr>
        <w:tabs>
          <w:tab w:val="clear" w:pos="567"/>
        </w:tabs>
        <w:spacing w:line="240" w:lineRule="auto"/>
        <w:jc w:val="both"/>
        <w:rPr>
          <w:szCs w:val="22"/>
          <w:lang w:val="sl-SI"/>
        </w:rPr>
      </w:pPr>
      <w:r>
        <w:t>Na trhu nemusí být všechny velikosti balení</w:t>
      </w:r>
    </w:p>
    <w:p w14:paraId="3861779D" w14:textId="77777777" w:rsidR="00C80BDE" w:rsidRDefault="00C80BDE" w:rsidP="00C80BDE">
      <w:pPr>
        <w:tabs>
          <w:tab w:val="clear" w:pos="567"/>
        </w:tabs>
        <w:spacing w:line="240" w:lineRule="auto"/>
        <w:jc w:val="both"/>
        <w:rPr>
          <w:szCs w:val="22"/>
          <w:lang w:val="sl-SI"/>
        </w:rPr>
      </w:pPr>
    </w:p>
    <w:p w14:paraId="729F5251" w14:textId="77777777" w:rsidR="00C80BDE" w:rsidRPr="00FF194B" w:rsidRDefault="00C80BDE" w:rsidP="00C80BDE">
      <w:pPr>
        <w:tabs>
          <w:tab w:val="clear" w:pos="567"/>
        </w:tabs>
        <w:spacing w:line="240" w:lineRule="auto"/>
        <w:jc w:val="both"/>
        <w:rPr>
          <w:szCs w:val="22"/>
          <w:lang w:val="sl-SI"/>
        </w:rPr>
      </w:pPr>
    </w:p>
    <w:p w14:paraId="060BCD59" w14:textId="509DA3AD" w:rsidR="00C80BDE" w:rsidRPr="00AF0107" w:rsidRDefault="00C80BDE" w:rsidP="00C80BDE">
      <w:pPr>
        <w:tabs>
          <w:tab w:val="left" w:pos="426"/>
        </w:tabs>
        <w:spacing w:line="240" w:lineRule="auto"/>
        <w:rPr>
          <w:b/>
        </w:rPr>
      </w:pPr>
      <w:r>
        <w:rPr>
          <w:b/>
          <w:highlight w:val="lightGray"/>
        </w:rPr>
        <w:t>15</w:t>
      </w:r>
      <w:r w:rsidR="003C7700">
        <w:rPr>
          <w:b/>
          <w:highlight w:val="lightGray"/>
        </w:rPr>
        <w:t>.</w:t>
      </w:r>
      <w:r w:rsidR="003C7700">
        <w:rPr>
          <w:b/>
        </w:rPr>
        <w:tab/>
      </w:r>
      <w:r>
        <w:rPr>
          <w:b/>
        </w:rPr>
        <w:t>Datum poslední revize příbalové informace</w:t>
      </w:r>
    </w:p>
    <w:p w14:paraId="0FC37AC0" w14:textId="4A9D0362" w:rsidR="003C7700" w:rsidRPr="00474C50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5948CBF9" w14:textId="2EBDB8F0" w:rsidR="003C7700" w:rsidRDefault="00AF0107" w:rsidP="00EE0071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gramStart"/>
      <w:r>
        <w:rPr>
          <w:szCs w:val="22"/>
        </w:rPr>
        <w:t>Leden</w:t>
      </w:r>
      <w:proofErr w:type="gramEnd"/>
      <w:r>
        <w:rPr>
          <w:szCs w:val="22"/>
        </w:rPr>
        <w:t xml:space="preserve"> 2024</w:t>
      </w:r>
    </w:p>
    <w:p w14:paraId="746A98C2" w14:textId="77777777" w:rsidR="00E54ED2" w:rsidRPr="00474C50" w:rsidRDefault="00E54ED2" w:rsidP="00EE007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5888FE" w14:textId="77777777" w:rsidR="00C80BDE" w:rsidRDefault="00C80BDE" w:rsidP="00EE0071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t xml:space="preserve">Podrobné informace o tomto veterinárním léčivém přípravku jsou k dispozici v databázi přípravků Unie </w:t>
      </w:r>
      <w:r>
        <w:rPr>
          <w:rStyle w:val="Hypertextovodkaz"/>
        </w:rPr>
        <w:t xml:space="preserve">Union </w:t>
      </w:r>
      <w:proofErr w:type="spellStart"/>
      <w:r>
        <w:rPr>
          <w:rStyle w:val="Hypertextovodkaz"/>
        </w:rPr>
        <w:t>Product</w:t>
      </w:r>
      <w:proofErr w:type="spellEnd"/>
      <w:r>
        <w:rPr>
          <w:rStyle w:val="Hypertextovodkaz"/>
        </w:rPr>
        <w:t xml:space="preserve"> Database</w:t>
      </w:r>
      <w:r>
        <w:t xml:space="preserve"> (</w:t>
      </w:r>
      <w:hyperlink r:id="rId6" w:history="1">
        <w:r>
          <w:rPr>
            <w:rStyle w:val="Hypertextovodkaz"/>
          </w:rPr>
          <w:t>https://medicines.health.europa.eu/veterinary</w:t>
        </w:r>
      </w:hyperlink>
      <w:r>
        <w:t>).</w:t>
      </w:r>
    </w:p>
    <w:p w14:paraId="5B3D3B23" w14:textId="71E0E85C" w:rsidR="00E54ED2" w:rsidRDefault="00E54ED2" w:rsidP="00EE007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045179" w14:textId="77777777" w:rsidR="00E54ED2" w:rsidRPr="00703002" w:rsidRDefault="00E54ED2" w:rsidP="00EE0071">
      <w:pPr>
        <w:spacing w:line="240" w:lineRule="auto"/>
        <w:jc w:val="both"/>
        <w:rPr>
          <w:rStyle w:val="Hypertextovodkaz"/>
          <w:szCs w:val="22"/>
        </w:rPr>
      </w:pPr>
      <w:r w:rsidRPr="00703002">
        <w:rPr>
          <w:szCs w:val="22"/>
        </w:rPr>
        <w:t>Podrobné informace o tomto veterinárním léčivém přípravku naleznete také v národní databázi (</w:t>
      </w:r>
      <w:hyperlink r:id="rId7" w:history="1">
        <w:r w:rsidRPr="00703002">
          <w:rPr>
            <w:rStyle w:val="Hypertextovodkaz"/>
            <w:szCs w:val="22"/>
          </w:rPr>
          <w:t>https://www.uskvbl.cz</w:t>
        </w:r>
      </w:hyperlink>
      <w:r w:rsidRPr="00703002">
        <w:rPr>
          <w:szCs w:val="22"/>
        </w:rPr>
        <w:t>).</w:t>
      </w:r>
    </w:p>
    <w:p w14:paraId="7B6BEF91" w14:textId="77777777" w:rsidR="00C80BDE" w:rsidRDefault="00C80BDE" w:rsidP="003C7700">
      <w:pPr>
        <w:tabs>
          <w:tab w:val="clear" w:pos="567"/>
        </w:tabs>
        <w:spacing w:line="240" w:lineRule="auto"/>
        <w:rPr>
          <w:szCs w:val="22"/>
        </w:rPr>
      </w:pPr>
    </w:p>
    <w:p w14:paraId="0C04AD9D" w14:textId="77777777" w:rsidR="00EF0211" w:rsidRDefault="00EF0211" w:rsidP="00EF0211">
      <w:pPr>
        <w:tabs>
          <w:tab w:val="clear" w:pos="567"/>
          <w:tab w:val="left" w:pos="708"/>
        </w:tabs>
        <w:spacing w:line="240" w:lineRule="auto"/>
        <w:rPr>
          <w:szCs w:val="22"/>
          <w:lang w:val="en-US"/>
        </w:rPr>
      </w:pPr>
    </w:p>
    <w:p w14:paraId="2A852100" w14:textId="77777777" w:rsidR="00EF0211" w:rsidRDefault="00EF0211" w:rsidP="00EF0211">
      <w:pPr>
        <w:tabs>
          <w:tab w:val="left" w:pos="426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16.</w:t>
      </w:r>
      <w:r>
        <w:rPr>
          <w:b/>
        </w:rPr>
        <w:t xml:space="preserve"> </w:t>
      </w:r>
      <w:r>
        <w:rPr>
          <w:b/>
        </w:rPr>
        <w:tab/>
        <w:t>Kontaktní údaje</w:t>
      </w:r>
    </w:p>
    <w:p w14:paraId="38A19DEF" w14:textId="77777777" w:rsidR="00EF0211" w:rsidRDefault="00EF0211" w:rsidP="003C7700">
      <w:pPr>
        <w:tabs>
          <w:tab w:val="clear" w:pos="567"/>
        </w:tabs>
        <w:spacing w:line="240" w:lineRule="auto"/>
        <w:rPr>
          <w:szCs w:val="22"/>
        </w:rPr>
      </w:pPr>
    </w:p>
    <w:p w14:paraId="4500ACC0" w14:textId="61AA533C" w:rsidR="00EF0211" w:rsidRDefault="00EF0211" w:rsidP="00EF0211">
      <w:pPr>
        <w:tabs>
          <w:tab w:val="clear" w:pos="567"/>
          <w:tab w:val="left" w:pos="708"/>
        </w:tabs>
        <w:spacing w:line="240" w:lineRule="auto"/>
        <w:rPr>
          <w:iCs/>
          <w:szCs w:val="22"/>
        </w:rPr>
      </w:pPr>
      <w:r>
        <w:rPr>
          <w:u w:val="single"/>
        </w:rPr>
        <w:t>Držitel rozhodnutí o registraci a kontaktní údaje pro hlášení podezření na nežádoucí účinky:</w:t>
      </w:r>
    </w:p>
    <w:p w14:paraId="2105B364" w14:textId="77777777" w:rsidR="00EF0211" w:rsidRPr="00807399" w:rsidRDefault="00EF0211" w:rsidP="00EF0211">
      <w:pPr>
        <w:tabs>
          <w:tab w:val="clear" w:pos="567"/>
        </w:tabs>
        <w:spacing w:line="240" w:lineRule="auto"/>
        <w:rPr>
          <w:szCs w:val="22"/>
        </w:rPr>
      </w:pPr>
      <w:r>
        <w:t>HUVEPHARMA NV</w:t>
      </w:r>
    </w:p>
    <w:p w14:paraId="72BFBD52" w14:textId="77777777" w:rsidR="00EF0211" w:rsidRPr="00413FA3" w:rsidRDefault="00EF0211" w:rsidP="00EF0211">
      <w:pPr>
        <w:tabs>
          <w:tab w:val="clear" w:pos="567"/>
          <w:tab w:val="left" w:pos="-589"/>
          <w:tab w:val="left" w:pos="0"/>
          <w:tab w:val="left" w:pos="510"/>
          <w:tab w:val="left" w:pos="1440"/>
        </w:tabs>
        <w:spacing w:line="240" w:lineRule="auto"/>
        <w:ind w:left="567" w:hanging="567"/>
        <w:jc w:val="both"/>
        <w:rPr>
          <w:szCs w:val="22"/>
        </w:rPr>
      </w:pPr>
      <w:r>
        <w:t>Uitbreidingstraat 80</w:t>
      </w:r>
    </w:p>
    <w:p w14:paraId="40CEE342" w14:textId="5DE71093" w:rsidR="00EF0211" w:rsidRPr="00413FA3" w:rsidRDefault="00EF0211" w:rsidP="00EF0211">
      <w:pPr>
        <w:tabs>
          <w:tab w:val="clear" w:pos="567"/>
          <w:tab w:val="left" w:pos="-589"/>
          <w:tab w:val="left" w:pos="0"/>
          <w:tab w:val="left" w:pos="510"/>
          <w:tab w:val="left" w:pos="1440"/>
        </w:tabs>
        <w:spacing w:line="240" w:lineRule="auto"/>
        <w:ind w:left="567" w:hanging="567"/>
        <w:jc w:val="both"/>
        <w:rPr>
          <w:szCs w:val="22"/>
        </w:rPr>
      </w:pPr>
      <w:r>
        <w:t xml:space="preserve">2600 </w:t>
      </w:r>
      <w:proofErr w:type="spellStart"/>
      <w:r>
        <w:t>Antwerp</w:t>
      </w:r>
      <w:r w:rsidR="00125263">
        <w:t>en</w:t>
      </w:r>
      <w:bookmarkStart w:id="11" w:name="_GoBack"/>
      <w:bookmarkEnd w:id="11"/>
      <w:proofErr w:type="spellEnd"/>
    </w:p>
    <w:p w14:paraId="5BF1272D" w14:textId="77777777" w:rsidR="00EF0211" w:rsidRDefault="00EF0211" w:rsidP="00EF0211">
      <w:pPr>
        <w:tabs>
          <w:tab w:val="clear" w:pos="567"/>
          <w:tab w:val="left" w:pos="-589"/>
          <w:tab w:val="left" w:pos="0"/>
          <w:tab w:val="left" w:pos="510"/>
          <w:tab w:val="left" w:pos="1440"/>
        </w:tabs>
        <w:spacing w:line="240" w:lineRule="auto"/>
        <w:ind w:left="567" w:hanging="567"/>
        <w:jc w:val="both"/>
      </w:pPr>
      <w:r>
        <w:t>Belgie</w:t>
      </w:r>
    </w:p>
    <w:p w14:paraId="43B6F23D" w14:textId="77777777" w:rsidR="00EF0211" w:rsidRDefault="00EF0211" w:rsidP="00EF0211">
      <w:pPr>
        <w:tabs>
          <w:tab w:val="clear" w:pos="567"/>
          <w:tab w:val="left" w:pos="-589"/>
          <w:tab w:val="left" w:pos="0"/>
          <w:tab w:val="left" w:pos="510"/>
          <w:tab w:val="left" w:pos="1440"/>
        </w:tabs>
        <w:spacing w:line="240" w:lineRule="auto"/>
        <w:ind w:left="567" w:hanging="567"/>
        <w:jc w:val="both"/>
        <w:rPr>
          <w:szCs w:val="22"/>
        </w:rPr>
      </w:pPr>
      <w:r>
        <w:t xml:space="preserve">+32 3 288 18 49 </w:t>
      </w:r>
    </w:p>
    <w:p w14:paraId="5C77F51C" w14:textId="77777777" w:rsidR="00EF0211" w:rsidRDefault="00EF0211" w:rsidP="00EF0211">
      <w:pPr>
        <w:tabs>
          <w:tab w:val="clear" w:pos="567"/>
          <w:tab w:val="left" w:pos="-589"/>
          <w:tab w:val="left" w:pos="0"/>
          <w:tab w:val="left" w:pos="510"/>
          <w:tab w:val="left" w:pos="1440"/>
        </w:tabs>
        <w:spacing w:line="240" w:lineRule="auto"/>
        <w:ind w:left="567" w:hanging="567"/>
        <w:jc w:val="both"/>
        <w:rPr>
          <w:szCs w:val="22"/>
        </w:rPr>
      </w:pPr>
      <w:r>
        <w:t>pharmacovigilance@huvepharma.com</w:t>
      </w:r>
    </w:p>
    <w:p w14:paraId="4D78DF22" w14:textId="77777777" w:rsidR="00EF0211" w:rsidRDefault="00EF0211" w:rsidP="00EF0211">
      <w:pPr>
        <w:tabs>
          <w:tab w:val="clear" w:pos="567"/>
        </w:tabs>
        <w:spacing w:line="240" w:lineRule="auto"/>
        <w:rPr>
          <w:szCs w:val="22"/>
        </w:rPr>
      </w:pPr>
    </w:p>
    <w:p w14:paraId="311509DF" w14:textId="77777777" w:rsidR="00EF0211" w:rsidRPr="0043028B" w:rsidRDefault="00EF0211" w:rsidP="00EF0211">
      <w:pPr>
        <w:spacing w:line="240" w:lineRule="auto"/>
        <w:ind w:left="709" w:hanging="709"/>
        <w:rPr>
          <w:u w:val="single"/>
        </w:rPr>
      </w:pPr>
      <w:r w:rsidRPr="0043028B">
        <w:rPr>
          <w:u w:val="single"/>
        </w:rPr>
        <w:t>Výrobce odpovědný za uvolnění šarže:</w:t>
      </w:r>
    </w:p>
    <w:p w14:paraId="0F2886C8" w14:textId="77777777" w:rsidR="00EF0211" w:rsidRPr="0043028B" w:rsidRDefault="00EF0211" w:rsidP="00EF0211">
      <w:pPr>
        <w:spacing w:line="240" w:lineRule="auto"/>
      </w:pPr>
      <w:r w:rsidRPr="0043028B">
        <w:t>HUVEPHARMA SA</w:t>
      </w:r>
      <w:r w:rsidRPr="0043028B">
        <w:br/>
        <w:t>34 rue Jean Monnet</w:t>
      </w:r>
    </w:p>
    <w:p w14:paraId="20C7672C" w14:textId="77777777" w:rsidR="00EF0211" w:rsidRPr="0043028B" w:rsidRDefault="00EF0211" w:rsidP="00EF0211">
      <w:pPr>
        <w:spacing w:line="240" w:lineRule="auto"/>
      </w:pPr>
      <w:r w:rsidRPr="0043028B">
        <w:t>Z.I. d’Etriché</w:t>
      </w:r>
    </w:p>
    <w:p w14:paraId="1CCDC586" w14:textId="77777777" w:rsidR="00EF0211" w:rsidRPr="0043028B" w:rsidRDefault="00EF0211" w:rsidP="00EF0211">
      <w:pPr>
        <w:spacing w:line="240" w:lineRule="auto"/>
      </w:pPr>
      <w:r w:rsidRPr="0043028B">
        <w:t>Segré</w:t>
      </w:r>
    </w:p>
    <w:p w14:paraId="1D1F648C" w14:textId="77777777" w:rsidR="00EF0211" w:rsidRPr="0043028B" w:rsidRDefault="00EF0211" w:rsidP="00EF0211">
      <w:pPr>
        <w:spacing w:line="240" w:lineRule="auto"/>
      </w:pPr>
      <w:r w:rsidRPr="0043028B">
        <w:t>49500 Segré-en-Anjou Bleu</w:t>
      </w:r>
    </w:p>
    <w:p w14:paraId="5861118B" w14:textId="77777777" w:rsidR="00EF0211" w:rsidRPr="0043028B" w:rsidRDefault="00EF0211" w:rsidP="00EF0211">
      <w:pPr>
        <w:spacing w:line="240" w:lineRule="auto"/>
      </w:pPr>
      <w:r w:rsidRPr="0043028B">
        <w:t>Francie</w:t>
      </w:r>
    </w:p>
    <w:p w14:paraId="7B22B9DA" w14:textId="77777777" w:rsidR="00EF0211" w:rsidRDefault="00EF0211" w:rsidP="003C7700">
      <w:pPr>
        <w:tabs>
          <w:tab w:val="clear" w:pos="567"/>
        </w:tabs>
        <w:spacing w:line="240" w:lineRule="auto"/>
        <w:rPr>
          <w:szCs w:val="22"/>
        </w:rPr>
      </w:pPr>
    </w:p>
    <w:p w14:paraId="38F1EB8E" w14:textId="77777777" w:rsidR="00EF0211" w:rsidRPr="00474C50" w:rsidRDefault="00EF0211" w:rsidP="003C7700">
      <w:pPr>
        <w:tabs>
          <w:tab w:val="clear" w:pos="567"/>
        </w:tabs>
        <w:spacing w:line="240" w:lineRule="auto"/>
        <w:rPr>
          <w:szCs w:val="22"/>
        </w:rPr>
      </w:pPr>
    </w:p>
    <w:p w14:paraId="4D27A5C3" w14:textId="56FBEDD5" w:rsidR="003C7700" w:rsidRDefault="00EF0211" w:rsidP="003C7700">
      <w:pPr>
        <w:tabs>
          <w:tab w:val="clear" w:pos="567"/>
        </w:tabs>
        <w:spacing w:line="240" w:lineRule="auto"/>
        <w:rPr>
          <w:b/>
        </w:rPr>
      </w:pPr>
      <w:r>
        <w:rPr>
          <w:b/>
          <w:highlight w:val="lightGray"/>
        </w:rPr>
        <w:t>17</w:t>
      </w:r>
      <w:r w:rsidR="003C7700">
        <w:rPr>
          <w:b/>
          <w:highlight w:val="lightGray"/>
        </w:rPr>
        <w:t>.</w:t>
      </w:r>
      <w:r w:rsidR="003C7700">
        <w:rPr>
          <w:b/>
        </w:rPr>
        <w:tab/>
      </w:r>
      <w:r>
        <w:rPr>
          <w:b/>
        </w:rPr>
        <w:t>Další informace</w:t>
      </w:r>
    </w:p>
    <w:p w14:paraId="06C535E8" w14:textId="77777777" w:rsidR="00AA18AF" w:rsidRDefault="00AA18AF" w:rsidP="003C7700">
      <w:pPr>
        <w:tabs>
          <w:tab w:val="clear" w:pos="567"/>
        </w:tabs>
        <w:spacing w:line="240" w:lineRule="auto"/>
        <w:rPr>
          <w:b/>
        </w:rPr>
      </w:pPr>
    </w:p>
    <w:p w14:paraId="793C8064" w14:textId="1762FB7C" w:rsidR="00EF0211" w:rsidRDefault="00EF0211"/>
    <w:sectPr w:rsidR="00EF0211" w:rsidSect="007F2F03">
      <w:headerReference w:type="default" r:id="rId8"/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B7023" w14:textId="77777777" w:rsidR="000B6DE0" w:rsidRDefault="000B6DE0">
      <w:pPr>
        <w:spacing w:line="240" w:lineRule="auto"/>
      </w:pPr>
      <w:r>
        <w:separator/>
      </w:r>
    </w:p>
  </w:endnote>
  <w:endnote w:type="continuationSeparator" w:id="0">
    <w:p w14:paraId="0CEF2E54" w14:textId="77777777" w:rsidR="000B6DE0" w:rsidRDefault="000B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61BBE" w14:textId="77777777" w:rsidR="00DB5727" w:rsidRPr="00B94A1B" w:rsidRDefault="00DB572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BE627D">
      <w:rPr>
        <w:rFonts w:ascii="Times New Roman" w:hAnsi="Times New Roman"/>
        <w:noProof/>
      </w:rPr>
      <w:t>3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FE1E0" w14:textId="77777777" w:rsidR="00DB5727" w:rsidRDefault="00DB572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BF921" w14:textId="77777777" w:rsidR="000B6DE0" w:rsidRDefault="000B6DE0">
      <w:pPr>
        <w:spacing w:line="240" w:lineRule="auto"/>
      </w:pPr>
      <w:r>
        <w:separator/>
      </w:r>
    </w:p>
  </w:footnote>
  <w:footnote w:type="continuationSeparator" w:id="0">
    <w:p w14:paraId="728929C1" w14:textId="77777777" w:rsidR="000B6DE0" w:rsidRDefault="000B6D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A134E" w14:textId="65B77793" w:rsidR="00DB5727" w:rsidRDefault="00DB57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700"/>
    <w:rsid w:val="00022643"/>
    <w:rsid w:val="00034A11"/>
    <w:rsid w:val="00051E3D"/>
    <w:rsid w:val="0006514B"/>
    <w:rsid w:val="0007730B"/>
    <w:rsid w:val="000B654D"/>
    <w:rsid w:val="000B6DE0"/>
    <w:rsid w:val="000F0673"/>
    <w:rsid w:val="0011400B"/>
    <w:rsid w:val="0012406B"/>
    <w:rsid w:val="00125263"/>
    <w:rsid w:val="00142D3A"/>
    <w:rsid w:val="00177C83"/>
    <w:rsid w:val="001E2E21"/>
    <w:rsid w:val="00205194"/>
    <w:rsid w:val="00216FD4"/>
    <w:rsid w:val="002176E9"/>
    <w:rsid w:val="00252289"/>
    <w:rsid w:val="00292200"/>
    <w:rsid w:val="00297546"/>
    <w:rsid w:val="002D2532"/>
    <w:rsid w:val="002F15FC"/>
    <w:rsid w:val="00307C99"/>
    <w:rsid w:val="003424BE"/>
    <w:rsid w:val="00355A15"/>
    <w:rsid w:val="00390B80"/>
    <w:rsid w:val="003A7533"/>
    <w:rsid w:val="003C7700"/>
    <w:rsid w:val="003C7883"/>
    <w:rsid w:val="003E0A0A"/>
    <w:rsid w:val="003E7460"/>
    <w:rsid w:val="003F0D37"/>
    <w:rsid w:val="00400C48"/>
    <w:rsid w:val="00405AA2"/>
    <w:rsid w:val="00413FA3"/>
    <w:rsid w:val="00415D02"/>
    <w:rsid w:val="00425A43"/>
    <w:rsid w:val="0043028B"/>
    <w:rsid w:val="00457754"/>
    <w:rsid w:val="00475EC3"/>
    <w:rsid w:val="004A07E7"/>
    <w:rsid w:val="004D2A80"/>
    <w:rsid w:val="004D4266"/>
    <w:rsid w:val="004F2B22"/>
    <w:rsid w:val="005230B8"/>
    <w:rsid w:val="00544638"/>
    <w:rsid w:val="00594AC2"/>
    <w:rsid w:val="00641A59"/>
    <w:rsid w:val="00642576"/>
    <w:rsid w:val="006501AA"/>
    <w:rsid w:val="00651A85"/>
    <w:rsid w:val="00663AAF"/>
    <w:rsid w:val="00680AF5"/>
    <w:rsid w:val="006B61AB"/>
    <w:rsid w:val="007210F9"/>
    <w:rsid w:val="00726D5B"/>
    <w:rsid w:val="00742B39"/>
    <w:rsid w:val="007879D8"/>
    <w:rsid w:val="007D598E"/>
    <w:rsid w:val="007D691B"/>
    <w:rsid w:val="007F59BB"/>
    <w:rsid w:val="00807399"/>
    <w:rsid w:val="008420BF"/>
    <w:rsid w:val="00881B0D"/>
    <w:rsid w:val="008E1A39"/>
    <w:rsid w:val="0090067D"/>
    <w:rsid w:val="0091132C"/>
    <w:rsid w:val="00912FBC"/>
    <w:rsid w:val="00992E4B"/>
    <w:rsid w:val="009A2C49"/>
    <w:rsid w:val="009A6AFC"/>
    <w:rsid w:val="009B45F2"/>
    <w:rsid w:val="009C0DF7"/>
    <w:rsid w:val="009C7101"/>
    <w:rsid w:val="009D2972"/>
    <w:rsid w:val="00A00CF6"/>
    <w:rsid w:val="00A14EBE"/>
    <w:rsid w:val="00A36825"/>
    <w:rsid w:val="00A50F68"/>
    <w:rsid w:val="00A71A52"/>
    <w:rsid w:val="00A745F7"/>
    <w:rsid w:val="00A92252"/>
    <w:rsid w:val="00AA18AF"/>
    <w:rsid w:val="00AF0107"/>
    <w:rsid w:val="00B416A5"/>
    <w:rsid w:val="00B534F6"/>
    <w:rsid w:val="00B670DB"/>
    <w:rsid w:val="00B715CB"/>
    <w:rsid w:val="00B728C4"/>
    <w:rsid w:val="00B86BB7"/>
    <w:rsid w:val="00BB6FD7"/>
    <w:rsid w:val="00BE627D"/>
    <w:rsid w:val="00C021B8"/>
    <w:rsid w:val="00C05D03"/>
    <w:rsid w:val="00C14658"/>
    <w:rsid w:val="00C32834"/>
    <w:rsid w:val="00C64DB4"/>
    <w:rsid w:val="00C65282"/>
    <w:rsid w:val="00C80BDE"/>
    <w:rsid w:val="00C81E73"/>
    <w:rsid w:val="00CB2099"/>
    <w:rsid w:val="00CB7227"/>
    <w:rsid w:val="00CC1986"/>
    <w:rsid w:val="00CC3412"/>
    <w:rsid w:val="00CE5864"/>
    <w:rsid w:val="00CF1F51"/>
    <w:rsid w:val="00CF6BA7"/>
    <w:rsid w:val="00D036A3"/>
    <w:rsid w:val="00D0797E"/>
    <w:rsid w:val="00D363B9"/>
    <w:rsid w:val="00D67941"/>
    <w:rsid w:val="00D91FCD"/>
    <w:rsid w:val="00DB5727"/>
    <w:rsid w:val="00DB6C68"/>
    <w:rsid w:val="00DD6875"/>
    <w:rsid w:val="00DD6E5D"/>
    <w:rsid w:val="00DF67A7"/>
    <w:rsid w:val="00E10A39"/>
    <w:rsid w:val="00E54ED2"/>
    <w:rsid w:val="00E63F69"/>
    <w:rsid w:val="00E73154"/>
    <w:rsid w:val="00E827DD"/>
    <w:rsid w:val="00EB0285"/>
    <w:rsid w:val="00EB165A"/>
    <w:rsid w:val="00EC5340"/>
    <w:rsid w:val="00EE0071"/>
    <w:rsid w:val="00EE153C"/>
    <w:rsid w:val="00EE2DDA"/>
    <w:rsid w:val="00EF0211"/>
    <w:rsid w:val="00F13674"/>
    <w:rsid w:val="00F37A4D"/>
    <w:rsid w:val="00F57BF8"/>
    <w:rsid w:val="00F90C44"/>
    <w:rsid w:val="00FA0085"/>
    <w:rsid w:val="00FA3260"/>
    <w:rsid w:val="00FE1FE4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32D44"/>
  <w15:docId w15:val="{887707A8-1E4B-4057-A259-52FB01C4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7700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C7700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rsid w:val="003C7700"/>
    <w:rPr>
      <w:rFonts w:ascii="Helvetica" w:eastAsia="Times New Roman" w:hAnsi="Helvetica" w:cs="Times New Roman"/>
      <w:sz w:val="20"/>
      <w:szCs w:val="20"/>
      <w:lang w:val="cs-CZ"/>
    </w:rPr>
  </w:style>
  <w:style w:type="paragraph" w:styleId="Zpat">
    <w:name w:val="footer"/>
    <w:basedOn w:val="Normln"/>
    <w:link w:val="ZpatChar"/>
    <w:rsid w:val="003C7700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3C7700"/>
    <w:rPr>
      <w:rFonts w:ascii="Helvetica" w:eastAsia="Times New Roman" w:hAnsi="Helvetica" w:cs="Times New Roman"/>
      <w:sz w:val="16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E4B"/>
    <w:rPr>
      <w:rFonts w:ascii="Segoe UI" w:eastAsia="Times New Roman" w:hAnsi="Segoe UI" w:cs="Segoe UI"/>
      <w:sz w:val="18"/>
      <w:szCs w:val="18"/>
      <w:lang w:val="cs-CZ"/>
    </w:rPr>
  </w:style>
  <w:style w:type="character" w:styleId="Hypertextovodkaz">
    <w:name w:val="Hyperlink"/>
    <w:unhideWhenUsed/>
    <w:rsid w:val="00C14658"/>
    <w:rPr>
      <w:color w:val="0000FF"/>
      <w:u w:val="single"/>
    </w:rPr>
  </w:style>
  <w:style w:type="paragraph" w:customStyle="1" w:styleId="HPRAMainBodyText">
    <w:name w:val="HPRA_MainBodyText"/>
    <w:basedOn w:val="Normln"/>
    <w:link w:val="HPRAMainBodyTextChar"/>
    <w:qFormat/>
    <w:rsid w:val="00DF67A7"/>
    <w:pPr>
      <w:tabs>
        <w:tab w:val="clear" w:pos="567"/>
      </w:tabs>
      <w:spacing w:line="240" w:lineRule="auto"/>
    </w:pPr>
    <w:rPr>
      <w:rFonts w:ascii="Segoe UI" w:eastAsiaTheme="minorHAnsi" w:hAnsi="Segoe UI" w:cs="Segoe UI"/>
      <w:sz w:val="20"/>
    </w:rPr>
  </w:style>
  <w:style w:type="character" w:customStyle="1" w:styleId="HPRAMainBodyTextChar">
    <w:name w:val="HPRA_MainBodyText Char"/>
    <w:basedOn w:val="Standardnpsmoodstavce"/>
    <w:link w:val="HPRAMainBodyText"/>
    <w:rsid w:val="00DF67A7"/>
    <w:rPr>
      <w:rFonts w:ascii="Segoe UI" w:hAnsi="Segoe UI" w:cs="Segoe UI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140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400B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400B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40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40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80BDE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skvbl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cines.health.europa.eu/veterinar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2055</Words>
  <Characters>12126</Characters>
  <Application>Microsoft Office Word</Application>
  <DocSecurity>0</DocSecurity>
  <Lines>101</Lines>
  <Paragraphs>28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Djamila Nicolas</dc:creator>
  <cp:keywords/>
  <dc:description/>
  <cp:lastModifiedBy>Neugebauerová Kateřina</cp:lastModifiedBy>
  <cp:revision>56</cp:revision>
  <cp:lastPrinted>2024-01-09T07:07:00Z</cp:lastPrinted>
  <dcterms:created xsi:type="dcterms:W3CDTF">2021-02-02T09:13:00Z</dcterms:created>
  <dcterms:modified xsi:type="dcterms:W3CDTF">2024-01-09T07:07:00Z</dcterms:modified>
</cp:coreProperties>
</file>