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C01E9" w14:textId="56EC1E14" w:rsidR="00E5162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3B4ADCA1" w14:textId="41FECD87" w:rsidR="004B35AF" w:rsidRDefault="004B35AF" w:rsidP="00BB0110">
      <w:pPr>
        <w:tabs>
          <w:tab w:val="clear" w:pos="567"/>
        </w:tabs>
        <w:spacing w:line="240" w:lineRule="auto"/>
        <w:rPr>
          <w:szCs w:val="22"/>
        </w:rPr>
      </w:pPr>
    </w:p>
    <w:p w14:paraId="671F80FE" w14:textId="3EA47F05" w:rsidR="004B35AF" w:rsidRDefault="004B35AF" w:rsidP="00BB0110">
      <w:pPr>
        <w:tabs>
          <w:tab w:val="clear" w:pos="567"/>
        </w:tabs>
        <w:spacing w:line="240" w:lineRule="auto"/>
        <w:rPr>
          <w:szCs w:val="22"/>
        </w:rPr>
      </w:pPr>
    </w:p>
    <w:p w14:paraId="47A9A820" w14:textId="77777777" w:rsidR="004B35AF" w:rsidRPr="00BB0110" w:rsidRDefault="004B35AF" w:rsidP="00BB0110">
      <w:pPr>
        <w:tabs>
          <w:tab w:val="clear" w:pos="567"/>
        </w:tabs>
        <w:spacing w:line="240" w:lineRule="auto"/>
        <w:rPr>
          <w:szCs w:val="22"/>
        </w:rPr>
      </w:pPr>
    </w:p>
    <w:p w14:paraId="23C233D8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6C4BA408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2CE0BA72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445D84DA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52BE6614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6D5EE0A9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6BDD939A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2E745D7A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4674E4B6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0D76EC18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264BFD42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4C3F8AB8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3CB98218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33C0B6F9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033849A6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216E1AF5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180CDE95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40C3BFBD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309F85AF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72D8641C" w14:textId="77777777" w:rsidR="00E51620" w:rsidRPr="00BB0110" w:rsidRDefault="00E51620" w:rsidP="00BB0110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B0110">
        <w:rPr>
          <w:b/>
          <w:szCs w:val="22"/>
        </w:rPr>
        <w:t>B. PŘÍBALOVÁ INFORMACE</w:t>
      </w:r>
    </w:p>
    <w:p w14:paraId="728588B2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113"/>
        <w:jc w:val="center"/>
        <w:rPr>
          <w:b/>
          <w:szCs w:val="22"/>
        </w:rPr>
      </w:pPr>
      <w:r w:rsidRPr="00BB0110">
        <w:rPr>
          <w:szCs w:val="22"/>
        </w:rPr>
        <w:br w:type="page"/>
      </w:r>
      <w:r w:rsidRPr="00BB0110">
        <w:rPr>
          <w:b/>
          <w:szCs w:val="22"/>
        </w:rPr>
        <w:lastRenderedPageBreak/>
        <w:t>PŘÍBALOVÁ INFORMACE</w:t>
      </w:r>
    </w:p>
    <w:p w14:paraId="07D9FEB1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113"/>
        <w:jc w:val="center"/>
        <w:rPr>
          <w:szCs w:val="22"/>
        </w:rPr>
      </w:pPr>
    </w:p>
    <w:p w14:paraId="510C80AD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bCs/>
          <w:kern w:val="14"/>
          <w:szCs w:val="22"/>
        </w:rPr>
      </w:pPr>
      <w:r w:rsidRPr="00BB0110">
        <w:rPr>
          <w:b/>
          <w:szCs w:val="22"/>
        </w:rPr>
        <w:t>1.</w:t>
      </w:r>
      <w:r w:rsidRPr="00BB0110">
        <w:rPr>
          <w:b/>
          <w:szCs w:val="22"/>
        </w:rPr>
        <w:tab/>
        <w:t>Název veterinárního léčivého přípravku</w:t>
      </w:r>
    </w:p>
    <w:p w14:paraId="67B14569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bCs/>
          <w:kern w:val="14"/>
          <w:szCs w:val="22"/>
          <w:lang w:eastAsia="nl-NL"/>
        </w:rPr>
      </w:pPr>
    </w:p>
    <w:p w14:paraId="16C0C1D0" w14:textId="3AAFF1D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BB0110">
        <w:rPr>
          <w:szCs w:val="22"/>
        </w:rPr>
        <w:t>Pharmasin</w:t>
      </w:r>
      <w:proofErr w:type="spellEnd"/>
      <w:r w:rsidRPr="00BB0110">
        <w:rPr>
          <w:szCs w:val="22"/>
        </w:rPr>
        <w:t xml:space="preserve"> </w:t>
      </w:r>
      <w:r w:rsidR="003743BB" w:rsidRPr="003743BB">
        <w:rPr>
          <w:szCs w:val="22"/>
        </w:rPr>
        <w:t>1 g/</w:t>
      </w:r>
      <w:proofErr w:type="gramStart"/>
      <w:r w:rsidR="003743BB" w:rsidRPr="003743BB">
        <w:rPr>
          <w:szCs w:val="22"/>
        </w:rPr>
        <w:t xml:space="preserve">g </w:t>
      </w:r>
      <w:r w:rsidRPr="00BB0110">
        <w:rPr>
          <w:szCs w:val="22"/>
        </w:rPr>
        <w:t xml:space="preserve"> granule</w:t>
      </w:r>
      <w:proofErr w:type="gramEnd"/>
      <w:r w:rsidRPr="00BB0110">
        <w:rPr>
          <w:szCs w:val="22"/>
        </w:rPr>
        <w:t xml:space="preserve"> pro podání v pitné vodě pro prasata, kura domácího, krůty a telata</w:t>
      </w:r>
    </w:p>
    <w:p w14:paraId="7BD7F4EB" w14:textId="77777777" w:rsidR="00E51620" w:rsidRPr="00BB0110" w:rsidRDefault="00E51620" w:rsidP="00BB0110">
      <w:pPr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26DBC998" w14:textId="77777777" w:rsidR="00E51620" w:rsidRPr="00BB0110" w:rsidRDefault="00E51620" w:rsidP="00BB011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B0110">
        <w:rPr>
          <w:b/>
          <w:szCs w:val="22"/>
        </w:rPr>
        <w:t>2.</w:t>
      </w:r>
      <w:r w:rsidRPr="00BB0110">
        <w:rPr>
          <w:b/>
          <w:szCs w:val="22"/>
        </w:rPr>
        <w:tab/>
        <w:t>Složení</w:t>
      </w:r>
    </w:p>
    <w:p w14:paraId="50B5EA75" w14:textId="77777777" w:rsidR="00BB0110" w:rsidRDefault="00BB011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58D18730" w14:textId="5C80B53E" w:rsidR="00E51620" w:rsidRPr="00BB0110" w:rsidRDefault="00E51620" w:rsidP="00BB0110">
      <w:pPr>
        <w:tabs>
          <w:tab w:val="clear" w:pos="567"/>
        </w:tabs>
        <w:spacing w:line="240" w:lineRule="auto"/>
        <w:rPr>
          <w:bCs/>
          <w:kern w:val="14"/>
          <w:szCs w:val="22"/>
        </w:rPr>
      </w:pPr>
      <w:r w:rsidRPr="00BB0110">
        <w:rPr>
          <w:szCs w:val="22"/>
        </w:rPr>
        <w:t>Každý 1,1 g granulí obsahuje</w:t>
      </w:r>
    </w:p>
    <w:p w14:paraId="261A5A42" w14:textId="77777777" w:rsidR="00123B0A" w:rsidRPr="004B35AF" w:rsidRDefault="00123B0A" w:rsidP="00BB0110">
      <w:pPr>
        <w:tabs>
          <w:tab w:val="clear" w:pos="567"/>
        </w:tabs>
        <w:spacing w:line="240" w:lineRule="auto"/>
        <w:rPr>
          <w:b/>
          <w:bCs/>
          <w:kern w:val="14"/>
          <w:szCs w:val="22"/>
        </w:rPr>
      </w:pPr>
      <w:r w:rsidRPr="004B35AF">
        <w:rPr>
          <w:b/>
          <w:szCs w:val="22"/>
        </w:rPr>
        <w:t>Léčivá látka:</w:t>
      </w:r>
    </w:p>
    <w:p w14:paraId="5C056FD0" w14:textId="12FE703A" w:rsidR="00123B0A" w:rsidRPr="00BB0110" w:rsidRDefault="00123B0A" w:rsidP="00BB0110">
      <w:pPr>
        <w:tabs>
          <w:tab w:val="clear" w:pos="567"/>
        </w:tabs>
        <w:spacing w:line="240" w:lineRule="auto"/>
        <w:rPr>
          <w:bCs/>
          <w:kern w:val="14"/>
          <w:szCs w:val="22"/>
        </w:rPr>
      </w:pPr>
      <w:r w:rsidRPr="00BB0110">
        <w:rPr>
          <w:szCs w:val="22"/>
        </w:rPr>
        <w:t xml:space="preserve">1 000 mg </w:t>
      </w:r>
      <w:proofErr w:type="spellStart"/>
      <w:r w:rsidRPr="00BB0110">
        <w:rPr>
          <w:szCs w:val="22"/>
        </w:rPr>
        <w:t>tylosinu</w:t>
      </w:r>
      <w:r w:rsidR="00F913D5" w:rsidRPr="00BB0110">
        <w:rPr>
          <w:szCs w:val="22"/>
        </w:rPr>
        <w:t>m</w:t>
      </w:r>
      <w:proofErr w:type="spellEnd"/>
      <w:r w:rsidRPr="00BB0110">
        <w:rPr>
          <w:szCs w:val="22"/>
        </w:rPr>
        <w:t xml:space="preserve"> (odpovídá 1 100 mg tylosini tartras)</w:t>
      </w:r>
    </w:p>
    <w:p w14:paraId="1F8D1E6E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bCs/>
          <w:szCs w:val="22"/>
        </w:rPr>
      </w:pPr>
      <w:r w:rsidRPr="00BB0110">
        <w:rPr>
          <w:szCs w:val="22"/>
        </w:rPr>
        <w:t>Bílé až světle žluté granule.</w:t>
      </w:r>
    </w:p>
    <w:p w14:paraId="03D52DCB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44A7155" w14:textId="77777777" w:rsidR="00E51620" w:rsidRPr="00BB0110" w:rsidRDefault="00E51620" w:rsidP="00BB011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BB0110">
        <w:rPr>
          <w:b/>
          <w:szCs w:val="22"/>
        </w:rPr>
        <w:t>3.</w:t>
      </w:r>
      <w:r w:rsidRPr="00BB0110">
        <w:rPr>
          <w:b/>
          <w:szCs w:val="22"/>
        </w:rPr>
        <w:tab/>
        <w:t>Cílové druhy zvířat</w:t>
      </w:r>
    </w:p>
    <w:p w14:paraId="56EA8047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7D47F8AF" w14:textId="74862BCE" w:rsidR="00E51620" w:rsidRPr="00BB0110" w:rsidRDefault="00123B0A" w:rsidP="00BB0110">
      <w:pPr>
        <w:tabs>
          <w:tab w:val="clear" w:pos="567"/>
        </w:tabs>
        <w:spacing w:line="240" w:lineRule="auto"/>
        <w:rPr>
          <w:szCs w:val="22"/>
        </w:rPr>
      </w:pPr>
      <w:r w:rsidRPr="004B35AF">
        <w:rPr>
          <w:szCs w:val="22"/>
        </w:rPr>
        <w:t>Skot (telata)</w:t>
      </w:r>
      <w:r w:rsidRPr="00BB0110">
        <w:rPr>
          <w:szCs w:val="22"/>
        </w:rPr>
        <w:t xml:space="preserve">, </w:t>
      </w:r>
      <w:r w:rsidR="00E51620" w:rsidRPr="00BB0110">
        <w:rPr>
          <w:szCs w:val="22"/>
        </w:rPr>
        <w:t>prasata, kur domácí, krůty.</w:t>
      </w:r>
    </w:p>
    <w:p w14:paraId="4D1C4A0F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5151FE49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b/>
          <w:szCs w:val="22"/>
        </w:rPr>
      </w:pPr>
      <w:r w:rsidRPr="00BB0110">
        <w:rPr>
          <w:b/>
          <w:szCs w:val="22"/>
        </w:rPr>
        <w:t>4.</w:t>
      </w:r>
      <w:r w:rsidRPr="00BB0110">
        <w:rPr>
          <w:b/>
          <w:szCs w:val="22"/>
        </w:rPr>
        <w:tab/>
        <w:t>Indikace pro použití</w:t>
      </w:r>
    </w:p>
    <w:p w14:paraId="51951262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b/>
          <w:szCs w:val="22"/>
        </w:rPr>
      </w:pPr>
    </w:p>
    <w:p w14:paraId="5EEF079A" w14:textId="16C01F86" w:rsidR="00E51620" w:rsidRPr="00BB0110" w:rsidRDefault="00123B0A" w:rsidP="004B35AF">
      <w:pPr>
        <w:tabs>
          <w:tab w:val="clear" w:pos="567"/>
        </w:tabs>
        <w:spacing w:line="240" w:lineRule="auto"/>
        <w:ind w:left="1410" w:hanging="1410"/>
        <w:rPr>
          <w:bCs/>
          <w:szCs w:val="22"/>
        </w:rPr>
      </w:pPr>
      <w:r w:rsidRPr="004B35AF">
        <w:rPr>
          <w:szCs w:val="22"/>
          <w:u w:val="single"/>
        </w:rPr>
        <w:t>Skot (telata):</w:t>
      </w:r>
      <w:r w:rsidR="00E51620" w:rsidRPr="00BB0110">
        <w:rPr>
          <w:szCs w:val="22"/>
        </w:rPr>
        <w:tab/>
        <w:t xml:space="preserve">Léčba a </w:t>
      </w:r>
      <w:proofErr w:type="spellStart"/>
      <w:r w:rsidR="005A05B4">
        <w:rPr>
          <w:szCs w:val="22"/>
        </w:rPr>
        <w:t>metafylaxe</w:t>
      </w:r>
      <w:proofErr w:type="spellEnd"/>
      <w:r w:rsidR="00E51620" w:rsidRPr="00BB0110">
        <w:rPr>
          <w:szCs w:val="22"/>
        </w:rPr>
        <w:t xml:space="preserve"> pneumonie vyvolané </w:t>
      </w:r>
      <w:proofErr w:type="spellStart"/>
      <w:r w:rsidR="00E51620" w:rsidRPr="00BB0110">
        <w:rPr>
          <w:i/>
          <w:szCs w:val="22"/>
        </w:rPr>
        <w:t>Mycoplasma</w:t>
      </w:r>
      <w:proofErr w:type="spellEnd"/>
      <w:r w:rsidR="00E51620" w:rsidRPr="00BB0110">
        <w:rPr>
          <w:i/>
          <w:szCs w:val="22"/>
        </w:rPr>
        <w:t xml:space="preserve"> </w:t>
      </w:r>
      <w:proofErr w:type="spellStart"/>
      <w:r w:rsidR="00E51620" w:rsidRPr="00BB0110">
        <w:rPr>
          <w:szCs w:val="22"/>
        </w:rPr>
        <w:t>spp</w:t>
      </w:r>
      <w:proofErr w:type="spellEnd"/>
      <w:r w:rsidR="005A05B4">
        <w:rPr>
          <w:i/>
          <w:szCs w:val="22"/>
        </w:rPr>
        <w:t>.</w:t>
      </w:r>
      <w:r w:rsidR="00E51620" w:rsidRPr="00BB0110">
        <w:rPr>
          <w:szCs w:val="22"/>
        </w:rPr>
        <w:t>, bylo-li onemocnění diagnostikováno na úrovni stáda.</w:t>
      </w:r>
    </w:p>
    <w:p w14:paraId="13037C29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7BEE2E0" w14:textId="77777777" w:rsidR="00E51620" w:rsidRPr="00BB0110" w:rsidRDefault="00E51620" w:rsidP="00BB0110">
      <w:pPr>
        <w:tabs>
          <w:tab w:val="clear" w:pos="567"/>
          <w:tab w:val="num" w:pos="720"/>
        </w:tabs>
        <w:spacing w:line="240" w:lineRule="auto"/>
        <w:rPr>
          <w:bCs/>
          <w:szCs w:val="22"/>
        </w:rPr>
      </w:pPr>
      <w:r w:rsidRPr="00BB0110">
        <w:rPr>
          <w:szCs w:val="22"/>
          <w:u w:val="single"/>
        </w:rPr>
        <w:t>Prasata</w:t>
      </w:r>
      <w:r w:rsidRPr="00BB0110">
        <w:rPr>
          <w:szCs w:val="22"/>
        </w:rPr>
        <w:t xml:space="preserve">: </w:t>
      </w:r>
    </w:p>
    <w:p w14:paraId="79B0B8A6" w14:textId="06A149C5" w:rsidR="00E51620" w:rsidRPr="00BB0110" w:rsidRDefault="00E51620" w:rsidP="004B35AF">
      <w:pPr>
        <w:tabs>
          <w:tab w:val="clear" w:pos="567"/>
          <w:tab w:val="num" w:pos="1134"/>
        </w:tabs>
        <w:spacing w:line="240" w:lineRule="auto"/>
        <w:ind w:left="1134" w:hanging="567"/>
        <w:jc w:val="both"/>
        <w:rPr>
          <w:bCs/>
          <w:szCs w:val="22"/>
        </w:rPr>
      </w:pPr>
      <w:r w:rsidRPr="00BB0110">
        <w:rPr>
          <w:szCs w:val="22"/>
        </w:rPr>
        <w:t xml:space="preserve">     - </w:t>
      </w:r>
      <w:r w:rsidRPr="00BB0110">
        <w:rPr>
          <w:szCs w:val="22"/>
        </w:rPr>
        <w:tab/>
        <w:t xml:space="preserve">Léčba a </w:t>
      </w:r>
      <w:proofErr w:type="spellStart"/>
      <w:r w:rsidR="005A05B4">
        <w:rPr>
          <w:szCs w:val="22"/>
        </w:rPr>
        <w:t>metafylaxe</w:t>
      </w:r>
      <w:proofErr w:type="spellEnd"/>
      <w:r w:rsidRPr="00BB0110">
        <w:rPr>
          <w:szCs w:val="22"/>
        </w:rPr>
        <w:t xml:space="preserve"> enzootické pneumonie vyvolané </w:t>
      </w:r>
      <w:proofErr w:type="spellStart"/>
      <w:r w:rsidRPr="00BB0110">
        <w:rPr>
          <w:i/>
          <w:szCs w:val="22"/>
        </w:rPr>
        <w:t>Mycoplasma</w:t>
      </w:r>
      <w:proofErr w:type="spellEnd"/>
      <w:r w:rsidRPr="00BB0110">
        <w:rPr>
          <w:i/>
          <w:szCs w:val="22"/>
        </w:rPr>
        <w:t xml:space="preserve"> </w:t>
      </w:r>
      <w:proofErr w:type="spellStart"/>
      <w:r w:rsidRPr="00BB0110">
        <w:rPr>
          <w:i/>
          <w:szCs w:val="22"/>
        </w:rPr>
        <w:t>hyopneumoniae</w:t>
      </w:r>
      <w:proofErr w:type="spellEnd"/>
      <w:r w:rsidRPr="00BB0110">
        <w:rPr>
          <w:szCs w:val="22"/>
        </w:rPr>
        <w:t xml:space="preserve"> </w:t>
      </w:r>
      <w:r w:rsidR="00BB0110" w:rsidRPr="00BB0110">
        <w:rPr>
          <w:szCs w:val="22"/>
        </w:rPr>
        <w:t>a</w:t>
      </w:r>
      <w:r w:rsidR="00BB0110">
        <w:rPr>
          <w:szCs w:val="22"/>
        </w:rPr>
        <w:t> </w:t>
      </w:r>
      <w:proofErr w:type="spellStart"/>
      <w:r w:rsidRPr="00BB0110">
        <w:rPr>
          <w:i/>
          <w:szCs w:val="22"/>
        </w:rPr>
        <w:t>Mycoplasma</w:t>
      </w:r>
      <w:proofErr w:type="spellEnd"/>
      <w:r w:rsidRPr="00BB0110">
        <w:rPr>
          <w:i/>
          <w:szCs w:val="22"/>
        </w:rPr>
        <w:t xml:space="preserve"> </w:t>
      </w:r>
      <w:proofErr w:type="spellStart"/>
      <w:r w:rsidRPr="00BB0110">
        <w:rPr>
          <w:i/>
          <w:szCs w:val="22"/>
        </w:rPr>
        <w:t>hyorhinis</w:t>
      </w:r>
      <w:proofErr w:type="spellEnd"/>
      <w:r w:rsidRPr="00BB0110">
        <w:rPr>
          <w:szCs w:val="22"/>
        </w:rPr>
        <w:t>, bylo</w:t>
      </w:r>
      <w:r w:rsidR="005A05B4">
        <w:rPr>
          <w:szCs w:val="22"/>
        </w:rPr>
        <w:t>-li</w:t>
      </w:r>
      <w:r w:rsidRPr="00BB0110">
        <w:rPr>
          <w:szCs w:val="22"/>
        </w:rPr>
        <w:t xml:space="preserve"> onemocnění diagnostikováno ve stádu. </w:t>
      </w:r>
    </w:p>
    <w:p w14:paraId="0BA8A567" w14:textId="7E006B0B" w:rsidR="00E51620" w:rsidRPr="00BB0110" w:rsidRDefault="00E51620" w:rsidP="00BB0110">
      <w:pPr>
        <w:tabs>
          <w:tab w:val="clear" w:pos="567"/>
          <w:tab w:val="num" w:pos="1276"/>
        </w:tabs>
        <w:spacing w:line="240" w:lineRule="auto"/>
        <w:ind w:left="1134" w:hanging="567"/>
        <w:jc w:val="both"/>
        <w:rPr>
          <w:bCs/>
          <w:szCs w:val="22"/>
        </w:rPr>
      </w:pPr>
      <w:r w:rsidRPr="00BB0110">
        <w:rPr>
          <w:szCs w:val="22"/>
        </w:rPr>
        <w:t xml:space="preserve">     -</w:t>
      </w:r>
      <w:r w:rsidRPr="00BB0110">
        <w:rPr>
          <w:szCs w:val="22"/>
        </w:rPr>
        <w:tab/>
        <w:t xml:space="preserve">Léčba a </w:t>
      </w:r>
      <w:proofErr w:type="spellStart"/>
      <w:r w:rsidR="005A05B4">
        <w:rPr>
          <w:szCs w:val="22"/>
        </w:rPr>
        <w:t>metafylaxe</w:t>
      </w:r>
      <w:proofErr w:type="spellEnd"/>
      <w:r w:rsidRPr="00BB0110">
        <w:rPr>
          <w:szCs w:val="22"/>
        </w:rPr>
        <w:t xml:space="preserve"> střevní </w:t>
      </w:r>
      <w:proofErr w:type="spellStart"/>
      <w:r w:rsidRPr="00BB0110">
        <w:rPr>
          <w:szCs w:val="22"/>
        </w:rPr>
        <w:t>adenomatózy</w:t>
      </w:r>
      <w:proofErr w:type="spellEnd"/>
      <w:r w:rsidRPr="00BB0110">
        <w:rPr>
          <w:szCs w:val="22"/>
        </w:rPr>
        <w:t xml:space="preserve"> prasat (PIA, ileitis) doprovázené výskytem </w:t>
      </w:r>
      <w:proofErr w:type="spellStart"/>
      <w:r w:rsidRPr="00BB0110">
        <w:rPr>
          <w:i/>
          <w:szCs w:val="22"/>
        </w:rPr>
        <w:t>Lawsonia</w:t>
      </w:r>
      <w:proofErr w:type="spellEnd"/>
      <w:r w:rsidRPr="00BB0110">
        <w:rPr>
          <w:i/>
          <w:szCs w:val="22"/>
        </w:rPr>
        <w:t xml:space="preserve"> </w:t>
      </w:r>
      <w:proofErr w:type="spellStart"/>
      <w:r w:rsidRPr="00BB0110">
        <w:rPr>
          <w:i/>
          <w:szCs w:val="22"/>
        </w:rPr>
        <w:t>intracellularis</w:t>
      </w:r>
      <w:proofErr w:type="spellEnd"/>
      <w:r w:rsidRPr="00BB0110">
        <w:rPr>
          <w:szCs w:val="22"/>
        </w:rPr>
        <w:t>, bylo</w:t>
      </w:r>
      <w:r w:rsidR="005A05B4">
        <w:rPr>
          <w:szCs w:val="22"/>
        </w:rPr>
        <w:t>-li</w:t>
      </w:r>
      <w:r w:rsidRPr="00BB0110">
        <w:rPr>
          <w:szCs w:val="22"/>
        </w:rPr>
        <w:t xml:space="preserve"> onemocnění diagnostikováno ve stádu.</w:t>
      </w:r>
    </w:p>
    <w:p w14:paraId="5FDE25E0" w14:textId="77777777" w:rsidR="00E51620" w:rsidRPr="00BB0110" w:rsidRDefault="00E51620" w:rsidP="00BB0110">
      <w:pPr>
        <w:keepNext/>
        <w:keepLines/>
        <w:tabs>
          <w:tab w:val="clear" w:pos="567"/>
        </w:tabs>
        <w:spacing w:line="240" w:lineRule="auto"/>
        <w:rPr>
          <w:bCs/>
          <w:szCs w:val="22"/>
        </w:rPr>
      </w:pPr>
      <w:r w:rsidRPr="00BB0110">
        <w:rPr>
          <w:szCs w:val="22"/>
          <w:u w:val="single"/>
        </w:rPr>
        <w:t>Kur domácí</w:t>
      </w:r>
      <w:r w:rsidRPr="00BB0110">
        <w:rPr>
          <w:szCs w:val="22"/>
        </w:rPr>
        <w:t xml:space="preserve">: </w:t>
      </w:r>
    </w:p>
    <w:p w14:paraId="685FEAD3" w14:textId="2BA066D5" w:rsidR="00E51620" w:rsidRPr="00BB0110" w:rsidRDefault="00E51620" w:rsidP="00BB0110">
      <w:pPr>
        <w:keepNext/>
        <w:keepLines/>
        <w:numPr>
          <w:ilvl w:val="0"/>
          <w:numId w:val="1"/>
        </w:numPr>
        <w:tabs>
          <w:tab w:val="clear" w:pos="567"/>
          <w:tab w:val="clear" w:pos="720"/>
          <w:tab w:val="num" w:pos="1134"/>
        </w:tabs>
        <w:spacing w:line="240" w:lineRule="auto"/>
        <w:ind w:left="1134" w:hanging="218"/>
        <w:jc w:val="both"/>
        <w:rPr>
          <w:bCs/>
          <w:i/>
          <w:szCs w:val="22"/>
        </w:rPr>
      </w:pPr>
      <w:r w:rsidRPr="00BB0110">
        <w:rPr>
          <w:szCs w:val="22"/>
        </w:rPr>
        <w:t xml:space="preserve">Léčba a </w:t>
      </w:r>
      <w:proofErr w:type="spellStart"/>
      <w:r w:rsidR="005A05B4">
        <w:rPr>
          <w:szCs w:val="22"/>
        </w:rPr>
        <w:t>metafylaxe</w:t>
      </w:r>
      <w:proofErr w:type="spellEnd"/>
      <w:r w:rsidRPr="00BB0110">
        <w:rPr>
          <w:szCs w:val="22"/>
        </w:rPr>
        <w:t xml:space="preserve"> chronického respiračního onemocnění (CRD) vyvolaného </w:t>
      </w:r>
      <w:proofErr w:type="spellStart"/>
      <w:r w:rsidRPr="00BB0110">
        <w:rPr>
          <w:i/>
          <w:szCs w:val="22"/>
        </w:rPr>
        <w:t>Mycoplasma</w:t>
      </w:r>
      <w:proofErr w:type="spellEnd"/>
      <w:r w:rsidRPr="00BB0110">
        <w:rPr>
          <w:i/>
          <w:szCs w:val="22"/>
        </w:rPr>
        <w:t xml:space="preserve"> </w:t>
      </w:r>
      <w:proofErr w:type="spellStart"/>
      <w:r w:rsidRPr="00BB0110">
        <w:rPr>
          <w:i/>
          <w:szCs w:val="22"/>
        </w:rPr>
        <w:t>gallisepticum</w:t>
      </w:r>
      <w:proofErr w:type="spellEnd"/>
      <w:r w:rsidRPr="00BB0110">
        <w:rPr>
          <w:szCs w:val="22"/>
        </w:rPr>
        <w:t xml:space="preserve"> a </w:t>
      </w:r>
      <w:proofErr w:type="spellStart"/>
      <w:r w:rsidRPr="00BB0110">
        <w:rPr>
          <w:i/>
          <w:szCs w:val="22"/>
        </w:rPr>
        <w:t>Mycoplasma</w:t>
      </w:r>
      <w:proofErr w:type="spellEnd"/>
      <w:r w:rsidRPr="00BB0110">
        <w:rPr>
          <w:i/>
          <w:szCs w:val="22"/>
        </w:rPr>
        <w:t xml:space="preserve"> </w:t>
      </w:r>
      <w:proofErr w:type="spellStart"/>
      <w:r w:rsidRPr="00BB0110">
        <w:rPr>
          <w:i/>
          <w:szCs w:val="22"/>
        </w:rPr>
        <w:t>synoviae</w:t>
      </w:r>
      <w:proofErr w:type="spellEnd"/>
      <w:r w:rsidRPr="00BB0110">
        <w:rPr>
          <w:szCs w:val="22"/>
        </w:rPr>
        <w:t>, bylo</w:t>
      </w:r>
      <w:r w:rsidR="00AC2D6E">
        <w:rPr>
          <w:szCs w:val="22"/>
        </w:rPr>
        <w:t>-li</w:t>
      </w:r>
      <w:r w:rsidRPr="00BB0110">
        <w:rPr>
          <w:szCs w:val="22"/>
        </w:rPr>
        <w:t xml:space="preserve"> onemocnění diagnostikováno v hejnu.</w:t>
      </w:r>
    </w:p>
    <w:p w14:paraId="42C0826F" w14:textId="624885E1" w:rsidR="00E51620" w:rsidRPr="004B35AF" w:rsidRDefault="00E51620" w:rsidP="00BB0110">
      <w:pPr>
        <w:keepNext/>
        <w:keepLines/>
        <w:numPr>
          <w:ilvl w:val="0"/>
          <w:numId w:val="1"/>
        </w:numPr>
        <w:tabs>
          <w:tab w:val="clear" w:pos="567"/>
          <w:tab w:val="clear" w:pos="720"/>
          <w:tab w:val="num" w:pos="1134"/>
        </w:tabs>
        <w:spacing w:line="240" w:lineRule="auto"/>
        <w:ind w:left="1134" w:hanging="218"/>
        <w:jc w:val="both"/>
        <w:rPr>
          <w:bCs/>
          <w:i/>
          <w:szCs w:val="22"/>
        </w:rPr>
      </w:pPr>
      <w:r w:rsidRPr="00BB0110">
        <w:rPr>
          <w:szCs w:val="22"/>
        </w:rPr>
        <w:t xml:space="preserve">Léčba a </w:t>
      </w:r>
      <w:proofErr w:type="spellStart"/>
      <w:r w:rsidR="005A05B4">
        <w:rPr>
          <w:szCs w:val="22"/>
        </w:rPr>
        <w:t>metafylaxe</w:t>
      </w:r>
      <w:proofErr w:type="spellEnd"/>
      <w:r w:rsidRPr="00BB0110">
        <w:rPr>
          <w:szCs w:val="22"/>
        </w:rPr>
        <w:t xml:space="preserve"> nekrotické enteritidy vyvolané bakterií </w:t>
      </w:r>
      <w:r w:rsidRPr="00BB0110">
        <w:rPr>
          <w:i/>
          <w:szCs w:val="22"/>
        </w:rPr>
        <w:t xml:space="preserve">Clostridium </w:t>
      </w:r>
      <w:proofErr w:type="spellStart"/>
      <w:r w:rsidRPr="00BB0110">
        <w:rPr>
          <w:i/>
          <w:szCs w:val="22"/>
        </w:rPr>
        <w:t>perfringens</w:t>
      </w:r>
      <w:proofErr w:type="spellEnd"/>
      <w:r w:rsidRPr="00BB0110">
        <w:rPr>
          <w:szCs w:val="22"/>
        </w:rPr>
        <w:t>, bylo</w:t>
      </w:r>
      <w:r w:rsidR="00AC2D6E">
        <w:rPr>
          <w:szCs w:val="22"/>
        </w:rPr>
        <w:t>-li</w:t>
      </w:r>
      <w:r w:rsidRPr="00BB0110">
        <w:rPr>
          <w:szCs w:val="22"/>
        </w:rPr>
        <w:t xml:space="preserve"> onemocnění diagnostikováno v hejnu.</w:t>
      </w:r>
    </w:p>
    <w:p w14:paraId="47E1E5F5" w14:textId="77777777" w:rsidR="00AC2D6E" w:rsidRPr="00BB0110" w:rsidRDefault="00AC2D6E" w:rsidP="004B35AF">
      <w:pPr>
        <w:keepNext/>
        <w:keepLines/>
        <w:tabs>
          <w:tab w:val="clear" w:pos="567"/>
        </w:tabs>
        <w:spacing w:line="240" w:lineRule="auto"/>
        <w:ind w:left="1134"/>
        <w:jc w:val="both"/>
        <w:rPr>
          <w:bCs/>
          <w:i/>
          <w:szCs w:val="22"/>
        </w:rPr>
      </w:pPr>
    </w:p>
    <w:p w14:paraId="6E58B7BC" w14:textId="60030969" w:rsidR="00E51620" w:rsidRPr="00BB0110" w:rsidRDefault="00E51620" w:rsidP="00BB0110">
      <w:pPr>
        <w:tabs>
          <w:tab w:val="clear" w:pos="567"/>
        </w:tabs>
        <w:spacing w:line="240" w:lineRule="auto"/>
        <w:ind w:left="1134" w:hanging="1134"/>
        <w:jc w:val="both"/>
        <w:rPr>
          <w:bCs/>
          <w:szCs w:val="22"/>
        </w:rPr>
      </w:pPr>
      <w:r w:rsidRPr="00BB0110">
        <w:rPr>
          <w:szCs w:val="22"/>
          <w:u w:val="single"/>
        </w:rPr>
        <w:t>Krůty</w:t>
      </w:r>
      <w:r w:rsidRPr="00BB0110">
        <w:rPr>
          <w:szCs w:val="22"/>
        </w:rPr>
        <w:t>:</w:t>
      </w:r>
      <w:r w:rsidR="00AC2D6E">
        <w:rPr>
          <w:szCs w:val="22"/>
        </w:rPr>
        <w:tab/>
      </w:r>
      <w:r w:rsidRPr="00BB0110">
        <w:rPr>
          <w:szCs w:val="22"/>
        </w:rPr>
        <w:t xml:space="preserve">Léčba a </w:t>
      </w:r>
      <w:proofErr w:type="spellStart"/>
      <w:r w:rsidR="005A05B4">
        <w:rPr>
          <w:szCs w:val="22"/>
        </w:rPr>
        <w:t>metafylaxe</w:t>
      </w:r>
      <w:proofErr w:type="spellEnd"/>
      <w:r w:rsidRPr="00BB0110">
        <w:rPr>
          <w:szCs w:val="22"/>
        </w:rPr>
        <w:t xml:space="preserve"> infekční sinusitidy vyvolané </w:t>
      </w:r>
      <w:proofErr w:type="spellStart"/>
      <w:proofErr w:type="gramStart"/>
      <w:r w:rsidRPr="00BB0110">
        <w:rPr>
          <w:i/>
          <w:szCs w:val="22"/>
        </w:rPr>
        <w:t>Mycoplasma</w:t>
      </w:r>
      <w:proofErr w:type="spellEnd"/>
      <w:r w:rsidRPr="00BB0110">
        <w:rPr>
          <w:i/>
          <w:szCs w:val="22"/>
        </w:rPr>
        <w:t xml:space="preserve">  </w:t>
      </w:r>
      <w:proofErr w:type="spellStart"/>
      <w:r w:rsidRPr="00BB0110">
        <w:rPr>
          <w:i/>
          <w:szCs w:val="22"/>
        </w:rPr>
        <w:t>gallisepticum</w:t>
      </w:r>
      <w:proofErr w:type="spellEnd"/>
      <w:proofErr w:type="gramEnd"/>
      <w:r w:rsidRPr="00BB0110">
        <w:rPr>
          <w:szCs w:val="22"/>
        </w:rPr>
        <w:t>, bylo</w:t>
      </w:r>
      <w:r w:rsidR="00AC2D6E">
        <w:rPr>
          <w:szCs w:val="22"/>
        </w:rPr>
        <w:t xml:space="preserve">-li </w:t>
      </w:r>
      <w:r w:rsidRPr="00BB0110">
        <w:rPr>
          <w:szCs w:val="22"/>
        </w:rPr>
        <w:t xml:space="preserve">onemocnění diagnostikováno v hejnu. </w:t>
      </w:r>
    </w:p>
    <w:p w14:paraId="5C8D9836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bCs/>
          <w:i/>
          <w:szCs w:val="22"/>
        </w:rPr>
      </w:pPr>
    </w:p>
    <w:p w14:paraId="2E1D0E8D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b/>
          <w:szCs w:val="22"/>
        </w:rPr>
      </w:pPr>
      <w:r w:rsidRPr="00BB0110">
        <w:rPr>
          <w:b/>
          <w:szCs w:val="22"/>
        </w:rPr>
        <w:t>5.</w:t>
      </w:r>
      <w:r w:rsidRPr="00BB0110">
        <w:rPr>
          <w:b/>
          <w:szCs w:val="22"/>
        </w:rPr>
        <w:tab/>
        <w:t>Kontraindikace</w:t>
      </w:r>
    </w:p>
    <w:p w14:paraId="2BC401A1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b/>
          <w:szCs w:val="22"/>
        </w:rPr>
      </w:pPr>
    </w:p>
    <w:p w14:paraId="197F3F21" w14:textId="286EF2D6" w:rsidR="00E51620" w:rsidRPr="00BB0110" w:rsidRDefault="00123B0A" w:rsidP="00BB0110">
      <w:pPr>
        <w:tabs>
          <w:tab w:val="clear" w:pos="567"/>
        </w:tabs>
        <w:spacing w:line="240" w:lineRule="auto"/>
        <w:rPr>
          <w:szCs w:val="22"/>
        </w:rPr>
      </w:pPr>
      <w:r w:rsidRPr="00BB0110">
        <w:rPr>
          <w:szCs w:val="22"/>
        </w:rPr>
        <w:t>Nepoužívat v případech přecitlivělosti na léčivou látku a na jiné makrolidy.</w:t>
      </w:r>
      <w:r w:rsidR="00E51620" w:rsidRPr="00BB0110">
        <w:rPr>
          <w:szCs w:val="22"/>
        </w:rPr>
        <w:t xml:space="preserve"> </w:t>
      </w:r>
    </w:p>
    <w:p w14:paraId="41A58CF6" w14:textId="6F8CF7E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  <w:r w:rsidRPr="00BB0110">
        <w:rPr>
          <w:szCs w:val="22"/>
        </w:rPr>
        <w:t xml:space="preserve">Nepoužívat v případech známé rezistence na tylosin nebo zkřížené rezistence s jinými </w:t>
      </w:r>
      <w:proofErr w:type="spellStart"/>
      <w:r w:rsidRPr="00BB0110">
        <w:rPr>
          <w:szCs w:val="22"/>
        </w:rPr>
        <w:t>makrolidy</w:t>
      </w:r>
      <w:proofErr w:type="spellEnd"/>
      <w:r w:rsidRPr="00BB0110">
        <w:rPr>
          <w:szCs w:val="22"/>
        </w:rPr>
        <w:t xml:space="preserve"> (MLS-rezistence).</w:t>
      </w:r>
    </w:p>
    <w:p w14:paraId="071D8726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  <w:r w:rsidRPr="00BB0110">
        <w:rPr>
          <w:szCs w:val="22"/>
        </w:rPr>
        <w:t xml:space="preserve">Nepoužívejte u zvířat očkovaných vakcínami citlivými na tylosin souběžně nebo 1 týden před aplikací. </w:t>
      </w:r>
    </w:p>
    <w:p w14:paraId="12D65EC0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bCs/>
          <w:szCs w:val="22"/>
        </w:rPr>
      </w:pPr>
      <w:r w:rsidRPr="00BB0110">
        <w:rPr>
          <w:szCs w:val="22"/>
        </w:rPr>
        <w:t>Nepoužívat u zvířat s poruchou jater.</w:t>
      </w:r>
    </w:p>
    <w:p w14:paraId="44FDAA17" w14:textId="77777777" w:rsidR="00E51620" w:rsidRPr="00BB0110" w:rsidRDefault="00E51620" w:rsidP="00BB0110">
      <w:pPr>
        <w:spacing w:line="240" w:lineRule="auto"/>
        <w:rPr>
          <w:szCs w:val="22"/>
        </w:rPr>
      </w:pPr>
      <w:r w:rsidRPr="00BB0110">
        <w:rPr>
          <w:szCs w:val="22"/>
        </w:rPr>
        <w:t>Nepoužívat u koní kvůli nebezpečí zánětu slepého střeva.</w:t>
      </w:r>
    </w:p>
    <w:p w14:paraId="527312FD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23AC5D90" w14:textId="77777777" w:rsidR="00E51620" w:rsidRPr="00BB0110" w:rsidRDefault="00E51620" w:rsidP="00BB0110">
      <w:pPr>
        <w:spacing w:line="240" w:lineRule="auto"/>
        <w:ind w:left="567" w:hanging="567"/>
        <w:rPr>
          <w:b/>
          <w:szCs w:val="22"/>
        </w:rPr>
      </w:pPr>
      <w:r w:rsidRPr="00BB0110">
        <w:rPr>
          <w:b/>
          <w:szCs w:val="22"/>
        </w:rPr>
        <w:t>6.</w:t>
      </w:r>
      <w:r w:rsidRPr="00BB0110">
        <w:rPr>
          <w:b/>
          <w:szCs w:val="22"/>
        </w:rPr>
        <w:tab/>
        <w:t>Zvláštní upozornění</w:t>
      </w:r>
    </w:p>
    <w:p w14:paraId="268E1523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33CD9F8E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bCs/>
          <w:szCs w:val="22"/>
          <w:u w:val="single"/>
        </w:rPr>
      </w:pPr>
      <w:r w:rsidRPr="00BB0110">
        <w:rPr>
          <w:szCs w:val="22"/>
          <w:u w:val="single"/>
        </w:rPr>
        <w:t xml:space="preserve">Zvláštní upozornění: </w:t>
      </w:r>
    </w:p>
    <w:p w14:paraId="726EDB22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BB0110">
        <w:rPr>
          <w:szCs w:val="22"/>
        </w:rPr>
        <w:t>Vzhledem k pravděpodobné variabilitě (časové, geografické) v citlivosti bakterií na tylosin se doporučuje provést odběr vzorků na bakteriologické vyšetření a testování citlivosti.</w:t>
      </w:r>
    </w:p>
    <w:p w14:paraId="21D98B4F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BB0110">
        <w:rPr>
          <w:szCs w:val="22"/>
        </w:rPr>
        <w:t>Je nutné se vyhnout poddávkování anebo nedostatečně dlouhé době léčby, protože jsou považovány za faktory podporující vznik rezistence bakterií.</w:t>
      </w:r>
    </w:p>
    <w:p w14:paraId="31C2152A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7DB2C053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bCs/>
          <w:szCs w:val="22"/>
          <w:u w:val="single"/>
        </w:rPr>
      </w:pPr>
      <w:r w:rsidRPr="00BB0110">
        <w:rPr>
          <w:szCs w:val="22"/>
          <w:u w:val="single"/>
        </w:rPr>
        <w:t>Zvláštní opatření pro bezpečné použití u cílových druhů zvířat:</w:t>
      </w:r>
    </w:p>
    <w:p w14:paraId="4D8928B6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BB0110">
        <w:rPr>
          <w:szCs w:val="22"/>
        </w:rPr>
        <w:t>Zvířata s akutními infekcemi mohou mít snížený příjem vody a krmiva a v takovém případě je třeba neprodleně zahájit léčbu vhodnými injekčními veterinárními léčivými přípravky.</w:t>
      </w:r>
    </w:p>
    <w:p w14:paraId="21EBB200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BB0110">
        <w:rPr>
          <w:szCs w:val="22"/>
        </w:rPr>
        <w:lastRenderedPageBreak/>
        <w:t>Nenechávejte ani nelikvidujte vodu obsahující tylosin tartarát tam, kde by mohla být přístupná zvířatům, která nejsou léčena nebo volně žijící zvěři.</w:t>
      </w:r>
    </w:p>
    <w:p w14:paraId="6A186258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4481BA96" w14:textId="77777777" w:rsidR="00E51620" w:rsidRPr="00BB0110" w:rsidRDefault="00E51620" w:rsidP="00627445">
      <w:pPr>
        <w:keepNext/>
        <w:tabs>
          <w:tab w:val="clear" w:pos="567"/>
        </w:tabs>
        <w:spacing w:line="240" w:lineRule="auto"/>
        <w:jc w:val="both"/>
        <w:rPr>
          <w:bCs/>
          <w:szCs w:val="22"/>
          <w:u w:val="single"/>
        </w:rPr>
      </w:pPr>
      <w:r w:rsidRPr="00BB0110">
        <w:rPr>
          <w:szCs w:val="22"/>
          <w:u w:val="single"/>
        </w:rPr>
        <w:t>Zvláštní opatření pro osobu, která podává veterinární léčivý přípravek zvířatům:</w:t>
      </w:r>
    </w:p>
    <w:p w14:paraId="3FDFE68E" w14:textId="111261EF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r w:rsidRPr="00BB0110">
        <w:rPr>
          <w:szCs w:val="22"/>
        </w:rPr>
        <w:t>Tylosin může způsobit podráždění. Makrolidy, jako např. tylosin, mohou způsobovat také přecitlivělost (alergii) po injekci, inhalaci, požití, kontaktu s kůží či oč</w:t>
      </w:r>
      <w:r w:rsidR="005B6153" w:rsidRPr="00BB0110">
        <w:rPr>
          <w:szCs w:val="22"/>
        </w:rPr>
        <w:t>ima</w:t>
      </w:r>
      <w:r w:rsidRPr="00BB0110">
        <w:rPr>
          <w:szCs w:val="22"/>
        </w:rPr>
        <w:t xml:space="preserve">.  Přecitlivělost na tylosin může vést ke zkříženým reakcím s ostatními makrolidy a naopak.  Alergické reakce na tyto látky mohou být </w:t>
      </w:r>
      <w:r w:rsidR="00BB0110" w:rsidRPr="00BB0110">
        <w:rPr>
          <w:szCs w:val="22"/>
        </w:rPr>
        <w:t>v</w:t>
      </w:r>
      <w:r w:rsidR="00BB0110">
        <w:rPr>
          <w:szCs w:val="22"/>
        </w:rPr>
        <w:t> </w:t>
      </w:r>
      <w:r w:rsidRPr="00BB0110">
        <w:rPr>
          <w:szCs w:val="22"/>
        </w:rPr>
        <w:t>některých případech vážné, a proto je třeba zabránit přímému kontaktu.</w:t>
      </w:r>
    </w:p>
    <w:p w14:paraId="616DDC11" w14:textId="0C7C04E1" w:rsidR="005B6153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</w:rPr>
        <w:t xml:space="preserve">Aby se zabránilo expozici během přípravy medikované vody, použijte ochranný oblek, bezpečnostní brýle, nepropustné rukavice a noste buď jednorázový respirátor </w:t>
      </w:r>
      <w:r w:rsidR="005B6153" w:rsidRPr="00BB0110">
        <w:rPr>
          <w:szCs w:val="22"/>
        </w:rPr>
        <w:t xml:space="preserve">s polomaskou </w:t>
      </w:r>
      <w:r w:rsidRPr="00BB0110">
        <w:rPr>
          <w:szCs w:val="22"/>
        </w:rPr>
        <w:t xml:space="preserve">vyhovující </w:t>
      </w:r>
      <w:r w:rsidR="005B6153" w:rsidRPr="00BB0110">
        <w:rPr>
          <w:szCs w:val="22"/>
        </w:rPr>
        <w:t xml:space="preserve">evropské </w:t>
      </w:r>
      <w:r w:rsidRPr="00BB0110">
        <w:rPr>
          <w:szCs w:val="22"/>
        </w:rPr>
        <w:t xml:space="preserve">normě EN149 nebo respirátor pro více použití </w:t>
      </w:r>
      <w:r w:rsidR="005B6153" w:rsidRPr="00BB0110">
        <w:rPr>
          <w:szCs w:val="22"/>
        </w:rPr>
        <w:t xml:space="preserve">podle evropské </w:t>
      </w:r>
      <w:r w:rsidRPr="00BB0110">
        <w:rPr>
          <w:szCs w:val="22"/>
        </w:rPr>
        <w:t>norm</w:t>
      </w:r>
      <w:r w:rsidR="005B6153" w:rsidRPr="00BB0110">
        <w:rPr>
          <w:szCs w:val="22"/>
        </w:rPr>
        <w:t>y</w:t>
      </w:r>
      <w:r w:rsidRPr="00BB0110">
        <w:rPr>
          <w:szCs w:val="22"/>
        </w:rPr>
        <w:t xml:space="preserve"> EN140</w:t>
      </w:r>
      <w:r w:rsidR="005B6153" w:rsidRPr="00BB0110">
        <w:rPr>
          <w:szCs w:val="22"/>
        </w:rPr>
        <w:t xml:space="preserve"> s </w:t>
      </w:r>
      <w:r w:rsidRPr="00BB0110">
        <w:rPr>
          <w:szCs w:val="22"/>
        </w:rPr>
        <w:t>filtrem podle normy EN143.</w:t>
      </w:r>
    </w:p>
    <w:p w14:paraId="16EB6449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r w:rsidRPr="00BB0110">
        <w:rPr>
          <w:szCs w:val="22"/>
        </w:rPr>
        <w:t>Po použití přípravku si umyjte ruce.</w:t>
      </w:r>
    </w:p>
    <w:p w14:paraId="5F7313DE" w14:textId="37E1EA3F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r w:rsidRPr="00BB0110">
        <w:rPr>
          <w:szCs w:val="22"/>
        </w:rPr>
        <w:t>V případě náhodného potřísnění kůže postižené místo důkladně omyjte mýdlem a vodou. V</w:t>
      </w:r>
      <w:r w:rsidR="006F29D2" w:rsidRPr="00BB0110">
        <w:rPr>
          <w:szCs w:val="22"/>
        </w:rPr>
        <w:t> </w:t>
      </w:r>
      <w:r w:rsidRPr="00BB0110">
        <w:rPr>
          <w:szCs w:val="22"/>
        </w:rPr>
        <w:t xml:space="preserve">případě náhodného vniknutí přípravku do očí vypláchněte oči velkým množstvím čisté tekoucí vody. Nemanipulujte s </w:t>
      </w:r>
      <w:r w:rsidR="00123B0A" w:rsidRPr="004B35AF">
        <w:rPr>
          <w:szCs w:val="22"/>
        </w:rPr>
        <w:t>veterinárním léčivým</w:t>
      </w:r>
      <w:r w:rsidR="00123B0A" w:rsidRPr="00BB0110">
        <w:rPr>
          <w:szCs w:val="22"/>
        </w:rPr>
        <w:t xml:space="preserve"> </w:t>
      </w:r>
      <w:r w:rsidRPr="00BB0110">
        <w:rPr>
          <w:szCs w:val="22"/>
        </w:rPr>
        <w:t xml:space="preserve">přípravkem, jste-li alergičtí na látky obsažené v tomto </w:t>
      </w:r>
      <w:r w:rsidR="00123B0A" w:rsidRPr="004B35AF">
        <w:rPr>
          <w:szCs w:val="22"/>
        </w:rPr>
        <w:t>veterinárním léčivém</w:t>
      </w:r>
      <w:r w:rsidR="00123B0A" w:rsidRPr="00BB0110">
        <w:rPr>
          <w:szCs w:val="22"/>
        </w:rPr>
        <w:t xml:space="preserve"> </w:t>
      </w:r>
      <w:r w:rsidRPr="00BB0110">
        <w:rPr>
          <w:szCs w:val="22"/>
        </w:rPr>
        <w:t>přípravku.</w:t>
      </w:r>
    </w:p>
    <w:p w14:paraId="5CCE1333" w14:textId="0BFEC40D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kern w:val="14"/>
          <w:szCs w:val="22"/>
        </w:rPr>
      </w:pPr>
      <w:r w:rsidRPr="00BB0110">
        <w:rPr>
          <w:szCs w:val="22"/>
        </w:rPr>
        <w:t xml:space="preserve">Pokud se </w:t>
      </w:r>
      <w:r w:rsidR="006F29D2" w:rsidRPr="00BB0110">
        <w:rPr>
          <w:szCs w:val="22"/>
        </w:rPr>
        <w:t>u vás o</w:t>
      </w:r>
      <w:r w:rsidRPr="00BB0110">
        <w:rPr>
          <w:szCs w:val="22"/>
        </w:rPr>
        <w:t xml:space="preserve">bjeví </w:t>
      </w:r>
      <w:proofErr w:type="spellStart"/>
      <w:r w:rsidR="006F29D2" w:rsidRPr="00BB0110">
        <w:rPr>
          <w:szCs w:val="22"/>
        </w:rPr>
        <w:t>postexpoziční</w:t>
      </w:r>
      <w:proofErr w:type="spellEnd"/>
      <w:r w:rsidR="006F29D2" w:rsidRPr="00BB0110">
        <w:rPr>
          <w:szCs w:val="22"/>
        </w:rPr>
        <w:t xml:space="preserve"> </w:t>
      </w:r>
      <w:r w:rsidRPr="00BB0110">
        <w:rPr>
          <w:szCs w:val="22"/>
        </w:rPr>
        <w:t>příznaky</w:t>
      </w:r>
      <w:r w:rsidR="006F29D2" w:rsidRPr="00BB0110">
        <w:rPr>
          <w:szCs w:val="22"/>
        </w:rPr>
        <w:t>,</w:t>
      </w:r>
      <w:r w:rsidRPr="00BB0110">
        <w:rPr>
          <w:szCs w:val="22"/>
        </w:rPr>
        <w:t xml:space="preserve"> jako např</w:t>
      </w:r>
      <w:r w:rsidR="006F29D2" w:rsidRPr="00BB0110">
        <w:rPr>
          <w:szCs w:val="22"/>
        </w:rPr>
        <w:t>.</w:t>
      </w:r>
      <w:r w:rsidRPr="00BB0110">
        <w:rPr>
          <w:szCs w:val="22"/>
        </w:rPr>
        <w:t xml:space="preserve"> kožní vyrážka, vyhledejte lékařskou pomoc </w:t>
      </w:r>
      <w:r w:rsidR="00BB0110" w:rsidRPr="00BB0110">
        <w:rPr>
          <w:szCs w:val="22"/>
        </w:rPr>
        <w:t>a</w:t>
      </w:r>
      <w:r w:rsidR="00BB0110">
        <w:rPr>
          <w:szCs w:val="22"/>
        </w:rPr>
        <w:t> </w:t>
      </w:r>
      <w:r w:rsidRPr="00BB0110">
        <w:rPr>
          <w:szCs w:val="22"/>
        </w:rPr>
        <w:t xml:space="preserve">ukažte lékaři toto upozornění. Otok obličeje, rtů a očí nebo potíže s dýcháním jsou vážné příznaky </w:t>
      </w:r>
      <w:r w:rsidR="00BB0110" w:rsidRPr="00BB0110">
        <w:rPr>
          <w:szCs w:val="22"/>
        </w:rPr>
        <w:t>a</w:t>
      </w:r>
      <w:r w:rsidR="00BB0110">
        <w:rPr>
          <w:szCs w:val="22"/>
        </w:rPr>
        <w:t> </w:t>
      </w:r>
      <w:r w:rsidRPr="00BB0110">
        <w:rPr>
          <w:szCs w:val="22"/>
        </w:rPr>
        <w:t>vyžadují okamžitou lékařskou p</w:t>
      </w:r>
      <w:r w:rsidR="006F29D2" w:rsidRPr="00BB0110">
        <w:rPr>
          <w:szCs w:val="22"/>
        </w:rPr>
        <w:t>omoc</w:t>
      </w:r>
      <w:r w:rsidRPr="00BB0110">
        <w:rPr>
          <w:szCs w:val="22"/>
        </w:rPr>
        <w:t>.</w:t>
      </w:r>
    </w:p>
    <w:p w14:paraId="68C3666A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2B3CD703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bCs/>
          <w:szCs w:val="22"/>
          <w:u w:val="single"/>
        </w:rPr>
      </w:pPr>
      <w:r w:rsidRPr="00BB0110">
        <w:rPr>
          <w:szCs w:val="22"/>
          <w:u w:val="single"/>
        </w:rPr>
        <w:t>Březost a laktace:</w:t>
      </w:r>
    </w:p>
    <w:p w14:paraId="58115426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</w:rPr>
        <w:t>Laboratorní studie u myší a krys nepodaly důkaz o teratogenním, fetotoxickém účinku a maternální toxicitě. Na cílových druzích nebyly provedeny žádné studie. Použít pouze po zvážení terapeutického prospěchu a rizika příslušným veterinárním lékařem.</w:t>
      </w:r>
    </w:p>
    <w:p w14:paraId="2BD60947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2EA99B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B0110">
        <w:rPr>
          <w:szCs w:val="22"/>
          <w:u w:val="single"/>
        </w:rPr>
        <w:t>Interakce s jinými léčivými přípravky a další formy interakce:</w:t>
      </w:r>
    </w:p>
    <w:p w14:paraId="122D7DB9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</w:rPr>
        <w:t>Linkosamidy a aminoglykosidová antibiotika působí antagonisticky s tylosinem.</w:t>
      </w:r>
    </w:p>
    <w:p w14:paraId="763CD096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1AF50B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bCs/>
          <w:szCs w:val="22"/>
          <w:u w:val="single"/>
        </w:rPr>
      </w:pPr>
      <w:r w:rsidRPr="00BB0110">
        <w:rPr>
          <w:szCs w:val="22"/>
          <w:u w:val="single"/>
        </w:rPr>
        <w:t>Předávkování:</w:t>
      </w:r>
    </w:p>
    <w:p w14:paraId="233765DD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</w:rPr>
        <w:t xml:space="preserve">Neexistují důkazy o toxicitě tylosinu u krys při dávkách do 1000 mg/kg při perorálním podání. Neexistují důkazy o toxicitě tylosinu u kura domácího, krůt, prasat nebo telat, při perorálním podání dávek do trojnásobku doporučené dávky. </w:t>
      </w:r>
    </w:p>
    <w:p w14:paraId="1F4B91F9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FB26C8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B0110">
        <w:rPr>
          <w:szCs w:val="22"/>
          <w:u w:val="single"/>
        </w:rPr>
        <w:t>Hlavní inkompatibility:</w:t>
      </w:r>
    </w:p>
    <w:p w14:paraId="790BBA91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BB0110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52014CE1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16EF257D" w14:textId="77777777" w:rsidR="00E51620" w:rsidRPr="00BB0110" w:rsidRDefault="00E51620" w:rsidP="00BB0110">
      <w:pPr>
        <w:spacing w:line="240" w:lineRule="auto"/>
        <w:ind w:left="567" w:hanging="567"/>
        <w:rPr>
          <w:szCs w:val="22"/>
        </w:rPr>
      </w:pPr>
      <w:r w:rsidRPr="00BB0110">
        <w:rPr>
          <w:b/>
          <w:szCs w:val="22"/>
        </w:rPr>
        <w:t>7.</w:t>
      </w:r>
      <w:r w:rsidRPr="00BB0110">
        <w:rPr>
          <w:b/>
          <w:szCs w:val="22"/>
        </w:rPr>
        <w:tab/>
        <w:t>Nežádoucí účinky</w:t>
      </w:r>
    </w:p>
    <w:p w14:paraId="2400B42E" w14:textId="77777777" w:rsidR="00123B0A" w:rsidRPr="00BB0110" w:rsidRDefault="00123B0A" w:rsidP="00BB011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01817A5B" w14:textId="18A5998F" w:rsidR="00123B0A" w:rsidRPr="00BB0110" w:rsidRDefault="00123B0A" w:rsidP="00BB0110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 w:rsidRPr="00BB0110">
        <w:rPr>
          <w:szCs w:val="22"/>
          <w:u w:val="single"/>
        </w:rPr>
        <w:t>Prasata:</w:t>
      </w:r>
    </w:p>
    <w:p w14:paraId="6F7DE667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45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4449"/>
      </w:tblGrid>
      <w:tr w:rsidR="00123B0A" w:rsidRPr="00BB0110" w14:paraId="7E800A75" w14:textId="77777777" w:rsidTr="001675B3">
        <w:tc>
          <w:tcPr>
            <w:tcW w:w="2325" w:type="pct"/>
          </w:tcPr>
          <w:p w14:paraId="0F48E4BD" w14:textId="3FE8D7AB" w:rsidR="00123B0A" w:rsidRPr="00BB0110" w:rsidRDefault="00302DDA" w:rsidP="00BB011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302DDA">
              <w:rPr>
                <w:szCs w:val="22"/>
              </w:rPr>
              <w:t>Neznámá četnost (z dostupných údajů nelze určit):</w:t>
            </w:r>
          </w:p>
        </w:tc>
        <w:tc>
          <w:tcPr>
            <w:tcW w:w="2675" w:type="pct"/>
            <w:hideMark/>
          </w:tcPr>
          <w:p w14:paraId="7A7BE7FF" w14:textId="6D0AD836" w:rsidR="00123B0A" w:rsidRPr="00BB0110" w:rsidRDefault="00123B0A" w:rsidP="00BB0110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BB0110">
              <w:rPr>
                <w:szCs w:val="22"/>
              </w:rPr>
              <w:t xml:space="preserve">Průjem*, </w:t>
            </w:r>
            <w:r w:rsidR="00302DDA">
              <w:rPr>
                <w:szCs w:val="22"/>
              </w:rPr>
              <w:t>pruritus (</w:t>
            </w:r>
            <w:r w:rsidRPr="00BB0110">
              <w:rPr>
                <w:szCs w:val="22"/>
              </w:rPr>
              <w:t>svědění</w:t>
            </w:r>
            <w:r w:rsidR="00302DDA">
              <w:rPr>
                <w:szCs w:val="22"/>
              </w:rPr>
              <w:t>)</w:t>
            </w:r>
            <w:r w:rsidRPr="00BB0110">
              <w:rPr>
                <w:szCs w:val="22"/>
              </w:rPr>
              <w:t>*, zarudnutí kůže (erytém)*, otok vulvy*, otok</w:t>
            </w:r>
            <w:r w:rsidR="00302DDA">
              <w:rPr>
                <w:szCs w:val="22"/>
              </w:rPr>
              <w:t xml:space="preserve"> rekta</w:t>
            </w:r>
            <w:r w:rsidRPr="00BB0110">
              <w:rPr>
                <w:szCs w:val="22"/>
              </w:rPr>
              <w:t>* a prolaps rekta*.</w:t>
            </w:r>
          </w:p>
        </w:tc>
      </w:tr>
    </w:tbl>
    <w:p w14:paraId="111E2F35" w14:textId="62A69B1A" w:rsidR="00123B0A" w:rsidRPr="00BB0110" w:rsidRDefault="00123B0A" w:rsidP="00BB0110">
      <w:pPr>
        <w:tabs>
          <w:tab w:val="clear" w:pos="567"/>
        </w:tabs>
        <w:spacing w:line="240" w:lineRule="auto"/>
        <w:rPr>
          <w:bCs/>
          <w:szCs w:val="22"/>
        </w:rPr>
      </w:pPr>
      <w:r w:rsidRPr="00BB0110">
        <w:rPr>
          <w:szCs w:val="22"/>
        </w:rPr>
        <w:t xml:space="preserve">* Všechno to jsou </w:t>
      </w:r>
      <w:r w:rsidR="00302DDA">
        <w:rPr>
          <w:szCs w:val="22"/>
        </w:rPr>
        <w:t>přechodné</w:t>
      </w:r>
      <w:r w:rsidRPr="00BB0110">
        <w:rPr>
          <w:szCs w:val="22"/>
        </w:rPr>
        <w:t xml:space="preserve"> příznaky a objevují se 48–72 hodin po zahájení léčby</w:t>
      </w:r>
    </w:p>
    <w:p w14:paraId="24713657" w14:textId="77777777" w:rsidR="00123B0A" w:rsidRPr="00BB0110" w:rsidRDefault="00123B0A" w:rsidP="00BB0110">
      <w:pPr>
        <w:tabs>
          <w:tab w:val="clear" w:pos="567"/>
        </w:tabs>
        <w:spacing w:line="240" w:lineRule="auto"/>
        <w:rPr>
          <w:szCs w:val="22"/>
        </w:rPr>
      </w:pPr>
    </w:p>
    <w:p w14:paraId="413EE9AB" w14:textId="0AB10B0F" w:rsidR="00E51620" w:rsidRPr="00BB0110" w:rsidRDefault="00123B0A" w:rsidP="00BB0110">
      <w:pPr>
        <w:tabs>
          <w:tab w:val="clear" w:pos="567"/>
        </w:tabs>
        <w:spacing w:line="240" w:lineRule="auto"/>
        <w:jc w:val="both"/>
        <w:rPr>
          <w:bCs/>
          <w:szCs w:val="22"/>
          <w:u w:val="single"/>
        </w:rPr>
      </w:pPr>
      <w:r w:rsidRPr="00BB0110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</w:t>
      </w:r>
      <w:r w:rsidR="00BB0110">
        <w:rPr>
          <w:szCs w:val="22"/>
        </w:rPr>
        <w:t> </w:t>
      </w:r>
      <w:r w:rsidRPr="00BB0110">
        <w:rPr>
          <w:szCs w:val="22"/>
        </w:rPr>
        <w:t>registraci s využitím kontaktních údajů uvedených na konci této příbalové informace nebo prostřednictvím národního systému hlášení nežádoucích účinků:</w:t>
      </w:r>
    </w:p>
    <w:p w14:paraId="34AD0D7A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6DEADE9B" w14:textId="77777777" w:rsidR="00E51620" w:rsidRPr="00BB0110" w:rsidRDefault="00E51620" w:rsidP="00BB0110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BB0110">
        <w:rPr>
          <w:b/>
          <w:szCs w:val="22"/>
        </w:rPr>
        <w:t>8.</w:t>
      </w:r>
      <w:r w:rsidRPr="00BB0110">
        <w:rPr>
          <w:b/>
          <w:szCs w:val="22"/>
        </w:rPr>
        <w:tab/>
        <w:t>Dávkování pro každý druh, cesty a způsob podání</w:t>
      </w:r>
    </w:p>
    <w:p w14:paraId="666ABF9E" w14:textId="77777777" w:rsidR="00E51620" w:rsidRPr="00BB0110" w:rsidRDefault="00E51620" w:rsidP="00BB0110">
      <w:pPr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2845EC0A" w14:textId="7F9300EE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</w:rPr>
        <w:t xml:space="preserve">Podání v pitné vodě. </w:t>
      </w:r>
    </w:p>
    <w:p w14:paraId="1D7CF4BB" w14:textId="47B5C0AF" w:rsidR="00E51620" w:rsidRPr="00BB0110" w:rsidRDefault="009244A2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</w:rPr>
        <w:lastRenderedPageBreak/>
        <w:t xml:space="preserve">U skotu (telat) lze veterinární léčivý </w:t>
      </w:r>
      <w:r w:rsidR="00E51620" w:rsidRPr="00BB0110">
        <w:rPr>
          <w:szCs w:val="22"/>
        </w:rPr>
        <w:t>přípravek podávat také v mléku nebo mléčné náhražce.</w:t>
      </w:r>
    </w:p>
    <w:p w14:paraId="5DC56D25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</w:rPr>
        <w:t xml:space="preserve"> </w:t>
      </w:r>
    </w:p>
    <w:p w14:paraId="79F8FBA8" w14:textId="77777777" w:rsidR="00E51620" w:rsidRPr="00BB0110" w:rsidRDefault="00E51620" w:rsidP="0062744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</w:rPr>
        <w:t>1,1 gramu veterinárního léčivého přípravku odpovídá 1 gramu tylosinu. Dávkování je následující:</w:t>
      </w:r>
    </w:p>
    <w:p w14:paraId="5FDB465A" w14:textId="77777777" w:rsidR="00E51620" w:rsidRPr="00BB0110" w:rsidRDefault="00E51620" w:rsidP="00BB0110">
      <w:pPr>
        <w:tabs>
          <w:tab w:val="clear" w:pos="567"/>
        </w:tabs>
        <w:spacing w:line="240" w:lineRule="auto"/>
        <w:ind w:left="390"/>
        <w:jc w:val="both"/>
        <w:rPr>
          <w:szCs w:val="22"/>
        </w:rPr>
      </w:pPr>
    </w:p>
    <w:p w14:paraId="7A26E14E" w14:textId="15B0EF86" w:rsidR="00E51620" w:rsidRPr="00BB0110" w:rsidRDefault="009244A2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B35AF">
        <w:rPr>
          <w:szCs w:val="22"/>
          <w:u w:val="single"/>
        </w:rPr>
        <w:t>Skot (telata)</w:t>
      </w:r>
      <w:r w:rsidRPr="00BB0110">
        <w:rPr>
          <w:szCs w:val="22"/>
        </w:rPr>
        <w:t>:</w:t>
      </w:r>
    </w:p>
    <w:p w14:paraId="409E5BC8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BB0110">
        <w:rPr>
          <w:szCs w:val="22"/>
        </w:rPr>
        <w:t>10 – 20</w:t>
      </w:r>
      <w:proofErr w:type="gramEnd"/>
      <w:r w:rsidRPr="00BB0110">
        <w:rPr>
          <w:szCs w:val="22"/>
        </w:rPr>
        <w:t xml:space="preserve"> mg tylosinu na kg ž. hm. (odpovídá 11 – 22 mg veterinárního léčivého přípravku na kg ž.hm.), dvakrát denně (odpovídá denní dávce 20 – 40 mg tylosinu na kg ž.hm.) po dobu 7 až 14 dnů. </w:t>
      </w:r>
    </w:p>
    <w:p w14:paraId="1633D79C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E327E1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  <w:u w:val="single"/>
        </w:rPr>
        <w:t>Krůty</w:t>
      </w:r>
      <w:r w:rsidRPr="00BB0110">
        <w:rPr>
          <w:szCs w:val="22"/>
        </w:rPr>
        <w:t xml:space="preserve">: </w:t>
      </w:r>
    </w:p>
    <w:p w14:paraId="6E7DC305" w14:textId="4597B35B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BB0110">
        <w:rPr>
          <w:szCs w:val="22"/>
        </w:rPr>
        <w:t>75 – 100</w:t>
      </w:r>
      <w:proofErr w:type="gramEnd"/>
      <w:r w:rsidRPr="00BB0110">
        <w:rPr>
          <w:szCs w:val="22"/>
        </w:rPr>
        <w:t xml:space="preserve"> mg tylosinu na kg ž. hm. </w:t>
      </w:r>
      <w:r w:rsidR="001825D6">
        <w:rPr>
          <w:szCs w:val="22"/>
        </w:rPr>
        <w:t>a den</w:t>
      </w:r>
      <w:r w:rsidRPr="00BB0110">
        <w:rPr>
          <w:szCs w:val="22"/>
        </w:rPr>
        <w:t xml:space="preserve"> (odpovídá 82,5 – 110 mg veterinárního léčivého přípravku na kg ž.hm.) po dobu 3 – 5 dnů.</w:t>
      </w:r>
    </w:p>
    <w:p w14:paraId="69AF8050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DA73AD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B0110">
        <w:rPr>
          <w:szCs w:val="22"/>
          <w:u w:val="single"/>
        </w:rPr>
        <w:t>Kur domácí:</w:t>
      </w:r>
    </w:p>
    <w:p w14:paraId="33947BEE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</w:rPr>
        <w:t xml:space="preserve">Léčba chronického respiračního onemocnění: </w:t>
      </w:r>
    </w:p>
    <w:p w14:paraId="62632942" w14:textId="67C87E80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BB0110">
        <w:rPr>
          <w:szCs w:val="22"/>
        </w:rPr>
        <w:t>75 – 100</w:t>
      </w:r>
      <w:proofErr w:type="gramEnd"/>
      <w:r w:rsidRPr="00BB0110">
        <w:rPr>
          <w:szCs w:val="22"/>
        </w:rPr>
        <w:t xml:space="preserve"> mg tylosinu na kg ž. hm. </w:t>
      </w:r>
      <w:r w:rsidR="001825D6">
        <w:rPr>
          <w:szCs w:val="22"/>
        </w:rPr>
        <w:t>a den</w:t>
      </w:r>
      <w:r w:rsidRPr="00BB0110">
        <w:rPr>
          <w:szCs w:val="22"/>
        </w:rPr>
        <w:t xml:space="preserve"> (odpovídá 82,5 – 110 mg veterinárního léčivého přípravku na kg ž.hm.) po dobu 3 – 5 dnů.</w:t>
      </w:r>
    </w:p>
    <w:p w14:paraId="1132B3FA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2F3FFB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</w:rPr>
        <w:t>Léčba nekrotické enteritidy:</w:t>
      </w:r>
    </w:p>
    <w:p w14:paraId="6CB668EE" w14:textId="11A9E98B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</w:rPr>
        <w:t xml:space="preserve">20 mg tylosinu na kg ž. hm. </w:t>
      </w:r>
      <w:r w:rsidR="001825D6">
        <w:rPr>
          <w:szCs w:val="22"/>
        </w:rPr>
        <w:t>a den</w:t>
      </w:r>
      <w:r w:rsidRPr="00BB0110">
        <w:rPr>
          <w:szCs w:val="22"/>
        </w:rPr>
        <w:t xml:space="preserve"> (odpovídá 22 mg veterinárního léčivého přípravku) po dobu 3 dnů.</w:t>
      </w:r>
    </w:p>
    <w:p w14:paraId="2CE4701E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ADF9E7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  <w:u w:val="single"/>
        </w:rPr>
        <w:t>Prasata</w:t>
      </w:r>
      <w:r w:rsidRPr="00BB0110">
        <w:rPr>
          <w:szCs w:val="22"/>
        </w:rPr>
        <w:t>:</w:t>
      </w:r>
    </w:p>
    <w:p w14:paraId="7758E5EF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BB0110">
        <w:rPr>
          <w:szCs w:val="22"/>
        </w:rPr>
        <w:t>Léčba  enzootické</w:t>
      </w:r>
      <w:proofErr w:type="gramEnd"/>
      <w:r w:rsidRPr="00BB0110">
        <w:rPr>
          <w:szCs w:val="22"/>
        </w:rPr>
        <w:t xml:space="preserve"> pneumonie:</w:t>
      </w:r>
    </w:p>
    <w:p w14:paraId="287A0BEB" w14:textId="3E712255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</w:rPr>
        <w:t xml:space="preserve">20 mg tylosinu na kg ž. hm. </w:t>
      </w:r>
      <w:r w:rsidR="001825D6">
        <w:rPr>
          <w:szCs w:val="22"/>
        </w:rPr>
        <w:t>a den</w:t>
      </w:r>
      <w:r w:rsidRPr="00BB0110">
        <w:rPr>
          <w:szCs w:val="22"/>
        </w:rPr>
        <w:t xml:space="preserve"> (odpovídá 22 mg veterinárního léčivého přípravku na kg </w:t>
      </w:r>
      <w:proofErr w:type="gramStart"/>
      <w:r w:rsidRPr="00BB0110">
        <w:rPr>
          <w:szCs w:val="22"/>
        </w:rPr>
        <w:t>ž.hm. )</w:t>
      </w:r>
      <w:proofErr w:type="gramEnd"/>
      <w:r w:rsidRPr="00BB0110">
        <w:rPr>
          <w:szCs w:val="22"/>
        </w:rPr>
        <w:t xml:space="preserve"> po dobu 10 dnů.</w:t>
      </w:r>
    </w:p>
    <w:p w14:paraId="6D280737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BB0110">
        <w:rPr>
          <w:szCs w:val="22"/>
        </w:rPr>
        <w:t>Léčba  ileitidy</w:t>
      </w:r>
      <w:proofErr w:type="gramEnd"/>
      <w:r w:rsidRPr="00BB0110">
        <w:rPr>
          <w:szCs w:val="22"/>
        </w:rPr>
        <w:t xml:space="preserve"> nebo střevní adenomatózy prasat (PIA):</w:t>
      </w:r>
    </w:p>
    <w:p w14:paraId="33A9C8CF" w14:textId="153EF07F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BB0110">
        <w:rPr>
          <w:szCs w:val="22"/>
        </w:rPr>
        <w:t>5 - 10</w:t>
      </w:r>
      <w:proofErr w:type="gramEnd"/>
      <w:r w:rsidRPr="00BB0110">
        <w:rPr>
          <w:szCs w:val="22"/>
        </w:rPr>
        <w:t xml:space="preserve"> mg tylosinu na kg ž. hm.  </w:t>
      </w:r>
      <w:r w:rsidR="001825D6">
        <w:rPr>
          <w:szCs w:val="22"/>
        </w:rPr>
        <w:t>a den</w:t>
      </w:r>
      <w:r w:rsidRPr="00BB0110">
        <w:rPr>
          <w:szCs w:val="22"/>
        </w:rPr>
        <w:t xml:space="preserve"> (odpovídá 5,5 -11 mg veterinárního léčivého přípravku na kg ž. hm.) po dobu 7 dnů.</w:t>
      </w:r>
    </w:p>
    <w:p w14:paraId="1389828C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3BB1AA" w14:textId="2A9CF4E8" w:rsidR="009244A2" w:rsidRPr="00BB0110" w:rsidRDefault="009244A2" w:rsidP="00BB011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BB0110">
        <w:rPr>
          <w:szCs w:val="22"/>
        </w:rPr>
        <w:t>Pro zajištění správného dávkování je třeba co nejpřesněji stanovit živou hmotnost. Příjem medikované vody / mléka / mléčné náhražky závisí na klinickém stavu zvířat. Pro dosažení správného dávkování může být nutné odpovídajícím způsobem upravit koncentraci tylosinu. Na základě doporučené dávky a</w:t>
      </w:r>
      <w:r w:rsidR="00BB0110">
        <w:rPr>
          <w:szCs w:val="22"/>
        </w:rPr>
        <w:t> </w:t>
      </w:r>
      <w:r w:rsidRPr="00BB0110">
        <w:rPr>
          <w:szCs w:val="22"/>
        </w:rPr>
        <w:t>počtu a hmotnosti zvířat, která je třeba ošetřit, se přesná denní koncentrace veterinárního léčivého přípravku vypočítá podle následujícího vzorce:</w:t>
      </w:r>
    </w:p>
    <w:p w14:paraId="541BB773" w14:textId="77777777" w:rsidR="009244A2" w:rsidRPr="00BB0110" w:rsidRDefault="009244A2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9181" w:type="dxa"/>
        <w:tblLook w:val="01E0" w:firstRow="1" w:lastRow="1" w:firstColumn="1" w:lastColumn="1" w:noHBand="0" w:noVBand="0"/>
      </w:tblPr>
      <w:tblGrid>
        <w:gridCol w:w="2958"/>
        <w:gridCol w:w="326"/>
        <w:gridCol w:w="3111"/>
        <w:gridCol w:w="348"/>
        <w:gridCol w:w="2438"/>
      </w:tblGrid>
      <w:tr w:rsidR="001825D6" w:rsidRPr="00BB0110" w14:paraId="053CE6B6" w14:textId="77777777" w:rsidTr="004B35AF">
        <w:trPr>
          <w:trHeight w:val="1044"/>
        </w:trPr>
        <w:tc>
          <w:tcPr>
            <w:tcW w:w="2977" w:type="dxa"/>
            <w:vAlign w:val="center"/>
          </w:tcPr>
          <w:p w14:paraId="465997CF" w14:textId="77777777" w:rsidR="001825D6" w:rsidRPr="00BB0110" w:rsidRDefault="001825D6" w:rsidP="00BB011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BB0110">
              <w:rPr>
                <w:szCs w:val="22"/>
              </w:rPr>
              <w:t>…… mg veterinárního léčivého přípravku na kg živé hmotnosti na den</w:t>
            </w:r>
          </w:p>
        </w:tc>
        <w:tc>
          <w:tcPr>
            <w:tcW w:w="271" w:type="dxa"/>
          </w:tcPr>
          <w:p w14:paraId="30599C68" w14:textId="77777777" w:rsidR="001825D6" w:rsidRDefault="001825D6" w:rsidP="00BB0110">
            <w:pPr>
              <w:spacing w:line="240" w:lineRule="auto"/>
              <w:jc w:val="both"/>
              <w:rPr>
                <w:szCs w:val="22"/>
              </w:rPr>
            </w:pPr>
            <w:r w:rsidRPr="00BB0110">
              <w:rPr>
                <w:szCs w:val="22"/>
              </w:rPr>
              <w:t xml:space="preserve">  </w:t>
            </w:r>
          </w:p>
          <w:p w14:paraId="2ECDFC32" w14:textId="77777777" w:rsidR="001825D6" w:rsidRDefault="001825D6" w:rsidP="00BB0110">
            <w:pPr>
              <w:spacing w:line="240" w:lineRule="auto"/>
              <w:jc w:val="both"/>
              <w:rPr>
                <w:szCs w:val="22"/>
              </w:rPr>
            </w:pPr>
          </w:p>
          <w:p w14:paraId="7621C2A7" w14:textId="78D2171F" w:rsidR="001825D6" w:rsidRPr="00BB0110" w:rsidRDefault="001825D6" w:rsidP="00BB0110">
            <w:pPr>
              <w:spacing w:line="240" w:lineRule="auto"/>
              <w:jc w:val="both"/>
              <w:rPr>
                <w:szCs w:val="22"/>
              </w:rPr>
            </w:pPr>
            <w:r w:rsidRPr="00BB0110">
              <w:rPr>
                <w:szCs w:val="22"/>
              </w:rPr>
              <w:t>x</w:t>
            </w:r>
          </w:p>
        </w:tc>
        <w:tc>
          <w:tcPr>
            <w:tcW w:w="3135" w:type="dxa"/>
            <w:vAlign w:val="center"/>
          </w:tcPr>
          <w:p w14:paraId="08357470" w14:textId="77777777" w:rsidR="001825D6" w:rsidRPr="00BB0110" w:rsidRDefault="001825D6" w:rsidP="00BB011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BB0110">
              <w:rPr>
                <w:szCs w:val="22"/>
              </w:rPr>
              <w:t>Průměrná živá hmotnost (kg)</w:t>
            </w:r>
          </w:p>
          <w:p w14:paraId="05C0923B" w14:textId="77777777" w:rsidR="001825D6" w:rsidRPr="00BB0110" w:rsidRDefault="001825D6" w:rsidP="00BB011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BB0110">
              <w:rPr>
                <w:szCs w:val="22"/>
              </w:rPr>
              <w:t>léčených zvířat</w:t>
            </w:r>
          </w:p>
        </w:tc>
        <w:tc>
          <w:tcPr>
            <w:tcW w:w="348" w:type="dxa"/>
            <w:vMerge w:val="restart"/>
          </w:tcPr>
          <w:p w14:paraId="2D66DD62" w14:textId="4463B6F4" w:rsidR="001825D6" w:rsidRDefault="001825D6" w:rsidP="00BB011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</w:p>
          <w:p w14:paraId="406E7A9E" w14:textId="6962E047" w:rsidR="001825D6" w:rsidRDefault="001825D6" w:rsidP="00BB011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</w:p>
          <w:p w14:paraId="1142FEAE" w14:textId="5231087D" w:rsidR="001825D6" w:rsidRDefault="001825D6" w:rsidP="00BB011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</w:p>
          <w:p w14:paraId="3E1F94DA" w14:textId="77777777" w:rsidR="001825D6" w:rsidRPr="00BB0110" w:rsidRDefault="001825D6" w:rsidP="00BB011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</w:p>
          <w:p w14:paraId="47B694FC" w14:textId="5E47CDB8" w:rsidR="001825D6" w:rsidRPr="00BB0110" w:rsidRDefault="001825D6" w:rsidP="00BB0110">
            <w:pPr>
              <w:spacing w:line="240" w:lineRule="auto"/>
              <w:jc w:val="both"/>
              <w:rPr>
                <w:szCs w:val="22"/>
              </w:rPr>
            </w:pPr>
            <w:r w:rsidRPr="00BB0110">
              <w:rPr>
                <w:szCs w:val="22"/>
              </w:rPr>
              <w:t>=</w:t>
            </w:r>
          </w:p>
        </w:tc>
        <w:tc>
          <w:tcPr>
            <w:tcW w:w="2450" w:type="dxa"/>
            <w:vMerge w:val="restart"/>
          </w:tcPr>
          <w:p w14:paraId="3F6A6FAF" w14:textId="77777777" w:rsidR="001825D6" w:rsidRDefault="001825D6" w:rsidP="00BB011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7357512E" w14:textId="77777777" w:rsidR="001825D6" w:rsidRDefault="001825D6" w:rsidP="00BB011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577873F7" w14:textId="77777777" w:rsidR="001825D6" w:rsidRDefault="001825D6" w:rsidP="00BB011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4BF73628" w14:textId="77777777" w:rsidR="001825D6" w:rsidRDefault="001825D6" w:rsidP="00BB011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791B71F4" w14:textId="4305AE29" w:rsidR="001825D6" w:rsidRPr="00BB0110" w:rsidRDefault="001825D6" w:rsidP="00BB011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BB0110">
              <w:rPr>
                <w:szCs w:val="22"/>
              </w:rPr>
              <w:t>…... mg veterinárního léčivého přípravku /</w:t>
            </w:r>
          </w:p>
          <w:p w14:paraId="427E6030" w14:textId="2CEF9142" w:rsidR="001825D6" w:rsidRPr="00BB0110" w:rsidRDefault="001825D6" w:rsidP="00BB0110">
            <w:pPr>
              <w:spacing w:line="240" w:lineRule="auto"/>
              <w:rPr>
                <w:szCs w:val="22"/>
              </w:rPr>
            </w:pPr>
            <w:r w:rsidRPr="00BB0110">
              <w:rPr>
                <w:szCs w:val="22"/>
              </w:rPr>
              <w:t>l pitné vody</w:t>
            </w:r>
          </w:p>
        </w:tc>
      </w:tr>
      <w:tr w:rsidR="001825D6" w:rsidRPr="00BB0110" w14:paraId="2EC68992" w14:textId="77777777" w:rsidTr="00DB1FD8">
        <w:trPr>
          <w:trHeight w:val="351"/>
        </w:trPr>
        <w:tc>
          <w:tcPr>
            <w:tcW w:w="6383" w:type="dxa"/>
            <w:gridSpan w:val="3"/>
            <w:tcBorders>
              <w:top w:val="single" w:sz="4" w:space="0" w:color="auto"/>
            </w:tcBorders>
          </w:tcPr>
          <w:p w14:paraId="3D0382D1" w14:textId="77777777" w:rsidR="001825D6" w:rsidRPr="00BB0110" w:rsidRDefault="001825D6" w:rsidP="004B35AF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BB0110">
              <w:rPr>
                <w:szCs w:val="22"/>
              </w:rPr>
              <w:t>Průměrné množství pitné vody nebo mléka / zvíře (l)</w:t>
            </w:r>
          </w:p>
        </w:tc>
        <w:tc>
          <w:tcPr>
            <w:tcW w:w="348" w:type="dxa"/>
            <w:vMerge/>
          </w:tcPr>
          <w:p w14:paraId="4ABE5415" w14:textId="77777777" w:rsidR="001825D6" w:rsidRPr="00BB0110" w:rsidRDefault="001825D6" w:rsidP="00BB0110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</w:p>
        </w:tc>
        <w:tc>
          <w:tcPr>
            <w:tcW w:w="2450" w:type="dxa"/>
            <w:vMerge/>
          </w:tcPr>
          <w:p w14:paraId="02AC8066" w14:textId="75016E06" w:rsidR="001825D6" w:rsidRPr="00BB0110" w:rsidRDefault="001825D6" w:rsidP="00BB011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14:paraId="579CC06E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0D3696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  <w:r w:rsidRPr="00BB0110">
        <w:rPr>
          <w:szCs w:val="22"/>
        </w:rPr>
        <w:t>Pokud jednotlivá zvířata vykazují známky závažné infekce, jako je snížený příjem vody nebo potravy, měla by být léčena individuálně, například vhodnými injekčními veterinárními léčivými přípravky.</w:t>
      </w:r>
    </w:p>
    <w:p w14:paraId="36F3C872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5DA0D8" w14:textId="77777777" w:rsidR="00E51620" w:rsidRPr="00BB0110" w:rsidRDefault="00E51620" w:rsidP="00BB0110">
      <w:pPr>
        <w:spacing w:line="240" w:lineRule="auto"/>
        <w:ind w:left="567" w:hanging="567"/>
        <w:rPr>
          <w:b/>
          <w:szCs w:val="22"/>
        </w:rPr>
      </w:pPr>
      <w:r w:rsidRPr="00BB0110">
        <w:rPr>
          <w:b/>
          <w:szCs w:val="22"/>
        </w:rPr>
        <w:t>9.</w:t>
      </w:r>
      <w:r w:rsidRPr="00BB0110">
        <w:rPr>
          <w:b/>
          <w:szCs w:val="22"/>
        </w:rPr>
        <w:tab/>
        <w:t>Informace o správném podávání</w:t>
      </w:r>
    </w:p>
    <w:p w14:paraId="3FF059BB" w14:textId="77777777" w:rsidR="00E51620" w:rsidRPr="00BB0110" w:rsidRDefault="00E51620" w:rsidP="00BB0110">
      <w:pPr>
        <w:spacing w:line="240" w:lineRule="auto"/>
        <w:ind w:left="567" w:hanging="567"/>
        <w:rPr>
          <w:szCs w:val="22"/>
        </w:rPr>
      </w:pPr>
    </w:p>
    <w:p w14:paraId="02AF3DEB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</w:rPr>
        <w:t>Léčená zvířata by měla mít zajištěn dostatečný přístup k napájecímu systému, aby se zajistila odpovídající spotřeba vody. Žádný jiný zdroj pitné vody by neměl být během léčby k dispozici.</w:t>
      </w:r>
    </w:p>
    <w:p w14:paraId="17E711D4" w14:textId="77777777" w:rsidR="00E51620" w:rsidRPr="00BB0110" w:rsidRDefault="00E51620" w:rsidP="00BB0110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</w:rPr>
        <w:t xml:space="preserve">Pokud se příznaky onemocnění významně nezlepší během 3 dnů, je třeba přehodnotit léčebný přístup. Po ukončení medikace je třeba odpovídajícím způsobem vyčistit napájecí systém, aby se předešlo příjmu </w:t>
      </w:r>
      <w:proofErr w:type="gramStart"/>
      <w:r w:rsidRPr="00BB0110">
        <w:rPr>
          <w:szCs w:val="22"/>
        </w:rPr>
        <w:t>subterapeutického  množství</w:t>
      </w:r>
      <w:proofErr w:type="gramEnd"/>
      <w:r w:rsidRPr="00BB0110">
        <w:rPr>
          <w:szCs w:val="22"/>
        </w:rPr>
        <w:t xml:space="preserve"> léčivé látky, což by mohlo podpořit vznik rezistence.</w:t>
      </w:r>
    </w:p>
    <w:p w14:paraId="16A3A100" w14:textId="77777777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szCs w:val="22"/>
        </w:rPr>
        <w:t>Voda, mléko nebo mléčná náhražka s léčivem by se měly vyměňovat každých 24 hodin.</w:t>
      </w:r>
    </w:p>
    <w:p w14:paraId="1E644336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077329AA" w14:textId="77777777" w:rsidR="00E51620" w:rsidRPr="00BB0110" w:rsidRDefault="00E51620" w:rsidP="00BB0110">
      <w:pPr>
        <w:spacing w:line="240" w:lineRule="auto"/>
        <w:ind w:left="567" w:hanging="567"/>
        <w:rPr>
          <w:szCs w:val="22"/>
        </w:rPr>
      </w:pPr>
      <w:r w:rsidRPr="00BB0110">
        <w:rPr>
          <w:b/>
          <w:szCs w:val="22"/>
        </w:rPr>
        <w:t>10.</w:t>
      </w:r>
      <w:r w:rsidRPr="00BB0110">
        <w:rPr>
          <w:b/>
          <w:szCs w:val="22"/>
        </w:rPr>
        <w:tab/>
        <w:t>Ochranné lhůty</w:t>
      </w:r>
    </w:p>
    <w:p w14:paraId="68121754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915D0AD" w14:textId="30027080" w:rsidR="00E51620" w:rsidRPr="00BB0110" w:rsidRDefault="009244A2" w:rsidP="00BB0110">
      <w:pPr>
        <w:tabs>
          <w:tab w:val="clear" w:pos="567"/>
        </w:tabs>
        <w:spacing w:line="240" w:lineRule="auto"/>
        <w:rPr>
          <w:szCs w:val="22"/>
        </w:rPr>
      </w:pPr>
      <w:r w:rsidRPr="00BB0110">
        <w:rPr>
          <w:szCs w:val="22"/>
        </w:rPr>
        <w:t xml:space="preserve">Skot (telata) </w:t>
      </w:r>
      <w:r w:rsidR="00E51620" w:rsidRPr="00BB0110">
        <w:rPr>
          <w:szCs w:val="22"/>
        </w:rPr>
        <w:t>(maso): 12 dnů</w:t>
      </w:r>
    </w:p>
    <w:p w14:paraId="74F34A8C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  <w:r w:rsidRPr="00BB0110">
        <w:rPr>
          <w:szCs w:val="22"/>
        </w:rPr>
        <w:lastRenderedPageBreak/>
        <w:t>Prasata (maso): 1 den</w:t>
      </w:r>
    </w:p>
    <w:p w14:paraId="347FC490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  <w:r w:rsidRPr="00BB0110">
        <w:rPr>
          <w:szCs w:val="22"/>
        </w:rPr>
        <w:t>Krůty (maso): 2 dnů</w:t>
      </w:r>
    </w:p>
    <w:p w14:paraId="24A48AC7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  <w:r w:rsidRPr="00BB0110">
        <w:rPr>
          <w:szCs w:val="22"/>
        </w:rPr>
        <w:t>Krůty (vejce): Bez ochranných lhůt.</w:t>
      </w:r>
    </w:p>
    <w:p w14:paraId="576CAC30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  <w:r w:rsidRPr="00BB0110">
        <w:rPr>
          <w:szCs w:val="22"/>
        </w:rPr>
        <w:t>Kur domácí (maso): 1 den</w:t>
      </w:r>
    </w:p>
    <w:p w14:paraId="7F169A9B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  <w:r w:rsidRPr="00BB0110">
        <w:rPr>
          <w:szCs w:val="22"/>
        </w:rPr>
        <w:t>Kur domácí (vejce): Bez ochranných lhůt.</w:t>
      </w:r>
    </w:p>
    <w:p w14:paraId="21361F1A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3453E669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  <w:r w:rsidRPr="00BB0110">
        <w:rPr>
          <w:b/>
          <w:szCs w:val="22"/>
        </w:rPr>
        <w:t>11.</w:t>
      </w:r>
      <w:r w:rsidRPr="00BB0110">
        <w:rPr>
          <w:b/>
          <w:szCs w:val="22"/>
        </w:rPr>
        <w:tab/>
        <w:t>Zvláštní opatření pro uchovávání</w:t>
      </w:r>
    </w:p>
    <w:p w14:paraId="11BB2C4E" w14:textId="77777777" w:rsidR="00E51620" w:rsidRPr="00BB0110" w:rsidRDefault="00E51620" w:rsidP="00BB0110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14:paraId="549F5DDD" w14:textId="46242F72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  <w:r w:rsidRPr="00BB0110">
        <w:rPr>
          <w:szCs w:val="22"/>
        </w:rPr>
        <w:t xml:space="preserve">Uchovávejte v původním obalu, aby byl přípravek chráněn před světlem. </w:t>
      </w:r>
      <w:r w:rsidR="00F913D5" w:rsidRPr="00BB0110">
        <w:rPr>
          <w:szCs w:val="22"/>
        </w:rPr>
        <w:br/>
      </w:r>
      <w:r w:rsidRPr="00BB0110">
        <w:rPr>
          <w:szCs w:val="22"/>
        </w:rPr>
        <w:t>Uchovávejte při teplotě do 30 °C.</w:t>
      </w:r>
    </w:p>
    <w:p w14:paraId="00E0C39A" w14:textId="4BB0D61F" w:rsidR="00E51620" w:rsidRPr="00BB0110" w:rsidRDefault="009244A2" w:rsidP="00BB0110">
      <w:pPr>
        <w:tabs>
          <w:tab w:val="clear" w:pos="567"/>
        </w:tabs>
        <w:spacing w:line="240" w:lineRule="auto"/>
        <w:rPr>
          <w:szCs w:val="22"/>
        </w:rPr>
      </w:pPr>
      <w:r w:rsidRPr="00BB0110">
        <w:rPr>
          <w:szCs w:val="22"/>
        </w:rPr>
        <w:t>Uchovávejte v dobře uzavřeném vnitřním obalu.</w:t>
      </w:r>
    </w:p>
    <w:p w14:paraId="49BC9607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62D47564" w14:textId="77777777" w:rsidR="00E51620" w:rsidRPr="00BB0110" w:rsidRDefault="00E51620" w:rsidP="004B35AF">
      <w:pPr>
        <w:keepNext/>
        <w:keepLines/>
        <w:tabs>
          <w:tab w:val="clear" w:pos="567"/>
        </w:tabs>
        <w:spacing w:line="240" w:lineRule="auto"/>
        <w:rPr>
          <w:bCs/>
          <w:szCs w:val="22"/>
        </w:rPr>
      </w:pPr>
      <w:r w:rsidRPr="00BB0110">
        <w:rPr>
          <w:szCs w:val="22"/>
        </w:rPr>
        <w:t xml:space="preserve">Doba použitelnosti po rozpuštění nebo rekonstituci podle návodu: </w:t>
      </w:r>
    </w:p>
    <w:p w14:paraId="0BA86362" w14:textId="77777777" w:rsidR="00E51620" w:rsidRPr="00BB0110" w:rsidRDefault="00E51620" w:rsidP="00BB0110">
      <w:pPr>
        <w:tabs>
          <w:tab w:val="clear" w:pos="567"/>
        </w:tabs>
        <w:spacing w:line="240" w:lineRule="auto"/>
        <w:ind w:firstLine="612"/>
        <w:rPr>
          <w:szCs w:val="22"/>
        </w:rPr>
      </w:pPr>
      <w:r w:rsidRPr="00BB0110">
        <w:rPr>
          <w:szCs w:val="22"/>
        </w:rPr>
        <w:t>24 hodin v medikované vodě</w:t>
      </w:r>
    </w:p>
    <w:p w14:paraId="55F96936" w14:textId="626C27AB" w:rsidR="00E51620" w:rsidRPr="00BB0110" w:rsidRDefault="00E51620" w:rsidP="00BB0110">
      <w:pPr>
        <w:tabs>
          <w:tab w:val="clear" w:pos="567"/>
        </w:tabs>
        <w:spacing w:line="240" w:lineRule="auto"/>
        <w:ind w:firstLine="612"/>
        <w:rPr>
          <w:szCs w:val="22"/>
        </w:rPr>
      </w:pPr>
      <w:r w:rsidRPr="00BB0110">
        <w:rPr>
          <w:szCs w:val="22"/>
        </w:rPr>
        <w:t xml:space="preserve">24 hodin v </w:t>
      </w:r>
      <w:proofErr w:type="spellStart"/>
      <w:r w:rsidRPr="00BB0110">
        <w:rPr>
          <w:szCs w:val="22"/>
        </w:rPr>
        <w:t>medikovaném</w:t>
      </w:r>
      <w:proofErr w:type="spellEnd"/>
      <w:r w:rsidRPr="00BB0110">
        <w:rPr>
          <w:szCs w:val="22"/>
        </w:rPr>
        <w:t xml:space="preserve"> mléku nebo </w:t>
      </w:r>
      <w:r w:rsidR="006D2FEE">
        <w:rPr>
          <w:szCs w:val="22"/>
        </w:rPr>
        <w:t xml:space="preserve">mléčné </w:t>
      </w:r>
      <w:r w:rsidRPr="00BB0110">
        <w:rPr>
          <w:szCs w:val="22"/>
        </w:rPr>
        <w:t xml:space="preserve">náhražce </w:t>
      </w:r>
    </w:p>
    <w:p w14:paraId="5C4628D0" w14:textId="77777777" w:rsidR="00E51620" w:rsidRPr="00BB0110" w:rsidRDefault="00E51620" w:rsidP="00BB0110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BB0110">
        <w:rPr>
          <w:szCs w:val="22"/>
        </w:rPr>
        <w:t>Doba použitelnosti po prvním otevření vnitřního obalu: 3 měsíce</w:t>
      </w:r>
    </w:p>
    <w:p w14:paraId="0A98987F" w14:textId="753D021A" w:rsidR="00E51620" w:rsidRPr="00BB0110" w:rsidRDefault="00E51620" w:rsidP="00BB0110">
      <w:pPr>
        <w:tabs>
          <w:tab w:val="clear" w:pos="567"/>
        </w:tabs>
        <w:spacing w:line="240" w:lineRule="auto"/>
        <w:rPr>
          <w:bCs/>
          <w:szCs w:val="22"/>
        </w:rPr>
      </w:pPr>
      <w:r w:rsidRPr="00BB0110">
        <w:rPr>
          <w:szCs w:val="22"/>
        </w:rPr>
        <w:t>Nepoužívejte tento veterinární léčivý přípravek po uplynutí doby použitelnost</w:t>
      </w:r>
      <w:r w:rsidR="00F913D5" w:rsidRPr="00BB0110">
        <w:rPr>
          <w:szCs w:val="22"/>
        </w:rPr>
        <w:t>i</w:t>
      </w:r>
      <w:r w:rsidRPr="00BB0110">
        <w:rPr>
          <w:szCs w:val="22"/>
        </w:rPr>
        <w:t xml:space="preserve"> uvedené na etiketě. </w:t>
      </w:r>
    </w:p>
    <w:p w14:paraId="1B1EE6F4" w14:textId="74CA1B97" w:rsidR="00E51620" w:rsidRPr="00BB0110" w:rsidRDefault="009244A2" w:rsidP="00BB0110">
      <w:pPr>
        <w:tabs>
          <w:tab w:val="clear" w:pos="567"/>
        </w:tabs>
        <w:spacing w:line="240" w:lineRule="auto"/>
        <w:rPr>
          <w:szCs w:val="22"/>
        </w:rPr>
      </w:pPr>
      <w:r w:rsidRPr="004B35AF">
        <w:rPr>
          <w:szCs w:val="22"/>
        </w:rPr>
        <w:t>Doba použitelnosti kon</w:t>
      </w:r>
      <w:r w:rsidRPr="004B35AF">
        <w:rPr>
          <w:rFonts w:hint="eastAsia"/>
          <w:szCs w:val="22"/>
        </w:rPr>
        <w:t>čí</w:t>
      </w:r>
      <w:r w:rsidRPr="004B35AF">
        <w:rPr>
          <w:szCs w:val="22"/>
        </w:rPr>
        <w:t xml:space="preserve"> posledním dnem v uvedeném m</w:t>
      </w:r>
      <w:r w:rsidRPr="004B35AF">
        <w:rPr>
          <w:rFonts w:hint="eastAsia"/>
          <w:szCs w:val="22"/>
        </w:rPr>
        <w:t>ě</w:t>
      </w:r>
      <w:r w:rsidRPr="004B35AF">
        <w:rPr>
          <w:szCs w:val="22"/>
        </w:rPr>
        <w:t>síci.</w:t>
      </w:r>
    </w:p>
    <w:p w14:paraId="0B8ED591" w14:textId="20E7C9C1" w:rsidR="00E51620" w:rsidRPr="00BB0110" w:rsidRDefault="00E51620" w:rsidP="00BB011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B0110">
        <w:rPr>
          <w:i/>
          <w:szCs w:val="22"/>
        </w:rPr>
        <w:t>„</w:t>
      </w:r>
      <w:r w:rsidRPr="00BB0110">
        <w:rPr>
          <w:szCs w:val="22"/>
        </w:rPr>
        <w:t xml:space="preserve">Po prvním otevření obalu </w:t>
      </w:r>
      <w:r w:rsidR="00B3374C" w:rsidRPr="00BB0110">
        <w:rPr>
          <w:szCs w:val="22"/>
        </w:rPr>
        <w:t xml:space="preserve">stanovte datum likvidace zbylého množství přípravku v tomto </w:t>
      </w:r>
      <w:proofErr w:type="gramStart"/>
      <w:r w:rsidR="00B3374C" w:rsidRPr="00BB0110">
        <w:rPr>
          <w:szCs w:val="22"/>
        </w:rPr>
        <w:t>obalu</w:t>
      </w:r>
      <w:proofErr w:type="gramEnd"/>
      <w:r w:rsidR="00B3374C" w:rsidRPr="00BB0110">
        <w:rPr>
          <w:szCs w:val="22"/>
        </w:rPr>
        <w:t xml:space="preserve"> a to na základě doby použitelnosti po prvním otevření uvedené v této příbalové informaci</w:t>
      </w:r>
      <w:r w:rsidRPr="00BB0110">
        <w:rPr>
          <w:szCs w:val="22"/>
        </w:rPr>
        <w:t xml:space="preserve">.  Toto datum </w:t>
      </w:r>
      <w:r w:rsidR="00B3374C" w:rsidRPr="00BB0110">
        <w:rPr>
          <w:szCs w:val="22"/>
        </w:rPr>
        <w:t>napište na místo k tomu určené na etiketě</w:t>
      </w:r>
      <w:r w:rsidRPr="00BB0110">
        <w:rPr>
          <w:szCs w:val="22"/>
        </w:rPr>
        <w:t>.“</w:t>
      </w:r>
    </w:p>
    <w:p w14:paraId="01A3D4A0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0520B367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  <w:r w:rsidRPr="00BB0110">
        <w:rPr>
          <w:szCs w:val="22"/>
        </w:rPr>
        <w:t>Uchovávejte mimo dohled a dosah dětí.</w:t>
      </w:r>
    </w:p>
    <w:p w14:paraId="528F2F84" w14:textId="77777777" w:rsidR="00E51620" w:rsidRPr="00BB0110" w:rsidRDefault="00E51620" w:rsidP="00BB0110">
      <w:pPr>
        <w:tabs>
          <w:tab w:val="clear" w:pos="567"/>
        </w:tabs>
        <w:spacing w:line="240" w:lineRule="auto"/>
        <w:rPr>
          <w:szCs w:val="22"/>
        </w:rPr>
      </w:pPr>
    </w:p>
    <w:p w14:paraId="5A1EA9A9" w14:textId="77777777" w:rsidR="00E51620" w:rsidRPr="00BB0110" w:rsidRDefault="00E51620" w:rsidP="00BB0110">
      <w:pPr>
        <w:spacing w:line="240" w:lineRule="auto"/>
        <w:ind w:left="567" w:hanging="567"/>
        <w:jc w:val="both"/>
        <w:rPr>
          <w:b/>
          <w:szCs w:val="22"/>
        </w:rPr>
      </w:pPr>
      <w:r w:rsidRPr="00BB0110">
        <w:rPr>
          <w:b/>
          <w:szCs w:val="22"/>
        </w:rPr>
        <w:t>12.</w:t>
      </w:r>
      <w:r w:rsidRPr="00BB0110">
        <w:rPr>
          <w:b/>
          <w:szCs w:val="22"/>
        </w:rPr>
        <w:tab/>
        <w:t xml:space="preserve">Zvláštní opatření pro likvidaci </w:t>
      </w:r>
    </w:p>
    <w:p w14:paraId="655F96A7" w14:textId="77777777" w:rsidR="00E51620" w:rsidRPr="00BB0110" w:rsidRDefault="00E51620" w:rsidP="00BB0110">
      <w:pPr>
        <w:spacing w:line="240" w:lineRule="auto"/>
        <w:ind w:left="567" w:hanging="567"/>
        <w:jc w:val="both"/>
        <w:rPr>
          <w:b/>
          <w:bCs/>
          <w:szCs w:val="22"/>
        </w:rPr>
      </w:pPr>
    </w:p>
    <w:p w14:paraId="00F02599" w14:textId="2F7B3049" w:rsidR="009244A2" w:rsidRDefault="009244A2" w:rsidP="00BB0110">
      <w:pPr>
        <w:spacing w:line="240" w:lineRule="auto"/>
        <w:ind w:left="567" w:hanging="567"/>
        <w:jc w:val="both"/>
        <w:rPr>
          <w:szCs w:val="22"/>
        </w:rPr>
      </w:pPr>
      <w:r w:rsidRPr="00BB0110">
        <w:rPr>
          <w:szCs w:val="22"/>
        </w:rPr>
        <w:t>Léčivé přípravky se nesmí likvidovat prostřednictvím odpadní vody či domovního odpadu.</w:t>
      </w:r>
    </w:p>
    <w:p w14:paraId="658AC6B0" w14:textId="77777777" w:rsidR="009244A2" w:rsidRPr="00BB0110" w:rsidRDefault="009244A2" w:rsidP="00BB0110">
      <w:pPr>
        <w:spacing w:line="240" w:lineRule="auto"/>
        <w:ind w:left="567" w:hanging="567"/>
        <w:jc w:val="both"/>
        <w:rPr>
          <w:szCs w:val="22"/>
        </w:rPr>
      </w:pPr>
    </w:p>
    <w:p w14:paraId="17F533E1" w14:textId="4D88ACA9" w:rsidR="009244A2" w:rsidRDefault="009244A2" w:rsidP="00BB0110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r w:rsidRPr="00BB0110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F54ACE9" w14:textId="77777777" w:rsidR="00BB0110" w:rsidRPr="00BB0110" w:rsidRDefault="00BB0110" w:rsidP="00BB0110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</w:p>
    <w:p w14:paraId="0A2F0C3A" w14:textId="77777777" w:rsidR="00BB0110" w:rsidRPr="00BB0110" w:rsidRDefault="00BB0110" w:rsidP="00BB0110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BB0110">
        <w:rPr>
          <w:szCs w:val="22"/>
        </w:rPr>
        <w:t>O možnostech likvidace nepotřebných léčivých přípravků se poraďte s vaším veterinárním lékařem nebo lékárníkem.</w:t>
      </w:r>
    </w:p>
    <w:p w14:paraId="3693D208" w14:textId="77777777" w:rsidR="00E51620" w:rsidRPr="00BB0110" w:rsidRDefault="00E51620" w:rsidP="00BB0110">
      <w:pPr>
        <w:spacing w:line="240" w:lineRule="auto"/>
        <w:ind w:left="567" w:hanging="567"/>
        <w:rPr>
          <w:b/>
          <w:szCs w:val="22"/>
        </w:rPr>
      </w:pPr>
    </w:p>
    <w:p w14:paraId="2F848ACB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318"/>
        <w:jc w:val="both"/>
        <w:rPr>
          <w:b/>
          <w:bCs/>
          <w:szCs w:val="22"/>
        </w:rPr>
      </w:pPr>
      <w:r w:rsidRPr="00BB0110">
        <w:rPr>
          <w:b/>
          <w:szCs w:val="22"/>
        </w:rPr>
        <w:t>13.</w:t>
      </w:r>
      <w:r w:rsidRPr="00BB0110">
        <w:rPr>
          <w:b/>
          <w:szCs w:val="22"/>
        </w:rPr>
        <w:tab/>
        <w:t>Klasifikace veterinárních léčivých přípravků</w:t>
      </w:r>
    </w:p>
    <w:p w14:paraId="0ACD523C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318"/>
        <w:jc w:val="both"/>
        <w:rPr>
          <w:b/>
          <w:bCs/>
          <w:szCs w:val="22"/>
        </w:rPr>
      </w:pPr>
    </w:p>
    <w:p w14:paraId="01D87C07" w14:textId="3DDF235D" w:rsidR="00E51620" w:rsidRPr="00BB0110" w:rsidRDefault="009244A2" w:rsidP="00BB0110">
      <w:pPr>
        <w:tabs>
          <w:tab w:val="clear" w:pos="567"/>
        </w:tabs>
        <w:spacing w:line="240" w:lineRule="auto"/>
        <w:ind w:right="-318"/>
        <w:jc w:val="both"/>
        <w:rPr>
          <w:bCs/>
          <w:szCs w:val="22"/>
        </w:rPr>
      </w:pPr>
      <w:r w:rsidRPr="00BB0110">
        <w:rPr>
          <w:szCs w:val="22"/>
        </w:rPr>
        <w:t>Veterinární léčivý přípravek je vydáván pouze na předpis.</w:t>
      </w:r>
    </w:p>
    <w:p w14:paraId="691ABCCE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318"/>
        <w:jc w:val="both"/>
        <w:rPr>
          <w:bCs/>
          <w:szCs w:val="22"/>
          <w:highlight w:val="yellow"/>
        </w:rPr>
      </w:pPr>
    </w:p>
    <w:p w14:paraId="03638D01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318"/>
        <w:jc w:val="both"/>
        <w:rPr>
          <w:b/>
          <w:bCs/>
          <w:szCs w:val="22"/>
        </w:rPr>
      </w:pPr>
      <w:r w:rsidRPr="00BB0110">
        <w:rPr>
          <w:b/>
          <w:szCs w:val="22"/>
        </w:rPr>
        <w:t>14.</w:t>
      </w:r>
      <w:r w:rsidRPr="00BB0110">
        <w:rPr>
          <w:b/>
          <w:szCs w:val="22"/>
        </w:rPr>
        <w:tab/>
        <w:t>Registrační čísla a velikosti balení</w:t>
      </w:r>
    </w:p>
    <w:p w14:paraId="1D24FED6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318"/>
        <w:jc w:val="both"/>
        <w:rPr>
          <w:szCs w:val="22"/>
        </w:rPr>
      </w:pPr>
    </w:p>
    <w:p w14:paraId="6C5C5EBC" w14:textId="6C7E251D" w:rsidR="004B35AF" w:rsidRDefault="004B35AF" w:rsidP="00BB011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4B35AF">
        <w:rPr>
          <w:szCs w:val="22"/>
        </w:rPr>
        <w:t>96/034/</w:t>
      </w:r>
      <w:proofErr w:type="gramStart"/>
      <w:r w:rsidRPr="004B35AF">
        <w:rPr>
          <w:szCs w:val="22"/>
        </w:rPr>
        <w:t>11-C</w:t>
      </w:r>
      <w:bookmarkStart w:id="0" w:name="_GoBack"/>
      <w:bookmarkEnd w:id="0"/>
      <w:proofErr w:type="gramEnd"/>
    </w:p>
    <w:p w14:paraId="7DA868E5" w14:textId="77777777" w:rsidR="004B35AF" w:rsidRDefault="004B35AF" w:rsidP="00BB011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2F51164F" w14:textId="2EAB5353" w:rsidR="00E51620" w:rsidRPr="00BB0110" w:rsidRDefault="00E51620" w:rsidP="00BB011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BB0110">
        <w:rPr>
          <w:szCs w:val="22"/>
        </w:rPr>
        <w:t xml:space="preserve">Uzavíratelný vak se zipem s širokým dnem z laminátu </w:t>
      </w:r>
      <w:proofErr w:type="spellStart"/>
      <w:r w:rsidRPr="00BB0110">
        <w:rPr>
          <w:szCs w:val="22"/>
        </w:rPr>
        <w:t>polyet</w:t>
      </w:r>
      <w:r w:rsidR="005F1960" w:rsidRPr="00BB0110">
        <w:rPr>
          <w:szCs w:val="22"/>
        </w:rPr>
        <w:t>h</w:t>
      </w:r>
      <w:r w:rsidRPr="00BB0110">
        <w:rPr>
          <w:szCs w:val="22"/>
        </w:rPr>
        <w:t>ylen</w:t>
      </w:r>
      <w:proofErr w:type="spellEnd"/>
      <w:r w:rsidRPr="00BB0110">
        <w:rPr>
          <w:szCs w:val="22"/>
        </w:rPr>
        <w:t>/hliník/</w:t>
      </w:r>
      <w:proofErr w:type="spellStart"/>
      <w:r w:rsidRPr="00BB0110">
        <w:rPr>
          <w:szCs w:val="22"/>
        </w:rPr>
        <w:t>polyet</w:t>
      </w:r>
      <w:r w:rsidR="005F1960" w:rsidRPr="00BB0110">
        <w:rPr>
          <w:szCs w:val="22"/>
        </w:rPr>
        <w:t>h</w:t>
      </w:r>
      <w:r w:rsidRPr="00BB0110">
        <w:rPr>
          <w:szCs w:val="22"/>
        </w:rPr>
        <w:t>ylentereftalát</w:t>
      </w:r>
      <w:proofErr w:type="spellEnd"/>
      <w:r w:rsidRPr="00BB0110">
        <w:rPr>
          <w:szCs w:val="22"/>
        </w:rPr>
        <w:t xml:space="preserve"> o obsahu 1,1 kg</w:t>
      </w:r>
      <w:r w:rsidR="00CB09AC" w:rsidRPr="00BB0110">
        <w:rPr>
          <w:szCs w:val="22"/>
        </w:rPr>
        <w:t>.</w:t>
      </w:r>
      <w:r w:rsidRPr="00BB0110">
        <w:rPr>
          <w:szCs w:val="22"/>
        </w:rPr>
        <w:t xml:space="preserve"> </w:t>
      </w:r>
    </w:p>
    <w:p w14:paraId="54D1A1E0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093BEBAA" w14:textId="33AF41EB" w:rsidR="00E51620" w:rsidRPr="00BB0110" w:rsidRDefault="00E51620" w:rsidP="00BB011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BB0110">
        <w:rPr>
          <w:szCs w:val="22"/>
        </w:rPr>
        <w:t xml:space="preserve">Kelímek z </w:t>
      </w:r>
      <w:proofErr w:type="spellStart"/>
      <w:r w:rsidRPr="00BB0110">
        <w:rPr>
          <w:szCs w:val="22"/>
        </w:rPr>
        <w:t>vysokohustotního</w:t>
      </w:r>
      <w:proofErr w:type="spellEnd"/>
      <w:r w:rsidRPr="00BB0110">
        <w:rPr>
          <w:szCs w:val="22"/>
        </w:rPr>
        <w:t xml:space="preserve"> </w:t>
      </w:r>
      <w:proofErr w:type="spellStart"/>
      <w:r w:rsidRPr="00BB0110">
        <w:rPr>
          <w:szCs w:val="22"/>
        </w:rPr>
        <w:t>polyet</w:t>
      </w:r>
      <w:r w:rsidR="005F1960" w:rsidRPr="00BB0110">
        <w:rPr>
          <w:szCs w:val="22"/>
        </w:rPr>
        <w:t>h</w:t>
      </w:r>
      <w:r w:rsidRPr="00BB0110">
        <w:rPr>
          <w:szCs w:val="22"/>
        </w:rPr>
        <w:t>ylenu</w:t>
      </w:r>
      <w:proofErr w:type="spellEnd"/>
      <w:r w:rsidRPr="00BB0110">
        <w:rPr>
          <w:szCs w:val="22"/>
        </w:rPr>
        <w:t xml:space="preserve"> s polypropylenovým víčkem o obsahu 110 g</w:t>
      </w:r>
      <w:r w:rsidR="00CB09AC" w:rsidRPr="00BB0110">
        <w:rPr>
          <w:szCs w:val="22"/>
        </w:rPr>
        <w:t>.</w:t>
      </w:r>
    </w:p>
    <w:p w14:paraId="5ACC91B4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74FE8206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BB0110">
        <w:rPr>
          <w:szCs w:val="22"/>
        </w:rPr>
        <w:t>Na trhu nemusí být všechny velikosti balení.</w:t>
      </w:r>
    </w:p>
    <w:p w14:paraId="62CF2600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318"/>
        <w:jc w:val="both"/>
        <w:rPr>
          <w:szCs w:val="22"/>
        </w:rPr>
      </w:pPr>
    </w:p>
    <w:p w14:paraId="3722195C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  <w:r w:rsidRPr="00BB0110">
        <w:rPr>
          <w:b/>
          <w:szCs w:val="22"/>
        </w:rPr>
        <w:t>15.</w:t>
      </w:r>
      <w:r w:rsidRPr="00BB0110">
        <w:rPr>
          <w:b/>
          <w:szCs w:val="22"/>
        </w:rPr>
        <w:tab/>
        <w:t>Datum poslední revize příbalové informace</w:t>
      </w:r>
    </w:p>
    <w:p w14:paraId="3233C081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</w:p>
    <w:p w14:paraId="066CE5CA" w14:textId="43EF5DD6" w:rsidR="00E51620" w:rsidRDefault="003743BB" w:rsidP="00BB0110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  <w:r>
        <w:rPr>
          <w:bCs/>
          <w:szCs w:val="22"/>
        </w:rPr>
        <w:t>Prosinec</w:t>
      </w:r>
      <w:r w:rsidR="009E0AF4">
        <w:rPr>
          <w:bCs/>
          <w:szCs w:val="22"/>
        </w:rPr>
        <w:t xml:space="preserve"> 2023</w:t>
      </w:r>
    </w:p>
    <w:p w14:paraId="5AE8BC1B" w14:textId="77777777" w:rsidR="009E0AF4" w:rsidRPr="00BB0110" w:rsidRDefault="009E0AF4" w:rsidP="00BB0110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</w:p>
    <w:p w14:paraId="46171353" w14:textId="3305F0A7" w:rsidR="009244A2" w:rsidRDefault="009244A2" w:rsidP="00BB0110">
      <w:pPr>
        <w:tabs>
          <w:tab w:val="clear" w:pos="567"/>
        </w:tabs>
        <w:spacing w:line="240" w:lineRule="auto"/>
        <w:ind w:right="-2"/>
        <w:rPr>
          <w:szCs w:val="22"/>
        </w:rPr>
      </w:pPr>
      <w:r w:rsidRPr="00BB0110">
        <w:rPr>
          <w:szCs w:val="22"/>
        </w:rPr>
        <w:t xml:space="preserve">Podrobné informace o tomto veterinárním léčivém přípravku jsou k dispozici v </w:t>
      </w:r>
      <w:r w:rsidRPr="004B35AF">
        <w:rPr>
          <w:szCs w:val="22"/>
        </w:rPr>
        <w:t>databázi přípravků Unie</w:t>
      </w:r>
      <w:r w:rsidRPr="00BB0110">
        <w:rPr>
          <w:szCs w:val="22"/>
        </w:rPr>
        <w:t xml:space="preserve"> (</w:t>
      </w:r>
      <w:hyperlink r:id="rId7" w:history="1">
        <w:r w:rsidRPr="00BB0110">
          <w:rPr>
            <w:rStyle w:val="Hypertextovodkaz"/>
            <w:szCs w:val="22"/>
          </w:rPr>
          <w:t>https://medicines.health.europa.eu/veterinary</w:t>
        </w:r>
      </w:hyperlink>
      <w:r w:rsidRPr="00BB0110">
        <w:rPr>
          <w:szCs w:val="22"/>
        </w:rPr>
        <w:t>).</w:t>
      </w:r>
    </w:p>
    <w:p w14:paraId="05EE0D10" w14:textId="1877E2DA" w:rsidR="00EC1E36" w:rsidRDefault="00EC1E36" w:rsidP="00BB0110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</w:p>
    <w:p w14:paraId="4EFD8950" w14:textId="77777777" w:rsidR="00EC1E36" w:rsidRPr="000E189C" w:rsidRDefault="00EC1E36" w:rsidP="00EC1E36">
      <w:pPr>
        <w:numPr>
          <w:ilvl w:val="12"/>
          <w:numId w:val="0"/>
        </w:numPr>
        <w:spacing w:line="240" w:lineRule="auto"/>
        <w:rPr>
          <w:szCs w:val="22"/>
        </w:rPr>
      </w:pPr>
      <w:r w:rsidRPr="00703002">
        <w:rPr>
          <w:szCs w:val="22"/>
        </w:rPr>
        <w:lastRenderedPageBreak/>
        <w:t>Podrobné informace o tomto veterinárním léčivém přípravku naleznete také v národní databázi (</w:t>
      </w:r>
      <w:hyperlink r:id="rId8" w:history="1">
        <w:r w:rsidRPr="00703002">
          <w:rPr>
            <w:rStyle w:val="Hypertextovodkaz"/>
            <w:szCs w:val="22"/>
          </w:rPr>
          <w:t>https://www.uskvbl.cz</w:t>
        </w:r>
      </w:hyperlink>
      <w:r w:rsidRPr="00703002">
        <w:rPr>
          <w:szCs w:val="22"/>
        </w:rPr>
        <w:t>).</w:t>
      </w:r>
    </w:p>
    <w:p w14:paraId="4A4675F9" w14:textId="77777777" w:rsidR="00EC1E36" w:rsidRPr="00BB0110" w:rsidRDefault="00EC1E36" w:rsidP="00BB0110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</w:p>
    <w:p w14:paraId="2727A337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</w:p>
    <w:p w14:paraId="36AD3CFD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  <w:r w:rsidRPr="00BB0110">
        <w:rPr>
          <w:b/>
          <w:szCs w:val="22"/>
        </w:rPr>
        <w:t>16.</w:t>
      </w:r>
      <w:r w:rsidRPr="00BB0110">
        <w:rPr>
          <w:b/>
          <w:szCs w:val="22"/>
        </w:rPr>
        <w:tab/>
        <w:t>Kontaktní údaje</w:t>
      </w:r>
    </w:p>
    <w:p w14:paraId="2F097EBE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</w:p>
    <w:p w14:paraId="0419BD91" w14:textId="12AAB0B5" w:rsidR="009244A2" w:rsidRPr="00BB0110" w:rsidRDefault="009244A2" w:rsidP="00BB0110">
      <w:pPr>
        <w:tabs>
          <w:tab w:val="clear" w:pos="567"/>
        </w:tabs>
        <w:spacing w:line="240" w:lineRule="auto"/>
        <w:ind w:right="-2"/>
        <w:rPr>
          <w:bCs/>
          <w:iCs/>
          <w:szCs w:val="22"/>
          <w:u w:val="single"/>
        </w:rPr>
      </w:pPr>
      <w:bookmarkStart w:id="1" w:name="_Hlk73552578"/>
      <w:r w:rsidRPr="00BB0110">
        <w:rPr>
          <w:szCs w:val="22"/>
          <w:u w:val="single"/>
        </w:rPr>
        <w:t>Držitel rozhodnutí o registraci a kontaktní údaje pro hlášení podezření na nežádoucí účinky</w:t>
      </w:r>
      <w:r w:rsidR="005F1960" w:rsidRPr="00BB0110">
        <w:rPr>
          <w:szCs w:val="22"/>
          <w:u w:val="single"/>
        </w:rPr>
        <w:t>:</w:t>
      </w:r>
    </w:p>
    <w:p w14:paraId="0B474572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  <w:r w:rsidRPr="00BB0110">
        <w:rPr>
          <w:szCs w:val="22"/>
        </w:rPr>
        <w:t>Huvepharma NV</w:t>
      </w:r>
    </w:p>
    <w:p w14:paraId="483FEC52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  <w:r w:rsidRPr="00BB0110">
        <w:rPr>
          <w:szCs w:val="22"/>
        </w:rPr>
        <w:t>Uitbreidingstraat 80</w:t>
      </w:r>
    </w:p>
    <w:p w14:paraId="5759F1AF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  <w:r w:rsidRPr="00BB0110">
        <w:rPr>
          <w:szCs w:val="22"/>
        </w:rPr>
        <w:t>2600 Antwerpen</w:t>
      </w:r>
    </w:p>
    <w:p w14:paraId="3099B5FE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szCs w:val="22"/>
        </w:rPr>
      </w:pPr>
      <w:r w:rsidRPr="00BB0110">
        <w:rPr>
          <w:szCs w:val="22"/>
        </w:rPr>
        <w:t>Belgie</w:t>
      </w:r>
    </w:p>
    <w:p w14:paraId="260A3318" w14:textId="77777777" w:rsidR="00AE2063" w:rsidRPr="00BB0110" w:rsidRDefault="00AE2063" w:rsidP="00BB0110">
      <w:pPr>
        <w:tabs>
          <w:tab w:val="clear" w:pos="567"/>
        </w:tabs>
        <w:spacing w:line="240" w:lineRule="auto"/>
        <w:ind w:right="-2"/>
        <w:rPr>
          <w:bCs/>
          <w:iCs/>
          <w:szCs w:val="22"/>
          <w:lang w:val="fr-FR"/>
        </w:rPr>
      </w:pPr>
      <w:r w:rsidRPr="00BB0110">
        <w:rPr>
          <w:bCs/>
          <w:iCs/>
          <w:szCs w:val="22"/>
          <w:lang w:val="fr-FR"/>
        </w:rPr>
        <w:t>Tel: +32 3 288 18 49</w:t>
      </w:r>
    </w:p>
    <w:p w14:paraId="7058707A" w14:textId="7056EFAA" w:rsidR="00AE2063" w:rsidRPr="00BB0110" w:rsidRDefault="00AE2063" w:rsidP="00BB0110">
      <w:pPr>
        <w:tabs>
          <w:tab w:val="clear" w:pos="567"/>
        </w:tabs>
        <w:spacing w:line="240" w:lineRule="auto"/>
        <w:ind w:right="-2"/>
        <w:rPr>
          <w:bCs/>
          <w:iCs/>
          <w:szCs w:val="22"/>
        </w:rPr>
      </w:pPr>
      <w:r w:rsidRPr="00BB0110">
        <w:rPr>
          <w:bCs/>
          <w:iCs/>
          <w:szCs w:val="22"/>
          <w:lang w:val="fr-FR"/>
        </w:rPr>
        <w:t xml:space="preserve">E-mail: </w:t>
      </w:r>
      <w:hyperlink r:id="rId9" w:history="1">
        <w:r w:rsidRPr="00BB0110">
          <w:rPr>
            <w:rStyle w:val="Hypertextovodkaz"/>
            <w:bCs/>
            <w:iCs/>
            <w:szCs w:val="22"/>
            <w:lang w:val="fr-FR"/>
          </w:rPr>
          <w:t>pharmacovigilance@huvepharma.com</w:t>
        </w:r>
      </w:hyperlink>
    </w:p>
    <w:p w14:paraId="13E7AEF0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bCs/>
          <w:iCs/>
          <w:szCs w:val="22"/>
          <w:u w:val="single"/>
        </w:rPr>
      </w:pPr>
    </w:p>
    <w:p w14:paraId="3A2EE29D" w14:textId="3949C148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bCs/>
          <w:iCs/>
          <w:szCs w:val="22"/>
          <w:u w:val="single"/>
        </w:rPr>
      </w:pPr>
      <w:r w:rsidRPr="00BB0110">
        <w:rPr>
          <w:szCs w:val="22"/>
          <w:u w:val="single"/>
        </w:rPr>
        <w:t>Výrobce odpovědný za uvolnění šarže</w:t>
      </w:r>
      <w:r w:rsidR="005F1960" w:rsidRPr="00BB0110">
        <w:rPr>
          <w:szCs w:val="22"/>
          <w:u w:val="single"/>
        </w:rPr>
        <w:t>:</w:t>
      </w:r>
    </w:p>
    <w:p w14:paraId="33B86811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  <w:r w:rsidRPr="00BB0110">
        <w:rPr>
          <w:szCs w:val="22"/>
        </w:rPr>
        <w:t>Biovet JSC</w:t>
      </w:r>
    </w:p>
    <w:p w14:paraId="447D3582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  <w:r w:rsidRPr="00BB0110">
        <w:rPr>
          <w:szCs w:val="22"/>
        </w:rPr>
        <w:t>39 Petar Rakov Str</w:t>
      </w:r>
    </w:p>
    <w:p w14:paraId="127A9432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  <w:r w:rsidRPr="00BB0110">
        <w:rPr>
          <w:szCs w:val="22"/>
        </w:rPr>
        <w:t>4550 Peshtera</w:t>
      </w:r>
    </w:p>
    <w:p w14:paraId="0393FF16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bCs/>
          <w:szCs w:val="22"/>
        </w:rPr>
      </w:pPr>
      <w:r w:rsidRPr="00BB0110">
        <w:rPr>
          <w:szCs w:val="22"/>
        </w:rPr>
        <w:t>Bulharsko</w:t>
      </w:r>
    </w:p>
    <w:bookmarkEnd w:id="1"/>
    <w:p w14:paraId="3D9ED615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szCs w:val="22"/>
        </w:rPr>
      </w:pPr>
    </w:p>
    <w:p w14:paraId="1187BC0C" w14:textId="77777777" w:rsidR="00E51620" w:rsidRPr="00BB0110" w:rsidRDefault="00E51620" w:rsidP="00627445">
      <w:pPr>
        <w:keepNext/>
        <w:tabs>
          <w:tab w:val="clear" w:pos="567"/>
        </w:tabs>
        <w:spacing w:line="240" w:lineRule="auto"/>
        <w:rPr>
          <w:b/>
          <w:bCs/>
          <w:szCs w:val="22"/>
        </w:rPr>
      </w:pPr>
      <w:r w:rsidRPr="00BB0110">
        <w:rPr>
          <w:b/>
          <w:szCs w:val="22"/>
        </w:rPr>
        <w:t>17.</w:t>
      </w:r>
      <w:r w:rsidRPr="00BB0110">
        <w:rPr>
          <w:szCs w:val="22"/>
        </w:rPr>
        <w:tab/>
      </w:r>
      <w:r w:rsidRPr="00BB0110">
        <w:rPr>
          <w:b/>
          <w:szCs w:val="22"/>
        </w:rPr>
        <w:t>Další informace</w:t>
      </w:r>
    </w:p>
    <w:p w14:paraId="1F45D8BA" w14:textId="77777777" w:rsidR="00E51620" w:rsidRPr="00BB0110" w:rsidRDefault="00E51620" w:rsidP="0062744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5980C2B" w14:textId="77777777" w:rsidR="00E51620" w:rsidRPr="00BB0110" w:rsidRDefault="00E51620" w:rsidP="00627445">
      <w:pPr>
        <w:keepNext/>
        <w:tabs>
          <w:tab w:val="clear" w:pos="567"/>
        </w:tabs>
        <w:spacing w:line="240" w:lineRule="auto"/>
        <w:rPr>
          <w:b/>
          <w:bCs/>
          <w:szCs w:val="22"/>
        </w:rPr>
      </w:pPr>
      <w:r w:rsidRPr="00BB0110">
        <w:rPr>
          <w:b/>
          <w:szCs w:val="22"/>
        </w:rPr>
        <w:t>Environmentální vlastnosti</w:t>
      </w:r>
    </w:p>
    <w:p w14:paraId="4517BB17" w14:textId="458BCC68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szCs w:val="22"/>
        </w:rPr>
      </w:pPr>
      <w:r w:rsidRPr="00BB0110">
        <w:rPr>
          <w:szCs w:val="22"/>
        </w:rPr>
        <w:t xml:space="preserve">Většina reziduí je vylučována výkaly, obsahujícími hlavně </w:t>
      </w:r>
      <w:proofErr w:type="spellStart"/>
      <w:r w:rsidRPr="00BB0110">
        <w:rPr>
          <w:szCs w:val="22"/>
        </w:rPr>
        <w:t>tylosin</w:t>
      </w:r>
      <w:proofErr w:type="spellEnd"/>
      <w:r w:rsidRPr="00BB0110">
        <w:rPr>
          <w:szCs w:val="22"/>
        </w:rPr>
        <w:t xml:space="preserve"> (faktor A), </w:t>
      </w:r>
      <w:proofErr w:type="spellStart"/>
      <w:r w:rsidRPr="00BB0110">
        <w:rPr>
          <w:szCs w:val="22"/>
        </w:rPr>
        <w:t>relomycin</w:t>
      </w:r>
      <w:proofErr w:type="spellEnd"/>
      <w:r w:rsidRPr="00BB0110">
        <w:rPr>
          <w:szCs w:val="22"/>
        </w:rPr>
        <w:t xml:space="preserve"> (faktor D) </w:t>
      </w:r>
      <w:r w:rsidR="00BB0110" w:rsidRPr="00BB0110">
        <w:rPr>
          <w:szCs w:val="22"/>
        </w:rPr>
        <w:t>a</w:t>
      </w:r>
      <w:r w:rsidR="00BB0110">
        <w:rPr>
          <w:szCs w:val="22"/>
        </w:rPr>
        <w:t> </w:t>
      </w:r>
      <w:proofErr w:type="spellStart"/>
      <w:r w:rsidRPr="00BB0110">
        <w:rPr>
          <w:szCs w:val="22"/>
        </w:rPr>
        <w:t>dihydrodesmycosin</w:t>
      </w:r>
      <w:proofErr w:type="spellEnd"/>
      <w:r w:rsidRPr="00BB0110">
        <w:rPr>
          <w:szCs w:val="22"/>
        </w:rPr>
        <w:t>.</w:t>
      </w:r>
    </w:p>
    <w:p w14:paraId="3A7149A8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szCs w:val="22"/>
        </w:rPr>
      </w:pPr>
    </w:p>
    <w:p w14:paraId="272385E1" w14:textId="77777777" w:rsidR="00E51620" w:rsidRPr="00BB0110" w:rsidRDefault="00E51620" w:rsidP="00BB0110">
      <w:pPr>
        <w:tabs>
          <w:tab w:val="clear" w:pos="567"/>
        </w:tabs>
        <w:spacing w:line="240" w:lineRule="auto"/>
        <w:ind w:right="-2"/>
        <w:rPr>
          <w:szCs w:val="22"/>
        </w:rPr>
      </w:pPr>
    </w:p>
    <w:p w14:paraId="06A9C484" w14:textId="77777777" w:rsidR="00E407CB" w:rsidRPr="00BB0110" w:rsidRDefault="00E407CB" w:rsidP="00BB0110">
      <w:pPr>
        <w:spacing w:line="240" w:lineRule="auto"/>
        <w:rPr>
          <w:szCs w:val="22"/>
        </w:rPr>
      </w:pPr>
    </w:p>
    <w:sectPr w:rsidR="00E407CB" w:rsidRPr="00BB0110" w:rsidSect="00BD7B44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87B21" w14:textId="77777777" w:rsidR="001778D0" w:rsidRDefault="001778D0">
      <w:pPr>
        <w:spacing w:line="240" w:lineRule="auto"/>
      </w:pPr>
      <w:r>
        <w:separator/>
      </w:r>
    </w:p>
  </w:endnote>
  <w:endnote w:type="continuationSeparator" w:id="0">
    <w:p w14:paraId="044878BA" w14:textId="77777777" w:rsidR="001778D0" w:rsidRDefault="00177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91EBD" w14:textId="77777777" w:rsidR="006130EC" w:rsidRDefault="006130E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22BCEB3D" w14:textId="77777777" w:rsidR="006130EC" w:rsidRDefault="009244A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FD4AB" w14:textId="77777777" w:rsidR="006130EC" w:rsidRDefault="006130EC">
    <w:pPr>
      <w:pStyle w:val="Zpat"/>
      <w:tabs>
        <w:tab w:val="clear" w:pos="8930"/>
        <w:tab w:val="right" w:pos="8931"/>
      </w:tabs>
    </w:pPr>
  </w:p>
  <w:p w14:paraId="399E6DDA" w14:textId="77777777" w:rsidR="006130EC" w:rsidRDefault="009244A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4343B" w14:textId="77777777" w:rsidR="001778D0" w:rsidRDefault="001778D0">
      <w:pPr>
        <w:spacing w:line="240" w:lineRule="auto"/>
      </w:pPr>
      <w:r>
        <w:separator/>
      </w:r>
    </w:p>
  </w:footnote>
  <w:footnote w:type="continuationSeparator" w:id="0">
    <w:p w14:paraId="4747AA0A" w14:textId="77777777" w:rsidR="001778D0" w:rsidRDefault="001778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C608" w14:textId="77777777" w:rsidR="006130EC" w:rsidRPr="008B3B84" w:rsidRDefault="009244A2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16399" w14:textId="629A5CEF" w:rsidR="00144A20" w:rsidRPr="008847FC" w:rsidRDefault="00144A20" w:rsidP="008847FC">
    <w:pPr>
      <w:tabs>
        <w:tab w:val="clear" w:pos="567"/>
      </w:tabs>
      <w:spacing w:line="240" w:lineRule="auto"/>
      <w:ind w:right="113"/>
      <w:rPr>
        <w:strike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E0116"/>
    <w:multiLevelType w:val="hybridMultilevel"/>
    <w:tmpl w:val="9392CF8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20"/>
    <w:rsid w:val="00005A54"/>
    <w:rsid w:val="000132B0"/>
    <w:rsid w:val="00017F1D"/>
    <w:rsid w:val="00114281"/>
    <w:rsid w:val="00116E1E"/>
    <w:rsid w:val="00123B0A"/>
    <w:rsid w:val="00144A20"/>
    <w:rsid w:val="00154A4B"/>
    <w:rsid w:val="001778D0"/>
    <w:rsid w:val="001825D6"/>
    <w:rsid w:val="001C7C69"/>
    <w:rsid w:val="001F7EC5"/>
    <w:rsid w:val="00254906"/>
    <w:rsid w:val="002558A1"/>
    <w:rsid w:val="00290B93"/>
    <w:rsid w:val="00302DDA"/>
    <w:rsid w:val="00356142"/>
    <w:rsid w:val="00360BD6"/>
    <w:rsid w:val="003743BB"/>
    <w:rsid w:val="003903A0"/>
    <w:rsid w:val="003C666F"/>
    <w:rsid w:val="00422B88"/>
    <w:rsid w:val="00476BD6"/>
    <w:rsid w:val="0048744A"/>
    <w:rsid w:val="004A6695"/>
    <w:rsid w:val="004B35AF"/>
    <w:rsid w:val="004C6990"/>
    <w:rsid w:val="005327D0"/>
    <w:rsid w:val="0057660D"/>
    <w:rsid w:val="005A05B4"/>
    <w:rsid w:val="005B2A23"/>
    <w:rsid w:val="005B6153"/>
    <w:rsid w:val="005C01FD"/>
    <w:rsid w:val="005F1960"/>
    <w:rsid w:val="006130EC"/>
    <w:rsid w:val="006158B2"/>
    <w:rsid w:val="00627445"/>
    <w:rsid w:val="006C5A32"/>
    <w:rsid w:val="006D2FEE"/>
    <w:rsid w:val="006F29D2"/>
    <w:rsid w:val="007104F3"/>
    <w:rsid w:val="00726F9E"/>
    <w:rsid w:val="00756FA8"/>
    <w:rsid w:val="0084010A"/>
    <w:rsid w:val="008847FC"/>
    <w:rsid w:val="008F33D3"/>
    <w:rsid w:val="009244A2"/>
    <w:rsid w:val="00941EB1"/>
    <w:rsid w:val="00960E32"/>
    <w:rsid w:val="009E0AF4"/>
    <w:rsid w:val="009F3979"/>
    <w:rsid w:val="00A44212"/>
    <w:rsid w:val="00AC2D6E"/>
    <w:rsid w:val="00AD79C0"/>
    <w:rsid w:val="00AE2063"/>
    <w:rsid w:val="00AF1A19"/>
    <w:rsid w:val="00B3374C"/>
    <w:rsid w:val="00B45FE2"/>
    <w:rsid w:val="00B53C78"/>
    <w:rsid w:val="00BB0110"/>
    <w:rsid w:val="00C03AD6"/>
    <w:rsid w:val="00C350E2"/>
    <w:rsid w:val="00C57A2D"/>
    <w:rsid w:val="00CB09AC"/>
    <w:rsid w:val="00CD0E17"/>
    <w:rsid w:val="00CE4BDB"/>
    <w:rsid w:val="00D142DD"/>
    <w:rsid w:val="00D83159"/>
    <w:rsid w:val="00E407CB"/>
    <w:rsid w:val="00E47ED4"/>
    <w:rsid w:val="00E51620"/>
    <w:rsid w:val="00EC1E36"/>
    <w:rsid w:val="00EE02CA"/>
    <w:rsid w:val="00F15AF8"/>
    <w:rsid w:val="00F37824"/>
    <w:rsid w:val="00F41DF4"/>
    <w:rsid w:val="00F57FE1"/>
    <w:rsid w:val="00F736A6"/>
    <w:rsid w:val="00F913D5"/>
    <w:rsid w:val="00F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B8260"/>
  <w15:chartTrackingRefBased/>
  <w15:docId w15:val="{0094BB33-21F0-440A-953C-3539FC68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1620"/>
    <w:pPr>
      <w:tabs>
        <w:tab w:val="left" w:pos="567"/>
      </w:tabs>
      <w:spacing w:line="260" w:lineRule="exact"/>
    </w:pPr>
    <w:rPr>
      <w:rFonts w:eastAsia="Times New Roman"/>
      <w:kern w:val="0"/>
      <w:szCs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E51620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semiHidden/>
    <w:rsid w:val="00E51620"/>
    <w:rPr>
      <w:rFonts w:ascii="Helvetica" w:eastAsia="Times New Roman" w:hAnsi="Helvetica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semiHidden/>
    <w:rsid w:val="00E51620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semiHidden/>
    <w:rsid w:val="00E51620"/>
    <w:rPr>
      <w:rFonts w:ascii="Helvetica" w:eastAsia="Times New Roman" w:hAnsi="Helvetica"/>
      <w:kern w:val="0"/>
      <w:sz w:val="16"/>
      <w:szCs w:val="20"/>
      <w14:ligatures w14:val="none"/>
    </w:rPr>
  </w:style>
  <w:style w:type="character" w:styleId="Hypertextovodkaz">
    <w:name w:val="Hyperlink"/>
    <w:uiPriority w:val="99"/>
    <w:rsid w:val="00E51620"/>
    <w:rPr>
      <w:color w:val="0000FF"/>
      <w:u w:val="single"/>
    </w:rPr>
  </w:style>
  <w:style w:type="paragraph" w:styleId="Revize">
    <w:name w:val="Revision"/>
    <w:hidden/>
    <w:uiPriority w:val="99"/>
    <w:semiHidden/>
    <w:rsid w:val="00123B0A"/>
    <w:rPr>
      <w:rFonts w:eastAsia="Times New Roman"/>
      <w:kern w:val="0"/>
      <w:szCs w:val="2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AE206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A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A20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CD0E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0E17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0E17"/>
    <w:rPr>
      <w:rFonts w:eastAsia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E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E17"/>
    <w:rPr>
      <w:rFonts w:eastAsia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harmacovigilance@huvepharm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1609</Words>
  <Characters>9495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Neugebauerová Kateřina</cp:lastModifiedBy>
  <cp:revision>40</cp:revision>
  <cp:lastPrinted>2023-12-15T10:08:00Z</cp:lastPrinted>
  <dcterms:created xsi:type="dcterms:W3CDTF">2023-08-22T13:51:00Z</dcterms:created>
  <dcterms:modified xsi:type="dcterms:W3CDTF">2023-12-15T10:08:00Z</dcterms:modified>
</cp:coreProperties>
</file>