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84" w:rsidRPr="00F75554" w:rsidRDefault="00554D84"/>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Pr>
        <w:ind w:right="113"/>
      </w:pPr>
    </w:p>
    <w:p w:rsidR="00554D84" w:rsidRPr="00F75554" w:rsidRDefault="00554D84"/>
    <w:p w:rsidR="00554D84" w:rsidRPr="00F75554" w:rsidRDefault="00554D84"/>
    <w:p w:rsidR="00554D84" w:rsidRPr="00F75554" w:rsidRDefault="00554D84"/>
    <w:p w:rsidR="00554D84" w:rsidRPr="00F75554" w:rsidRDefault="00554D84"/>
    <w:p w:rsidR="00554D84" w:rsidRPr="00F75554" w:rsidRDefault="00554D84">
      <w:pPr>
        <w:ind w:right="113"/>
        <w:jc w:val="center"/>
      </w:pPr>
      <w:r w:rsidRPr="00F75554">
        <w:rPr>
          <w:b/>
        </w:rPr>
        <w:t>B. PŘÍBALOVÁ INFORMACE</w:t>
      </w:r>
    </w:p>
    <w:p w:rsidR="00554D84" w:rsidRPr="00F75554" w:rsidRDefault="00554D84">
      <w:pPr>
        <w:jc w:val="center"/>
      </w:pPr>
      <w:r w:rsidRPr="00F75554">
        <w:br w:type="page"/>
      </w:r>
      <w:r w:rsidRPr="00F75554">
        <w:rPr>
          <w:b/>
        </w:rPr>
        <w:lastRenderedPageBreak/>
        <w:t>PŘÍBALOVÁ INFORMACE</w:t>
      </w:r>
      <w:r w:rsidR="00CF421C" w:rsidRPr="00F75554">
        <w:rPr>
          <w:b/>
        </w:rPr>
        <w:t>:</w:t>
      </w:r>
    </w:p>
    <w:p w:rsidR="002E366C" w:rsidRPr="00BC5942" w:rsidRDefault="002E366C" w:rsidP="002E366C">
      <w:pPr>
        <w:jc w:val="center"/>
        <w:rPr>
          <w:szCs w:val="22"/>
        </w:rPr>
      </w:pPr>
      <w:r w:rsidRPr="00BC5942">
        <w:rPr>
          <w:szCs w:val="22"/>
        </w:rPr>
        <w:t>ALFAXAN 10 mg/ml injek</w:t>
      </w:r>
      <w:r w:rsidR="008A29F7">
        <w:rPr>
          <w:szCs w:val="22"/>
        </w:rPr>
        <w:t xml:space="preserve">ční roztok </w:t>
      </w:r>
      <w:r w:rsidRPr="00BC5942">
        <w:rPr>
          <w:szCs w:val="22"/>
        </w:rPr>
        <w:t>pro psy a kočky</w:t>
      </w:r>
    </w:p>
    <w:p w:rsidR="00554D84" w:rsidRPr="00F75554" w:rsidRDefault="00554D84"/>
    <w:p w:rsidR="00554D84" w:rsidRPr="00F75554" w:rsidRDefault="00554D84">
      <w:pPr>
        <w:rPr>
          <w:b/>
        </w:rPr>
      </w:pPr>
      <w:r w:rsidRPr="00F75554">
        <w:rPr>
          <w:b/>
        </w:rPr>
        <w:t>1.</w:t>
      </w:r>
      <w:r w:rsidRPr="00F75554">
        <w:rPr>
          <w:b/>
        </w:rPr>
        <w:tab/>
        <w:t>JMÉNO A ADRESA DRŽITELE ROZHODNUTÍ O REGISTRACI A DRŽITELE POVOLENÍ K VÝROBĚ ODPOVĚDNÉHO ZA UVOLNĚNÍ ŠARŽE, POKUD SE NESHODUJE</w:t>
      </w:r>
    </w:p>
    <w:p w:rsidR="00554D84" w:rsidRPr="00F75554" w:rsidRDefault="00554D84">
      <w:pPr>
        <w:rPr>
          <w:b/>
        </w:rPr>
      </w:pPr>
    </w:p>
    <w:p w:rsidR="00913A94" w:rsidRDefault="002E366C" w:rsidP="002E366C">
      <w:pPr>
        <w:rPr>
          <w:bCs/>
          <w:szCs w:val="22"/>
        </w:rPr>
      </w:pPr>
      <w:r w:rsidRPr="00BC5942">
        <w:rPr>
          <w:bCs/>
          <w:szCs w:val="22"/>
        </w:rPr>
        <w:t>Držitel rozhodnutí o registrac</w:t>
      </w:r>
      <w:r w:rsidR="00913A94">
        <w:rPr>
          <w:bCs/>
          <w:szCs w:val="22"/>
        </w:rPr>
        <w:t>i:</w:t>
      </w:r>
    </w:p>
    <w:p w:rsidR="00913A94" w:rsidRPr="00677EF1" w:rsidRDefault="00913A94" w:rsidP="00913A94">
      <w:pPr>
        <w:keepNext/>
        <w:keepLines/>
        <w:ind w:left="0" w:firstLine="0"/>
        <w:rPr>
          <w:bCs/>
          <w:szCs w:val="22"/>
          <w:lang w:val="en-GB"/>
        </w:rPr>
      </w:pPr>
      <w:proofErr w:type="spellStart"/>
      <w:r w:rsidRPr="00677EF1">
        <w:rPr>
          <w:bCs/>
          <w:szCs w:val="22"/>
          <w:lang w:val="en-GB"/>
        </w:rPr>
        <w:t>Jurox</w:t>
      </w:r>
      <w:proofErr w:type="spellEnd"/>
      <w:r w:rsidRPr="00677EF1">
        <w:rPr>
          <w:bCs/>
          <w:szCs w:val="22"/>
          <w:lang w:val="en-GB"/>
        </w:rPr>
        <w:t xml:space="preserve"> (Ireland) Limited</w:t>
      </w:r>
    </w:p>
    <w:p w:rsidR="00913A94" w:rsidRPr="00677EF1" w:rsidRDefault="00913A94" w:rsidP="00913A94">
      <w:pPr>
        <w:keepNext/>
        <w:keepLines/>
        <w:ind w:left="0" w:firstLine="0"/>
        <w:rPr>
          <w:bCs/>
          <w:szCs w:val="22"/>
          <w:lang w:val="en-GB"/>
        </w:rPr>
      </w:pPr>
      <w:r w:rsidRPr="00677EF1">
        <w:rPr>
          <w:bCs/>
          <w:szCs w:val="22"/>
          <w:lang w:val="en-GB"/>
        </w:rPr>
        <w:t>The Black Church</w:t>
      </w:r>
    </w:p>
    <w:p w:rsidR="00EB78DA" w:rsidRDefault="00913A94" w:rsidP="00913A94">
      <w:pPr>
        <w:keepNext/>
        <w:keepLines/>
        <w:ind w:left="0" w:firstLine="0"/>
        <w:rPr>
          <w:bCs/>
          <w:szCs w:val="22"/>
          <w:lang w:val="en-GB"/>
        </w:rPr>
      </w:pPr>
      <w:r w:rsidRPr="00677EF1">
        <w:rPr>
          <w:bCs/>
          <w:szCs w:val="22"/>
          <w:lang w:val="en-GB"/>
        </w:rPr>
        <w:t>St.</w:t>
      </w:r>
      <w:r w:rsidR="00EB78DA">
        <w:rPr>
          <w:bCs/>
          <w:szCs w:val="22"/>
          <w:lang w:val="en-GB"/>
        </w:rPr>
        <w:t xml:space="preserve"> Mary’s Place, Dublin D07 P4AX</w:t>
      </w:r>
    </w:p>
    <w:p w:rsidR="00913A94" w:rsidRPr="00677EF1" w:rsidRDefault="00913A94" w:rsidP="00913A94">
      <w:pPr>
        <w:keepNext/>
        <w:keepLines/>
        <w:ind w:left="0" w:firstLine="0"/>
        <w:rPr>
          <w:bCs/>
          <w:szCs w:val="22"/>
          <w:lang w:val="en-GB"/>
        </w:rPr>
      </w:pPr>
      <w:proofErr w:type="spellStart"/>
      <w:r>
        <w:rPr>
          <w:bCs/>
          <w:szCs w:val="22"/>
          <w:lang w:val="en-GB"/>
        </w:rPr>
        <w:t>Irsko</w:t>
      </w:r>
      <w:proofErr w:type="spellEnd"/>
    </w:p>
    <w:p w:rsidR="002E366C" w:rsidRDefault="002E366C" w:rsidP="008051FF">
      <w:pPr>
        <w:widowControl w:val="0"/>
        <w:rPr>
          <w:szCs w:val="22"/>
        </w:rPr>
      </w:pPr>
    </w:p>
    <w:p w:rsidR="00B61E09" w:rsidRPr="00B61E09" w:rsidRDefault="00B61E09" w:rsidP="008051FF">
      <w:pPr>
        <w:widowControl w:val="0"/>
        <w:rPr>
          <w:bCs/>
          <w:szCs w:val="22"/>
        </w:rPr>
      </w:pPr>
      <w:r w:rsidRPr="00B61E09">
        <w:rPr>
          <w:bCs/>
          <w:szCs w:val="22"/>
        </w:rPr>
        <w:t>Výrobce zodpovědný za uvolnění šarže:</w:t>
      </w:r>
    </w:p>
    <w:p w:rsidR="00B61E09" w:rsidRPr="00B61E09" w:rsidRDefault="00B61E09" w:rsidP="00B61E09">
      <w:pPr>
        <w:keepNext/>
        <w:keepLines/>
        <w:ind w:left="0" w:firstLine="0"/>
        <w:rPr>
          <w:bCs/>
          <w:szCs w:val="22"/>
          <w:lang w:val="en-GB"/>
        </w:rPr>
      </w:pPr>
      <w:proofErr w:type="spellStart"/>
      <w:r w:rsidRPr="00B61E09">
        <w:rPr>
          <w:bCs/>
          <w:szCs w:val="22"/>
          <w:lang w:val="en-GB"/>
        </w:rPr>
        <w:t>Jurox</w:t>
      </w:r>
      <w:proofErr w:type="spellEnd"/>
      <w:r w:rsidRPr="00B61E09">
        <w:rPr>
          <w:bCs/>
          <w:szCs w:val="22"/>
          <w:lang w:val="en-GB"/>
        </w:rPr>
        <w:t xml:space="preserve"> (Ireland) Limited</w:t>
      </w:r>
    </w:p>
    <w:p w:rsidR="00B61E09" w:rsidRPr="00B61E09" w:rsidRDefault="00B61E09" w:rsidP="00B61E09">
      <w:pPr>
        <w:keepNext/>
        <w:keepLines/>
        <w:ind w:left="0" w:firstLine="0"/>
        <w:rPr>
          <w:bCs/>
          <w:szCs w:val="22"/>
          <w:lang w:val="en-GB"/>
        </w:rPr>
      </w:pPr>
      <w:r w:rsidRPr="00B61E09">
        <w:rPr>
          <w:bCs/>
          <w:szCs w:val="22"/>
          <w:lang w:val="en-GB"/>
        </w:rPr>
        <w:t>The Black Church</w:t>
      </w:r>
    </w:p>
    <w:p w:rsidR="00B61E09" w:rsidRPr="00B61E09" w:rsidRDefault="00B61E09" w:rsidP="00B61E09">
      <w:pPr>
        <w:keepNext/>
        <w:keepLines/>
        <w:ind w:left="0" w:firstLine="0"/>
        <w:rPr>
          <w:bCs/>
          <w:szCs w:val="22"/>
          <w:lang w:val="en-GB"/>
        </w:rPr>
      </w:pPr>
      <w:r w:rsidRPr="00B61E09">
        <w:rPr>
          <w:bCs/>
          <w:szCs w:val="22"/>
          <w:lang w:val="en-GB"/>
        </w:rPr>
        <w:t>St. Mary’s Place, Dublin D07 P4AX</w:t>
      </w:r>
    </w:p>
    <w:p w:rsidR="00B61E09" w:rsidRPr="00B61E09" w:rsidRDefault="00B61E09" w:rsidP="00B61E09">
      <w:pPr>
        <w:keepNext/>
        <w:keepLines/>
        <w:ind w:left="0" w:firstLine="0"/>
        <w:rPr>
          <w:bCs/>
          <w:szCs w:val="22"/>
          <w:lang w:val="en-GB"/>
        </w:rPr>
      </w:pPr>
      <w:proofErr w:type="spellStart"/>
      <w:r w:rsidRPr="00B61E09">
        <w:rPr>
          <w:bCs/>
          <w:szCs w:val="22"/>
          <w:lang w:val="en-GB"/>
        </w:rPr>
        <w:t>Irsko</w:t>
      </w:r>
      <w:proofErr w:type="spellEnd"/>
    </w:p>
    <w:p w:rsidR="00B61E09" w:rsidRPr="00B61E09" w:rsidRDefault="00B61E09" w:rsidP="008051FF">
      <w:pPr>
        <w:widowControl w:val="0"/>
        <w:rPr>
          <w:szCs w:val="22"/>
        </w:rPr>
      </w:pPr>
    </w:p>
    <w:p w:rsidR="00B61E09" w:rsidRPr="001A395F" w:rsidRDefault="00B61E09" w:rsidP="00B61E09">
      <w:pPr>
        <w:autoSpaceDE w:val="0"/>
        <w:autoSpaceDN w:val="0"/>
        <w:adjustRightInd w:val="0"/>
        <w:ind w:left="0" w:firstLine="0"/>
        <w:rPr>
          <w:szCs w:val="22"/>
          <w:lang w:eastAsia="cs-CZ"/>
        </w:rPr>
      </w:pPr>
      <w:proofErr w:type="spellStart"/>
      <w:r w:rsidRPr="001A395F">
        <w:rPr>
          <w:szCs w:val="22"/>
          <w:lang w:eastAsia="cs-CZ"/>
        </w:rPr>
        <w:t>Zoetis</w:t>
      </w:r>
      <w:proofErr w:type="spellEnd"/>
      <w:r w:rsidRPr="001A395F">
        <w:rPr>
          <w:szCs w:val="22"/>
          <w:lang w:eastAsia="cs-CZ"/>
        </w:rPr>
        <w:t xml:space="preserve"> </w:t>
      </w:r>
      <w:proofErr w:type="spellStart"/>
      <w:r w:rsidRPr="001A395F">
        <w:rPr>
          <w:szCs w:val="22"/>
          <w:lang w:eastAsia="cs-CZ"/>
        </w:rPr>
        <w:t>Belgium</w:t>
      </w:r>
      <w:proofErr w:type="spellEnd"/>
      <w:r w:rsidRPr="001A395F">
        <w:rPr>
          <w:szCs w:val="22"/>
          <w:lang w:eastAsia="cs-CZ"/>
        </w:rPr>
        <w:t xml:space="preserve"> SA </w:t>
      </w:r>
    </w:p>
    <w:p w:rsidR="00B61E09" w:rsidRPr="001A395F" w:rsidRDefault="00B61E09" w:rsidP="00B61E09">
      <w:pPr>
        <w:autoSpaceDE w:val="0"/>
        <w:autoSpaceDN w:val="0"/>
        <w:adjustRightInd w:val="0"/>
        <w:ind w:left="0" w:firstLine="0"/>
        <w:rPr>
          <w:szCs w:val="22"/>
          <w:lang w:eastAsia="cs-CZ"/>
        </w:rPr>
      </w:pPr>
      <w:proofErr w:type="spellStart"/>
      <w:r w:rsidRPr="001A395F">
        <w:rPr>
          <w:szCs w:val="22"/>
          <w:lang w:eastAsia="cs-CZ"/>
        </w:rPr>
        <w:t>Rue</w:t>
      </w:r>
      <w:proofErr w:type="spellEnd"/>
      <w:r w:rsidRPr="001A395F">
        <w:rPr>
          <w:szCs w:val="22"/>
          <w:lang w:eastAsia="cs-CZ"/>
        </w:rPr>
        <w:t xml:space="preserve"> </w:t>
      </w:r>
      <w:proofErr w:type="spellStart"/>
      <w:r w:rsidRPr="001A395F">
        <w:rPr>
          <w:szCs w:val="22"/>
          <w:lang w:eastAsia="cs-CZ"/>
        </w:rPr>
        <w:t>Laid</w:t>
      </w:r>
      <w:proofErr w:type="spellEnd"/>
      <w:r w:rsidRPr="001A395F">
        <w:rPr>
          <w:szCs w:val="22"/>
          <w:lang w:eastAsia="cs-CZ"/>
        </w:rPr>
        <w:t xml:space="preserve"> </w:t>
      </w:r>
      <w:proofErr w:type="spellStart"/>
      <w:r w:rsidRPr="001A395F">
        <w:rPr>
          <w:szCs w:val="22"/>
          <w:lang w:eastAsia="cs-CZ"/>
        </w:rPr>
        <w:t>Burniat</w:t>
      </w:r>
      <w:proofErr w:type="spellEnd"/>
      <w:r w:rsidRPr="001A395F">
        <w:rPr>
          <w:szCs w:val="22"/>
          <w:lang w:eastAsia="cs-CZ"/>
        </w:rPr>
        <w:t xml:space="preserve"> 1 </w:t>
      </w:r>
    </w:p>
    <w:p w:rsidR="00B61E09" w:rsidRPr="001A395F" w:rsidRDefault="00B61E09" w:rsidP="00B61E09">
      <w:pPr>
        <w:autoSpaceDE w:val="0"/>
        <w:autoSpaceDN w:val="0"/>
        <w:adjustRightInd w:val="0"/>
        <w:ind w:left="0" w:firstLine="0"/>
        <w:rPr>
          <w:szCs w:val="22"/>
          <w:lang w:eastAsia="cs-CZ"/>
        </w:rPr>
      </w:pPr>
      <w:r w:rsidRPr="001A395F">
        <w:rPr>
          <w:szCs w:val="22"/>
          <w:lang w:eastAsia="cs-CZ"/>
        </w:rPr>
        <w:t xml:space="preserve">1348 </w:t>
      </w:r>
      <w:proofErr w:type="spellStart"/>
      <w:r w:rsidRPr="001A395F">
        <w:rPr>
          <w:szCs w:val="22"/>
          <w:lang w:eastAsia="cs-CZ"/>
        </w:rPr>
        <w:t>Lovain</w:t>
      </w:r>
      <w:proofErr w:type="spellEnd"/>
      <w:r w:rsidRPr="001A395F">
        <w:rPr>
          <w:szCs w:val="22"/>
          <w:lang w:eastAsia="cs-CZ"/>
        </w:rPr>
        <w:t>-La-</w:t>
      </w:r>
      <w:proofErr w:type="spellStart"/>
      <w:r w:rsidRPr="001A395F">
        <w:rPr>
          <w:szCs w:val="22"/>
          <w:lang w:eastAsia="cs-CZ"/>
        </w:rPr>
        <w:t>Neuve</w:t>
      </w:r>
      <w:proofErr w:type="spellEnd"/>
      <w:r w:rsidRPr="001A395F">
        <w:rPr>
          <w:szCs w:val="22"/>
          <w:lang w:eastAsia="cs-CZ"/>
        </w:rPr>
        <w:t xml:space="preserve"> </w:t>
      </w:r>
    </w:p>
    <w:p w:rsidR="001A395F" w:rsidRDefault="00B61E09" w:rsidP="00B61E09">
      <w:pPr>
        <w:widowControl w:val="0"/>
        <w:rPr>
          <w:szCs w:val="22"/>
        </w:rPr>
      </w:pPr>
      <w:r w:rsidRPr="001A395F">
        <w:rPr>
          <w:szCs w:val="22"/>
          <w:lang w:eastAsia="cs-CZ"/>
        </w:rPr>
        <w:t>Belgi</w:t>
      </w:r>
      <w:r w:rsidR="001A395F">
        <w:rPr>
          <w:szCs w:val="22"/>
          <w:lang w:eastAsia="cs-CZ"/>
        </w:rPr>
        <w:t>e</w:t>
      </w:r>
    </w:p>
    <w:p w:rsidR="00B61E09" w:rsidRPr="00B61E09" w:rsidRDefault="00B61E09" w:rsidP="00B61E09">
      <w:pPr>
        <w:widowControl w:val="0"/>
        <w:rPr>
          <w:szCs w:val="22"/>
        </w:rPr>
      </w:pPr>
      <w:bookmarkStart w:id="0" w:name="_GoBack"/>
      <w:bookmarkEnd w:id="0"/>
    </w:p>
    <w:p w:rsidR="00554D84" w:rsidRPr="00F75554" w:rsidRDefault="00554D84">
      <w:pPr>
        <w:rPr>
          <w:b/>
        </w:rPr>
      </w:pPr>
      <w:r w:rsidRPr="00F75554">
        <w:rPr>
          <w:b/>
        </w:rPr>
        <w:t>2.</w:t>
      </w:r>
      <w:r w:rsidRPr="00F75554">
        <w:rPr>
          <w:b/>
        </w:rPr>
        <w:tab/>
        <w:t>NÁZEV VETERINÁRNÍHO LÉČIVÉHO PŘÍPRAVKU</w:t>
      </w:r>
    </w:p>
    <w:p w:rsidR="00554D84" w:rsidRPr="00F75554" w:rsidRDefault="00554D84">
      <w:pPr>
        <w:ind w:left="0" w:firstLine="0"/>
      </w:pPr>
    </w:p>
    <w:p w:rsidR="002E366C" w:rsidRPr="00BC5942" w:rsidRDefault="002E366C" w:rsidP="002E366C">
      <w:pPr>
        <w:rPr>
          <w:szCs w:val="22"/>
        </w:rPr>
      </w:pPr>
      <w:r w:rsidRPr="00BC5942">
        <w:rPr>
          <w:szCs w:val="22"/>
        </w:rPr>
        <w:t xml:space="preserve">ALFAXAN 10 mg/ml </w:t>
      </w:r>
      <w:r w:rsidR="00637C35">
        <w:rPr>
          <w:szCs w:val="22"/>
        </w:rPr>
        <w:t>injekční roztok</w:t>
      </w:r>
      <w:r w:rsidRPr="00BC5942">
        <w:rPr>
          <w:szCs w:val="22"/>
        </w:rPr>
        <w:t xml:space="preserve"> pro psy a kočky</w:t>
      </w:r>
    </w:p>
    <w:p w:rsidR="002E366C" w:rsidRPr="00BC5942" w:rsidRDefault="002E366C" w:rsidP="002E366C">
      <w:proofErr w:type="spellStart"/>
      <w:r w:rsidRPr="00BC5942">
        <w:t>Alfaxalon</w:t>
      </w:r>
      <w:r w:rsidR="00637C35">
        <w:t>um</w:t>
      </w:r>
      <w:proofErr w:type="spellEnd"/>
    </w:p>
    <w:p w:rsidR="00554D84" w:rsidRPr="00F75554" w:rsidRDefault="00554D84">
      <w:pPr>
        <w:rPr>
          <w:b/>
        </w:rPr>
      </w:pPr>
    </w:p>
    <w:p w:rsidR="00554D84" w:rsidRPr="00F75554" w:rsidRDefault="00554D84">
      <w:pPr>
        <w:rPr>
          <w:b/>
        </w:rPr>
      </w:pPr>
      <w:r w:rsidRPr="00F75554">
        <w:rPr>
          <w:b/>
        </w:rPr>
        <w:t>3.</w:t>
      </w:r>
      <w:r w:rsidRPr="00F75554">
        <w:rPr>
          <w:b/>
        </w:rPr>
        <w:tab/>
        <w:t>OBSAH LÉČIVÝCH A OSTATNÍCH LÁTEK</w:t>
      </w:r>
    </w:p>
    <w:p w:rsidR="00554D84" w:rsidRPr="00F75554" w:rsidRDefault="00554D84">
      <w:pPr>
        <w:rPr>
          <w:b/>
        </w:rPr>
      </w:pPr>
    </w:p>
    <w:p w:rsidR="002E366C" w:rsidRPr="00BC5942" w:rsidRDefault="002E366C" w:rsidP="002E366C">
      <w:pPr>
        <w:rPr>
          <w:szCs w:val="22"/>
        </w:rPr>
      </w:pPr>
      <w:proofErr w:type="spellStart"/>
      <w:r w:rsidRPr="00BC5942">
        <w:rPr>
          <w:szCs w:val="22"/>
        </w:rPr>
        <w:t>Alfaxalon</w:t>
      </w:r>
      <w:r w:rsidR="00637C35">
        <w:rPr>
          <w:szCs w:val="22"/>
        </w:rPr>
        <w:t>um</w:t>
      </w:r>
      <w:proofErr w:type="spellEnd"/>
      <w:r w:rsidRPr="00BC5942">
        <w:rPr>
          <w:szCs w:val="22"/>
        </w:rPr>
        <w:t xml:space="preserve"> 10 mg/ml</w:t>
      </w:r>
    </w:p>
    <w:p w:rsidR="002E366C" w:rsidRPr="00BC5942" w:rsidRDefault="002E366C" w:rsidP="002E366C">
      <w:pPr>
        <w:rPr>
          <w:szCs w:val="22"/>
        </w:rPr>
      </w:pPr>
      <w:r w:rsidRPr="00BC5942">
        <w:rPr>
          <w:szCs w:val="22"/>
        </w:rPr>
        <w:t>Č</w:t>
      </w:r>
      <w:r w:rsidR="0077096F">
        <w:rPr>
          <w:szCs w:val="22"/>
        </w:rPr>
        <w:t xml:space="preserve">irý bezbarvý </w:t>
      </w:r>
      <w:r w:rsidR="0009396C">
        <w:rPr>
          <w:szCs w:val="22"/>
        </w:rPr>
        <w:t xml:space="preserve">injekční </w:t>
      </w:r>
      <w:r w:rsidR="00637C35">
        <w:rPr>
          <w:szCs w:val="22"/>
        </w:rPr>
        <w:t>roztok</w:t>
      </w:r>
    </w:p>
    <w:p w:rsidR="00554D84" w:rsidRPr="00F75554" w:rsidRDefault="00554D84"/>
    <w:p w:rsidR="00554D84" w:rsidRPr="00F75554" w:rsidRDefault="00554D84">
      <w:pPr>
        <w:rPr>
          <w:b/>
        </w:rPr>
      </w:pPr>
      <w:r w:rsidRPr="00F75554">
        <w:rPr>
          <w:b/>
        </w:rPr>
        <w:t>4.</w:t>
      </w:r>
      <w:r w:rsidRPr="00F75554">
        <w:rPr>
          <w:b/>
        </w:rPr>
        <w:tab/>
        <w:t>INDIKACE</w:t>
      </w:r>
    </w:p>
    <w:p w:rsidR="00554D84" w:rsidRPr="00F75554" w:rsidRDefault="00554D84">
      <w:pPr>
        <w:rPr>
          <w:b/>
        </w:rPr>
      </w:pPr>
    </w:p>
    <w:p w:rsidR="000F1BA5" w:rsidRPr="00BC5942" w:rsidRDefault="000F1BA5" w:rsidP="000F1BA5">
      <w:pPr>
        <w:ind w:left="0" w:firstLine="0"/>
        <w:rPr>
          <w:szCs w:val="22"/>
        </w:rPr>
      </w:pPr>
      <w:r w:rsidRPr="00BC5942">
        <w:rPr>
          <w:szCs w:val="22"/>
        </w:rPr>
        <w:t xml:space="preserve">Jako </w:t>
      </w:r>
      <w:r>
        <w:rPr>
          <w:szCs w:val="22"/>
        </w:rPr>
        <w:t xml:space="preserve">indukční prostředek před </w:t>
      </w:r>
      <w:r w:rsidRPr="00BC5942">
        <w:rPr>
          <w:szCs w:val="22"/>
        </w:rPr>
        <w:t>inhala</w:t>
      </w:r>
      <w:r>
        <w:rPr>
          <w:szCs w:val="22"/>
        </w:rPr>
        <w:t xml:space="preserve">ční </w:t>
      </w:r>
      <w:r w:rsidRPr="00BC5942">
        <w:rPr>
          <w:szCs w:val="22"/>
        </w:rPr>
        <w:t>anestezi</w:t>
      </w:r>
      <w:r>
        <w:rPr>
          <w:szCs w:val="22"/>
        </w:rPr>
        <w:t>í</w:t>
      </w:r>
      <w:r w:rsidRPr="00BC5942">
        <w:rPr>
          <w:szCs w:val="22"/>
        </w:rPr>
        <w:t xml:space="preserve">. Jako jediné anestetikum </w:t>
      </w:r>
      <w:r>
        <w:rPr>
          <w:szCs w:val="22"/>
        </w:rPr>
        <w:t>k indukci</w:t>
      </w:r>
      <w:r w:rsidRPr="00BC5942">
        <w:rPr>
          <w:szCs w:val="22"/>
        </w:rPr>
        <w:t xml:space="preserve"> a udržování anestezie </w:t>
      </w:r>
      <w:r>
        <w:rPr>
          <w:szCs w:val="22"/>
        </w:rPr>
        <w:t xml:space="preserve">pro provedení vyšetřovacích postupů nebo </w:t>
      </w:r>
      <w:r w:rsidRPr="00BC5942">
        <w:rPr>
          <w:szCs w:val="22"/>
        </w:rPr>
        <w:t>chirurgických zákroků.</w:t>
      </w:r>
    </w:p>
    <w:p w:rsidR="000F1BA5" w:rsidRPr="00F75554" w:rsidRDefault="000F1BA5" w:rsidP="000F1BA5"/>
    <w:p w:rsidR="00554D84" w:rsidRPr="00F75554" w:rsidRDefault="00554D84">
      <w:pPr>
        <w:rPr>
          <w:b/>
        </w:rPr>
      </w:pPr>
      <w:r w:rsidRPr="00F75554">
        <w:rPr>
          <w:b/>
        </w:rPr>
        <w:t xml:space="preserve">5. </w:t>
      </w:r>
      <w:r w:rsidRPr="00F75554">
        <w:rPr>
          <w:b/>
        </w:rPr>
        <w:tab/>
        <w:t>KONTRAINDIKACE</w:t>
      </w:r>
    </w:p>
    <w:p w:rsidR="00554D84" w:rsidRPr="00F75554" w:rsidRDefault="00554D84"/>
    <w:p w:rsidR="00554D84" w:rsidRDefault="002E366C">
      <w:pPr>
        <w:rPr>
          <w:szCs w:val="22"/>
        </w:rPr>
      </w:pPr>
      <w:r w:rsidRPr="00BC5942">
        <w:rPr>
          <w:szCs w:val="22"/>
        </w:rPr>
        <w:t>Nepoužívejte v kombinaci s jinými intravenózními anestetiky.</w:t>
      </w:r>
    </w:p>
    <w:p w:rsidR="002E366C" w:rsidRPr="00F75554" w:rsidRDefault="002E366C"/>
    <w:p w:rsidR="00554D84" w:rsidRPr="00F75554" w:rsidRDefault="00554D84">
      <w:r w:rsidRPr="00F75554">
        <w:rPr>
          <w:b/>
        </w:rPr>
        <w:t>6.</w:t>
      </w:r>
      <w:r w:rsidRPr="00F75554">
        <w:rPr>
          <w:b/>
        </w:rPr>
        <w:tab/>
        <w:t>NEŽÁDOUCÍ ÚČINKY</w:t>
      </w:r>
    </w:p>
    <w:p w:rsidR="00554D84" w:rsidRPr="00F75554" w:rsidRDefault="00554D84"/>
    <w:p w:rsidR="0009396C" w:rsidRPr="00BC5942" w:rsidRDefault="0009396C" w:rsidP="00042E07">
      <w:pPr>
        <w:keepNext/>
        <w:keepLines/>
        <w:ind w:left="0" w:firstLine="0"/>
        <w:jc w:val="both"/>
        <w:rPr>
          <w:szCs w:val="22"/>
        </w:rPr>
      </w:pPr>
      <w:r w:rsidRPr="00BC5942">
        <w:rPr>
          <w:szCs w:val="22"/>
        </w:rPr>
        <w:t xml:space="preserve">V klinických studiích </w:t>
      </w:r>
      <w:r>
        <w:rPr>
          <w:szCs w:val="22"/>
        </w:rPr>
        <w:t xml:space="preserve">s tímto </w:t>
      </w:r>
      <w:r w:rsidRPr="00BC5942">
        <w:rPr>
          <w:szCs w:val="22"/>
        </w:rPr>
        <w:t>veterinární</w:t>
      </w:r>
      <w:r>
        <w:rPr>
          <w:szCs w:val="22"/>
        </w:rPr>
        <w:t>m</w:t>
      </w:r>
      <w:r w:rsidRPr="00BC5942">
        <w:rPr>
          <w:szCs w:val="22"/>
        </w:rPr>
        <w:t xml:space="preserve"> léčivý</w:t>
      </w:r>
      <w:r>
        <w:rPr>
          <w:szCs w:val="22"/>
        </w:rPr>
        <w:t>m</w:t>
      </w:r>
      <w:r w:rsidRPr="00BC5942">
        <w:rPr>
          <w:szCs w:val="22"/>
        </w:rPr>
        <w:t xml:space="preserve"> přípravk</w:t>
      </w:r>
      <w:r>
        <w:rPr>
          <w:szCs w:val="22"/>
        </w:rPr>
        <w:t>em</w:t>
      </w:r>
      <w:r w:rsidRPr="00BC5942">
        <w:rPr>
          <w:szCs w:val="22"/>
        </w:rPr>
        <w:t xml:space="preserve"> došlo u 44 % psů a 19 % koček </w:t>
      </w:r>
      <w:r>
        <w:rPr>
          <w:szCs w:val="22"/>
        </w:rPr>
        <w:t>k výskytu post-indukční apnoe</w:t>
      </w:r>
      <w:r w:rsidRPr="00BC5942">
        <w:rPr>
          <w:szCs w:val="22"/>
        </w:rPr>
        <w:t xml:space="preserve"> definované jako </w:t>
      </w:r>
      <w:r>
        <w:rPr>
          <w:szCs w:val="22"/>
        </w:rPr>
        <w:t xml:space="preserve">dechová zástava </w:t>
      </w:r>
      <w:r w:rsidRPr="00BC5942">
        <w:rPr>
          <w:szCs w:val="22"/>
        </w:rPr>
        <w:t xml:space="preserve">po dobu 30 sekund nebo </w:t>
      </w:r>
      <w:r>
        <w:rPr>
          <w:szCs w:val="22"/>
        </w:rPr>
        <w:t>déle</w:t>
      </w:r>
      <w:r w:rsidRPr="00BC5942">
        <w:rPr>
          <w:szCs w:val="22"/>
        </w:rPr>
        <w:t xml:space="preserve">. Průměrná doba trvání apnoe u těchto zvířat byla 100 sekund u psů a 60 sekund u koček. Proto je třeba použít endotracheální intubaci a </w:t>
      </w:r>
      <w:r>
        <w:rPr>
          <w:szCs w:val="22"/>
        </w:rPr>
        <w:t xml:space="preserve">podávání </w:t>
      </w:r>
      <w:r w:rsidRPr="00BC5942">
        <w:rPr>
          <w:szCs w:val="22"/>
        </w:rPr>
        <w:t>kyslík</w:t>
      </w:r>
      <w:r>
        <w:rPr>
          <w:szCs w:val="22"/>
        </w:rPr>
        <w:t>u</w:t>
      </w:r>
      <w:r w:rsidRPr="00BC5942">
        <w:rPr>
          <w:szCs w:val="22"/>
        </w:rPr>
        <w:t xml:space="preserve">. </w:t>
      </w:r>
    </w:p>
    <w:p w:rsidR="00EB78DA" w:rsidRDefault="00EB78DA" w:rsidP="00042E07">
      <w:pPr>
        <w:ind w:left="0" w:firstLine="0"/>
        <w:jc w:val="both"/>
      </w:pPr>
    </w:p>
    <w:p w:rsidR="00EB78DA" w:rsidRDefault="00EB78DA" w:rsidP="00EB78DA">
      <w:pPr>
        <w:ind w:left="0" w:firstLine="0"/>
        <w:jc w:val="both"/>
      </w:pPr>
      <w:r w:rsidRPr="00EB78DA">
        <w:t xml:space="preserve">Na základě </w:t>
      </w:r>
      <w:proofErr w:type="spellStart"/>
      <w:r w:rsidRPr="00EB78DA">
        <w:t>postmarketingových</w:t>
      </w:r>
      <w:proofErr w:type="spellEnd"/>
      <w:r w:rsidRPr="00EB78DA">
        <w:t xml:space="preserve"> zkušeností s léčbou byly velmi vzácně hlášeny neurologické příznaky (křeče, </w:t>
      </w:r>
      <w:proofErr w:type="spellStart"/>
      <w:r w:rsidRPr="00EB78DA">
        <w:t>myoklonus</w:t>
      </w:r>
      <w:proofErr w:type="spellEnd"/>
      <w:r w:rsidRPr="00EB78DA">
        <w:t>, třes, prodloužené buzení z anestezie), kardiorespirační potíže (srdeční zástava, bradykardie, bradypnoe) a změny v chování (hyperaktivita, vokalizace).</w:t>
      </w:r>
    </w:p>
    <w:p w:rsidR="008A6870" w:rsidRDefault="008A6870" w:rsidP="00EB78DA">
      <w:pPr>
        <w:ind w:left="0" w:firstLine="0"/>
        <w:jc w:val="both"/>
      </w:pPr>
    </w:p>
    <w:p w:rsidR="008A6870" w:rsidRDefault="008A6870" w:rsidP="008A6870">
      <w:pPr>
        <w:ind w:left="0" w:firstLine="0"/>
        <w:jc w:val="both"/>
      </w:pPr>
      <w:r w:rsidRPr="00F75554">
        <w:t>Jestliže zaznamenáte jakékoliv závažné nežádoucí účinky či jiné reakce, které nejsou uvedeny v této příbalové informaci, oznamte to prosím vašemu veterinárnímu lékaři.</w:t>
      </w:r>
    </w:p>
    <w:p w:rsidR="00EB78DA" w:rsidRPr="00EB78DA" w:rsidRDefault="00EB78DA" w:rsidP="00EB78DA">
      <w:pPr>
        <w:rPr>
          <w:b/>
        </w:rPr>
      </w:pPr>
    </w:p>
    <w:p w:rsidR="00554D84" w:rsidRPr="00F75554" w:rsidRDefault="00554D84">
      <w:r w:rsidRPr="00F75554">
        <w:rPr>
          <w:b/>
        </w:rPr>
        <w:lastRenderedPageBreak/>
        <w:t>7.</w:t>
      </w:r>
      <w:r w:rsidRPr="00F75554">
        <w:rPr>
          <w:b/>
        </w:rPr>
        <w:tab/>
        <w:t>CÍLOVÝ DRUH ZVÍŘAT</w:t>
      </w:r>
    </w:p>
    <w:p w:rsidR="00554D84" w:rsidRPr="00F75554" w:rsidRDefault="00554D84"/>
    <w:p w:rsidR="00554D84" w:rsidRDefault="00ED238E">
      <w:r w:rsidRPr="00BC5942">
        <w:t>Psi a kočky</w:t>
      </w:r>
    </w:p>
    <w:p w:rsidR="00ED238E" w:rsidRPr="00F75554" w:rsidRDefault="00ED238E">
      <w:pPr>
        <w:rPr>
          <w:b/>
        </w:rPr>
      </w:pPr>
    </w:p>
    <w:p w:rsidR="00554D84" w:rsidRPr="00F75554" w:rsidRDefault="00554D84">
      <w:r w:rsidRPr="00F75554">
        <w:rPr>
          <w:b/>
        </w:rPr>
        <w:t>8.</w:t>
      </w:r>
      <w:r w:rsidRPr="00F75554">
        <w:rPr>
          <w:b/>
        </w:rPr>
        <w:tab/>
        <w:t>DÁVKOVÁNÍ PRO KAŽDÝ DRUH, CESTA(Y) A ZPŮSOB PODÁNÍ</w:t>
      </w:r>
    </w:p>
    <w:p w:rsidR="00ED238E" w:rsidRPr="00BC5942" w:rsidRDefault="00803BF8" w:rsidP="00ED238E">
      <w:pPr>
        <w:keepNext/>
        <w:rPr>
          <w:b/>
          <w:szCs w:val="22"/>
        </w:rPr>
      </w:pPr>
      <w:r>
        <w:rPr>
          <w:b/>
          <w:szCs w:val="22"/>
        </w:rPr>
        <w:t>Indukce</w:t>
      </w:r>
      <w:r w:rsidR="0009396C">
        <w:rPr>
          <w:b/>
          <w:szCs w:val="22"/>
        </w:rPr>
        <w:t xml:space="preserve"> </w:t>
      </w:r>
      <w:r w:rsidR="00ED238E" w:rsidRPr="00BC5942">
        <w:rPr>
          <w:b/>
          <w:szCs w:val="22"/>
        </w:rPr>
        <w:t xml:space="preserve">anestezie: </w:t>
      </w:r>
    </w:p>
    <w:p w:rsidR="0009396C" w:rsidRPr="00BC5942" w:rsidRDefault="00803BF8" w:rsidP="00042E07">
      <w:pPr>
        <w:ind w:left="0" w:firstLine="0"/>
        <w:jc w:val="both"/>
        <w:rPr>
          <w:szCs w:val="22"/>
        </w:rPr>
      </w:pPr>
      <w:r>
        <w:rPr>
          <w:szCs w:val="22"/>
        </w:rPr>
        <w:t>Indukční d</w:t>
      </w:r>
      <w:r w:rsidR="0009396C" w:rsidRPr="00BC5942">
        <w:rPr>
          <w:szCs w:val="22"/>
        </w:rPr>
        <w:t xml:space="preserve">ávka veterinárního léčivého přípravku je založena na </w:t>
      </w:r>
      <w:r w:rsidR="0009396C">
        <w:rPr>
          <w:szCs w:val="22"/>
        </w:rPr>
        <w:t xml:space="preserve">údajích </w:t>
      </w:r>
      <w:r w:rsidR="0009396C" w:rsidRPr="00BC5942">
        <w:rPr>
          <w:szCs w:val="22"/>
        </w:rPr>
        <w:t>získaných z</w:t>
      </w:r>
      <w:r w:rsidR="0009396C">
        <w:rPr>
          <w:szCs w:val="22"/>
        </w:rPr>
        <w:t> </w:t>
      </w:r>
      <w:r w:rsidR="0009396C" w:rsidRPr="00BC5942">
        <w:rPr>
          <w:szCs w:val="22"/>
        </w:rPr>
        <w:t>kontrol</w:t>
      </w:r>
      <w:r w:rsidR="0009396C">
        <w:rPr>
          <w:szCs w:val="22"/>
        </w:rPr>
        <w:t xml:space="preserve">ovaných </w:t>
      </w:r>
      <w:r w:rsidR="0009396C" w:rsidRPr="00BC5942">
        <w:rPr>
          <w:szCs w:val="22"/>
        </w:rPr>
        <w:t>laborato</w:t>
      </w:r>
      <w:r w:rsidR="0009396C">
        <w:rPr>
          <w:szCs w:val="22"/>
        </w:rPr>
        <w:t xml:space="preserve">rních a terénních </w:t>
      </w:r>
      <w:r w:rsidR="0009396C" w:rsidRPr="00BC5942">
        <w:rPr>
          <w:szCs w:val="22"/>
        </w:rPr>
        <w:t xml:space="preserve">studií a jedná se o </w:t>
      </w:r>
      <w:r w:rsidR="0009396C">
        <w:rPr>
          <w:szCs w:val="22"/>
        </w:rPr>
        <w:t xml:space="preserve">dávku </w:t>
      </w:r>
      <w:r w:rsidR="0009396C" w:rsidRPr="00BC5942">
        <w:rPr>
          <w:szCs w:val="22"/>
        </w:rPr>
        <w:t>léčiva</w:t>
      </w:r>
      <w:r w:rsidR="0009396C">
        <w:rPr>
          <w:szCs w:val="22"/>
        </w:rPr>
        <w:t xml:space="preserve">, </w:t>
      </w:r>
      <w:r w:rsidR="0009396C" w:rsidRPr="00BC5942">
        <w:rPr>
          <w:szCs w:val="22"/>
        </w:rPr>
        <w:t>potřebn</w:t>
      </w:r>
      <w:r w:rsidR="0009396C">
        <w:rPr>
          <w:szCs w:val="22"/>
        </w:rPr>
        <w:t xml:space="preserve">ou k úspěšné </w:t>
      </w:r>
      <w:r>
        <w:rPr>
          <w:szCs w:val="22"/>
        </w:rPr>
        <w:t xml:space="preserve">indukci </w:t>
      </w:r>
      <w:r w:rsidR="0009396C">
        <w:rPr>
          <w:szCs w:val="22"/>
        </w:rPr>
        <w:t xml:space="preserve">anestézie </w:t>
      </w:r>
      <w:r w:rsidR="0009396C" w:rsidRPr="00BC5942">
        <w:rPr>
          <w:szCs w:val="22"/>
        </w:rPr>
        <w:t>pro 9 z 10 psů nebo koček (</w:t>
      </w:r>
      <w:r w:rsidR="0009396C">
        <w:rPr>
          <w:szCs w:val="22"/>
        </w:rPr>
        <w:t xml:space="preserve">tj. </w:t>
      </w:r>
      <w:r w:rsidR="0009396C" w:rsidRPr="00BC5942">
        <w:rPr>
          <w:szCs w:val="22"/>
        </w:rPr>
        <w:t xml:space="preserve"> 90. percentil) </w:t>
      </w:r>
    </w:p>
    <w:p w:rsidR="00ED238E" w:rsidRDefault="00ED238E" w:rsidP="00042E07">
      <w:pPr>
        <w:pStyle w:val="Zkladntext"/>
        <w:tabs>
          <w:tab w:val="left" w:pos="1418"/>
          <w:tab w:val="left" w:pos="10080"/>
        </w:tabs>
        <w:ind w:left="0" w:firstLine="0"/>
        <w:rPr>
          <w:szCs w:val="22"/>
        </w:rPr>
      </w:pPr>
      <w:r w:rsidRPr="00BC5942">
        <w:rPr>
          <w:szCs w:val="22"/>
        </w:rPr>
        <w:t xml:space="preserve">Doporučené dávkování </w:t>
      </w:r>
      <w:r w:rsidR="0009396C">
        <w:rPr>
          <w:szCs w:val="22"/>
        </w:rPr>
        <w:t xml:space="preserve">pro </w:t>
      </w:r>
      <w:r w:rsidR="00850704">
        <w:rPr>
          <w:szCs w:val="22"/>
        </w:rPr>
        <w:t>indukci</w:t>
      </w:r>
      <w:r w:rsidR="0009396C">
        <w:rPr>
          <w:szCs w:val="22"/>
        </w:rPr>
        <w:t xml:space="preserve"> anestezie je následující</w:t>
      </w:r>
      <w:r w:rsidR="00850704">
        <w:rPr>
          <w:szCs w:val="22"/>
        </w:rPr>
        <w:t xml:space="preserve">: </w:t>
      </w:r>
    </w:p>
    <w:p w:rsidR="00FE370E" w:rsidRPr="00BC5942" w:rsidRDefault="00FE370E" w:rsidP="00042E07">
      <w:pPr>
        <w:pStyle w:val="Zkladntext"/>
        <w:tabs>
          <w:tab w:val="left" w:pos="1418"/>
          <w:tab w:val="left" w:pos="10080"/>
        </w:tabs>
        <w:ind w:left="0" w:firstLine="0"/>
        <w:rPr>
          <w:szCs w:val="22"/>
        </w:rPr>
      </w:pPr>
    </w:p>
    <w:p w:rsidR="00ED238E" w:rsidRPr="00BC5942" w:rsidRDefault="00ED238E" w:rsidP="00ED238E">
      <w:pPr>
        <w:pStyle w:val="Zkladntext"/>
        <w:ind w:left="0" w:firstLine="0"/>
        <w:rPr>
          <w:szCs w:val="22"/>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2"/>
        <w:gridCol w:w="1985"/>
        <w:gridCol w:w="1701"/>
        <w:gridCol w:w="2013"/>
        <w:gridCol w:w="1672"/>
      </w:tblGrid>
      <w:tr w:rsidR="00ED238E" w:rsidRPr="00BC5942" w:rsidTr="009D1863">
        <w:tc>
          <w:tcPr>
            <w:tcW w:w="992" w:type="dxa"/>
          </w:tcPr>
          <w:p w:rsidR="00ED238E" w:rsidRPr="00BC5942" w:rsidRDefault="00ED238E" w:rsidP="00ED238E">
            <w:pPr>
              <w:tabs>
                <w:tab w:val="left" w:pos="851"/>
              </w:tabs>
              <w:ind w:left="0" w:firstLine="0"/>
              <w:rPr>
                <w:szCs w:val="22"/>
              </w:rPr>
            </w:pPr>
          </w:p>
        </w:tc>
        <w:tc>
          <w:tcPr>
            <w:tcW w:w="3686" w:type="dxa"/>
            <w:gridSpan w:val="2"/>
          </w:tcPr>
          <w:p w:rsidR="00ED238E" w:rsidRPr="00BC5942" w:rsidRDefault="00ED238E" w:rsidP="00ED238E">
            <w:pPr>
              <w:tabs>
                <w:tab w:val="left" w:pos="851"/>
              </w:tabs>
              <w:ind w:left="0" w:firstLine="0"/>
              <w:jc w:val="center"/>
              <w:rPr>
                <w:b/>
                <w:szCs w:val="22"/>
              </w:rPr>
            </w:pPr>
            <w:r w:rsidRPr="00BC5942">
              <w:rPr>
                <w:b/>
                <w:szCs w:val="22"/>
              </w:rPr>
              <w:t>PSI</w:t>
            </w:r>
          </w:p>
        </w:tc>
        <w:tc>
          <w:tcPr>
            <w:tcW w:w="3685" w:type="dxa"/>
            <w:gridSpan w:val="2"/>
          </w:tcPr>
          <w:p w:rsidR="00ED238E" w:rsidRPr="00BC5942" w:rsidRDefault="00ED238E" w:rsidP="00ED238E">
            <w:pPr>
              <w:tabs>
                <w:tab w:val="left" w:pos="851"/>
              </w:tabs>
              <w:ind w:left="0" w:firstLine="0"/>
              <w:jc w:val="center"/>
              <w:rPr>
                <w:b/>
                <w:szCs w:val="22"/>
              </w:rPr>
            </w:pPr>
            <w:r w:rsidRPr="00BC5942">
              <w:rPr>
                <w:b/>
                <w:szCs w:val="22"/>
              </w:rPr>
              <w:t>KOČKY</w:t>
            </w:r>
          </w:p>
        </w:tc>
      </w:tr>
      <w:tr w:rsidR="00ED238E" w:rsidRPr="00BC5942" w:rsidTr="009D1863">
        <w:tc>
          <w:tcPr>
            <w:tcW w:w="992" w:type="dxa"/>
          </w:tcPr>
          <w:p w:rsidR="00ED238E" w:rsidRPr="00BC5942" w:rsidRDefault="00ED238E" w:rsidP="00ED238E">
            <w:pPr>
              <w:tabs>
                <w:tab w:val="left" w:pos="851"/>
              </w:tabs>
              <w:ind w:left="0" w:firstLine="0"/>
              <w:rPr>
                <w:szCs w:val="22"/>
              </w:rPr>
            </w:pPr>
          </w:p>
        </w:tc>
        <w:tc>
          <w:tcPr>
            <w:tcW w:w="1985" w:type="dxa"/>
          </w:tcPr>
          <w:p w:rsidR="00ED238E" w:rsidRPr="00BC5942" w:rsidRDefault="00ED238E" w:rsidP="00ED238E">
            <w:pPr>
              <w:tabs>
                <w:tab w:val="left" w:pos="851"/>
              </w:tabs>
              <w:ind w:left="0" w:firstLine="0"/>
              <w:jc w:val="center"/>
              <w:rPr>
                <w:b/>
                <w:szCs w:val="22"/>
              </w:rPr>
            </w:pPr>
            <w:proofErr w:type="spellStart"/>
            <w:r w:rsidRPr="00BC5942">
              <w:rPr>
                <w:b/>
                <w:szCs w:val="22"/>
              </w:rPr>
              <w:t>nepremedikovaní</w:t>
            </w:r>
            <w:proofErr w:type="spellEnd"/>
          </w:p>
        </w:tc>
        <w:tc>
          <w:tcPr>
            <w:tcW w:w="1701" w:type="dxa"/>
          </w:tcPr>
          <w:p w:rsidR="00ED238E" w:rsidRPr="00BC5942" w:rsidRDefault="00ED238E" w:rsidP="00ED238E">
            <w:pPr>
              <w:tabs>
                <w:tab w:val="left" w:pos="851"/>
              </w:tabs>
              <w:ind w:left="0" w:firstLine="0"/>
              <w:jc w:val="center"/>
              <w:rPr>
                <w:b/>
                <w:szCs w:val="22"/>
              </w:rPr>
            </w:pPr>
            <w:proofErr w:type="spellStart"/>
            <w:r w:rsidRPr="00BC5942">
              <w:rPr>
                <w:b/>
                <w:szCs w:val="22"/>
              </w:rPr>
              <w:t>premedikovaní</w:t>
            </w:r>
            <w:proofErr w:type="spellEnd"/>
          </w:p>
        </w:tc>
        <w:tc>
          <w:tcPr>
            <w:tcW w:w="2013" w:type="dxa"/>
          </w:tcPr>
          <w:p w:rsidR="00ED238E" w:rsidRPr="00BC5942" w:rsidRDefault="00ED238E" w:rsidP="00ED238E">
            <w:pPr>
              <w:tabs>
                <w:tab w:val="left" w:pos="851"/>
              </w:tabs>
              <w:ind w:left="0" w:firstLine="0"/>
              <w:jc w:val="center"/>
              <w:rPr>
                <w:szCs w:val="22"/>
              </w:rPr>
            </w:pPr>
            <w:proofErr w:type="spellStart"/>
            <w:r w:rsidRPr="00BC5942">
              <w:rPr>
                <w:b/>
                <w:szCs w:val="22"/>
              </w:rPr>
              <w:t>nepremedikované</w:t>
            </w:r>
            <w:proofErr w:type="spellEnd"/>
          </w:p>
        </w:tc>
        <w:tc>
          <w:tcPr>
            <w:tcW w:w="1672" w:type="dxa"/>
          </w:tcPr>
          <w:p w:rsidR="00ED238E" w:rsidRPr="00BC5942" w:rsidRDefault="00ED238E" w:rsidP="00ED238E">
            <w:pPr>
              <w:tabs>
                <w:tab w:val="left" w:pos="851"/>
              </w:tabs>
              <w:ind w:left="0" w:firstLine="0"/>
              <w:jc w:val="center"/>
              <w:rPr>
                <w:szCs w:val="22"/>
              </w:rPr>
            </w:pPr>
            <w:proofErr w:type="spellStart"/>
            <w:r w:rsidRPr="00BC5942">
              <w:rPr>
                <w:b/>
                <w:szCs w:val="22"/>
              </w:rPr>
              <w:t>premedikované</w:t>
            </w:r>
            <w:proofErr w:type="spellEnd"/>
          </w:p>
        </w:tc>
      </w:tr>
      <w:tr w:rsidR="00ED238E" w:rsidRPr="00BC5942" w:rsidTr="009D1863">
        <w:tc>
          <w:tcPr>
            <w:tcW w:w="992" w:type="dxa"/>
          </w:tcPr>
          <w:p w:rsidR="00ED238E" w:rsidRPr="00BC5942" w:rsidRDefault="00ED238E" w:rsidP="00ED238E">
            <w:pPr>
              <w:tabs>
                <w:tab w:val="left" w:pos="851"/>
              </w:tabs>
              <w:ind w:left="0" w:firstLine="0"/>
              <w:rPr>
                <w:szCs w:val="22"/>
              </w:rPr>
            </w:pPr>
            <w:r w:rsidRPr="00BC5942">
              <w:rPr>
                <w:szCs w:val="22"/>
              </w:rPr>
              <w:t>mg/kg</w:t>
            </w:r>
          </w:p>
        </w:tc>
        <w:tc>
          <w:tcPr>
            <w:tcW w:w="1985" w:type="dxa"/>
          </w:tcPr>
          <w:p w:rsidR="00ED238E" w:rsidRPr="00BC5942" w:rsidRDefault="00ED238E" w:rsidP="00ED238E">
            <w:pPr>
              <w:tabs>
                <w:tab w:val="left" w:pos="851"/>
              </w:tabs>
              <w:ind w:left="0" w:firstLine="0"/>
              <w:jc w:val="center"/>
              <w:rPr>
                <w:szCs w:val="22"/>
              </w:rPr>
            </w:pPr>
            <w:r w:rsidRPr="00BC5942">
              <w:rPr>
                <w:szCs w:val="22"/>
              </w:rPr>
              <w:t>3</w:t>
            </w:r>
          </w:p>
        </w:tc>
        <w:tc>
          <w:tcPr>
            <w:tcW w:w="1701" w:type="dxa"/>
          </w:tcPr>
          <w:p w:rsidR="00ED238E" w:rsidRPr="00BC5942" w:rsidRDefault="00ED238E" w:rsidP="00ED238E">
            <w:pPr>
              <w:tabs>
                <w:tab w:val="left" w:pos="851"/>
              </w:tabs>
              <w:ind w:left="0" w:firstLine="0"/>
              <w:jc w:val="center"/>
              <w:rPr>
                <w:szCs w:val="22"/>
              </w:rPr>
            </w:pPr>
            <w:r w:rsidRPr="00BC5942">
              <w:rPr>
                <w:szCs w:val="22"/>
              </w:rPr>
              <w:t>2</w:t>
            </w:r>
          </w:p>
        </w:tc>
        <w:tc>
          <w:tcPr>
            <w:tcW w:w="2013" w:type="dxa"/>
          </w:tcPr>
          <w:p w:rsidR="00ED238E" w:rsidRPr="00BC5942" w:rsidRDefault="00ED238E" w:rsidP="00ED238E">
            <w:pPr>
              <w:tabs>
                <w:tab w:val="left" w:pos="851"/>
              </w:tabs>
              <w:ind w:left="0" w:firstLine="0"/>
              <w:jc w:val="center"/>
              <w:rPr>
                <w:szCs w:val="22"/>
              </w:rPr>
            </w:pPr>
            <w:r w:rsidRPr="00BC5942">
              <w:rPr>
                <w:szCs w:val="22"/>
              </w:rPr>
              <w:t>5</w:t>
            </w:r>
          </w:p>
        </w:tc>
        <w:tc>
          <w:tcPr>
            <w:tcW w:w="1672" w:type="dxa"/>
          </w:tcPr>
          <w:p w:rsidR="00ED238E" w:rsidRPr="00BC5942" w:rsidRDefault="00ED238E" w:rsidP="00ED238E">
            <w:pPr>
              <w:tabs>
                <w:tab w:val="left" w:pos="851"/>
              </w:tabs>
              <w:ind w:left="0" w:firstLine="0"/>
              <w:jc w:val="center"/>
              <w:rPr>
                <w:szCs w:val="22"/>
              </w:rPr>
            </w:pPr>
            <w:r w:rsidRPr="00BC5942">
              <w:rPr>
                <w:szCs w:val="22"/>
              </w:rPr>
              <w:t>5</w:t>
            </w:r>
          </w:p>
        </w:tc>
      </w:tr>
      <w:tr w:rsidR="00ED238E" w:rsidRPr="00BC5942" w:rsidTr="009D1863">
        <w:tc>
          <w:tcPr>
            <w:tcW w:w="992" w:type="dxa"/>
          </w:tcPr>
          <w:p w:rsidR="00ED238E" w:rsidRPr="00BC5942" w:rsidRDefault="00ED238E" w:rsidP="00ED238E">
            <w:pPr>
              <w:tabs>
                <w:tab w:val="left" w:pos="851"/>
              </w:tabs>
              <w:ind w:left="0" w:firstLine="0"/>
              <w:rPr>
                <w:szCs w:val="22"/>
              </w:rPr>
            </w:pPr>
            <w:r w:rsidRPr="00BC5942">
              <w:rPr>
                <w:szCs w:val="22"/>
              </w:rPr>
              <w:t>ml/kg</w:t>
            </w:r>
          </w:p>
        </w:tc>
        <w:tc>
          <w:tcPr>
            <w:tcW w:w="1985" w:type="dxa"/>
          </w:tcPr>
          <w:p w:rsidR="00ED238E" w:rsidRPr="00BC5942" w:rsidRDefault="00ED238E" w:rsidP="00ED238E">
            <w:pPr>
              <w:tabs>
                <w:tab w:val="left" w:pos="851"/>
              </w:tabs>
              <w:ind w:left="0" w:firstLine="0"/>
              <w:jc w:val="center"/>
              <w:rPr>
                <w:szCs w:val="22"/>
              </w:rPr>
            </w:pPr>
            <w:r w:rsidRPr="00BC5942">
              <w:rPr>
                <w:szCs w:val="22"/>
              </w:rPr>
              <w:t>0,3</w:t>
            </w:r>
          </w:p>
        </w:tc>
        <w:tc>
          <w:tcPr>
            <w:tcW w:w="1701" w:type="dxa"/>
          </w:tcPr>
          <w:p w:rsidR="00ED238E" w:rsidRPr="00BC5942" w:rsidRDefault="00ED238E" w:rsidP="00ED238E">
            <w:pPr>
              <w:tabs>
                <w:tab w:val="left" w:pos="851"/>
              </w:tabs>
              <w:ind w:left="0" w:firstLine="0"/>
              <w:jc w:val="center"/>
              <w:rPr>
                <w:szCs w:val="22"/>
              </w:rPr>
            </w:pPr>
            <w:r w:rsidRPr="00BC5942">
              <w:rPr>
                <w:szCs w:val="22"/>
              </w:rPr>
              <w:t>0,2</w:t>
            </w:r>
          </w:p>
        </w:tc>
        <w:tc>
          <w:tcPr>
            <w:tcW w:w="2013" w:type="dxa"/>
          </w:tcPr>
          <w:p w:rsidR="00ED238E" w:rsidRPr="00BC5942" w:rsidRDefault="00ED238E" w:rsidP="00ED238E">
            <w:pPr>
              <w:tabs>
                <w:tab w:val="left" w:pos="851"/>
              </w:tabs>
              <w:ind w:left="0" w:firstLine="0"/>
              <w:jc w:val="center"/>
              <w:rPr>
                <w:szCs w:val="22"/>
              </w:rPr>
            </w:pPr>
            <w:r w:rsidRPr="00BC5942">
              <w:rPr>
                <w:szCs w:val="22"/>
              </w:rPr>
              <w:t>0,5</w:t>
            </w:r>
          </w:p>
        </w:tc>
        <w:tc>
          <w:tcPr>
            <w:tcW w:w="1672" w:type="dxa"/>
          </w:tcPr>
          <w:p w:rsidR="00ED238E" w:rsidRPr="00BC5942" w:rsidRDefault="00ED238E" w:rsidP="00ED238E">
            <w:pPr>
              <w:tabs>
                <w:tab w:val="left" w:pos="851"/>
              </w:tabs>
              <w:ind w:left="0" w:firstLine="0"/>
              <w:jc w:val="center"/>
              <w:rPr>
                <w:szCs w:val="22"/>
              </w:rPr>
            </w:pPr>
            <w:r w:rsidRPr="00BC5942">
              <w:rPr>
                <w:szCs w:val="22"/>
              </w:rPr>
              <w:t>0,5</w:t>
            </w:r>
          </w:p>
        </w:tc>
      </w:tr>
    </w:tbl>
    <w:p w:rsidR="00ED238E" w:rsidRPr="00BC5942" w:rsidRDefault="00ED238E" w:rsidP="00ED238E">
      <w:pPr>
        <w:pStyle w:val="Zkladntext"/>
        <w:tabs>
          <w:tab w:val="left" w:pos="1418"/>
          <w:tab w:val="left" w:pos="10080"/>
        </w:tabs>
        <w:ind w:left="0" w:firstLine="0"/>
        <w:jc w:val="left"/>
        <w:rPr>
          <w:b/>
          <w:bCs/>
          <w:szCs w:val="22"/>
        </w:rPr>
      </w:pPr>
    </w:p>
    <w:p w:rsidR="008051FF" w:rsidRDefault="00773BEA" w:rsidP="00042E0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Cs w:val="22"/>
        </w:rPr>
      </w:pPr>
      <w:r w:rsidRPr="00BC5942">
        <w:rPr>
          <w:szCs w:val="22"/>
        </w:rPr>
        <w:t>Do stříkačky</w:t>
      </w:r>
      <w:r>
        <w:rPr>
          <w:szCs w:val="22"/>
        </w:rPr>
        <w:t xml:space="preserve"> určené k podání přípravku </w:t>
      </w:r>
      <w:r w:rsidRPr="00BC5942">
        <w:rPr>
          <w:szCs w:val="22"/>
        </w:rPr>
        <w:t>je třeba připravit výše uvedenou dávku. S aplikací je třeba pokračovat až do doby, kdy lékař považuje hloubku anestezie za dostatečnou pro endotracheální intubaci, nebo do úplné aplikace celé dávky. Potřebné rychlosti injekce lze dosáhnout aplikací jedné čtvrtiny (¼) vypočtené dávky každých 15 sekund</w:t>
      </w:r>
      <w:r>
        <w:rPr>
          <w:szCs w:val="22"/>
        </w:rPr>
        <w:t xml:space="preserve">, </w:t>
      </w:r>
      <w:r w:rsidRPr="00BC5942">
        <w:rPr>
          <w:szCs w:val="22"/>
        </w:rPr>
        <w:t>aby celková dávka</w:t>
      </w:r>
      <w:r>
        <w:rPr>
          <w:szCs w:val="22"/>
        </w:rPr>
        <w:t xml:space="preserve">, pokud je potřeba ji skutečně celou podat, </w:t>
      </w:r>
      <w:r w:rsidRPr="00BC5942">
        <w:rPr>
          <w:szCs w:val="22"/>
        </w:rPr>
        <w:t xml:space="preserve">byla aplikována </w:t>
      </w:r>
      <w:r>
        <w:rPr>
          <w:szCs w:val="22"/>
        </w:rPr>
        <w:t xml:space="preserve">po dobu </w:t>
      </w:r>
      <w:r w:rsidRPr="00BC5942">
        <w:rPr>
          <w:szCs w:val="22"/>
        </w:rPr>
        <w:t xml:space="preserve">prvních 60 sekund. Pokud po </w:t>
      </w:r>
      <w:r>
        <w:rPr>
          <w:szCs w:val="22"/>
        </w:rPr>
        <w:t xml:space="preserve">uplynutí </w:t>
      </w:r>
      <w:r w:rsidRPr="00BC5942">
        <w:rPr>
          <w:szCs w:val="22"/>
        </w:rPr>
        <w:t xml:space="preserve">60 sekund od úplné aplikace první indukční dávky není </w:t>
      </w:r>
      <w:r>
        <w:rPr>
          <w:szCs w:val="22"/>
        </w:rPr>
        <w:t xml:space="preserve">provedení </w:t>
      </w:r>
      <w:r w:rsidRPr="00BC5942">
        <w:rPr>
          <w:szCs w:val="22"/>
        </w:rPr>
        <w:t>intubace stále možn</w:t>
      </w:r>
      <w:r>
        <w:rPr>
          <w:szCs w:val="22"/>
        </w:rPr>
        <w:t>é</w:t>
      </w:r>
      <w:r w:rsidRPr="00BC5942">
        <w:rPr>
          <w:szCs w:val="22"/>
        </w:rPr>
        <w:t xml:space="preserve">, je možné pro dosažení účinku aplikovat ještě jednu podobnou dávku. </w:t>
      </w:r>
    </w:p>
    <w:p w:rsidR="00EB78DA" w:rsidRDefault="00EB78DA" w:rsidP="00042E0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Cs w:val="22"/>
        </w:rPr>
      </w:pPr>
    </w:p>
    <w:p w:rsidR="00ED238E" w:rsidRPr="00BC5942" w:rsidRDefault="00ED238E" w:rsidP="00042E0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b/>
          <w:szCs w:val="22"/>
        </w:rPr>
      </w:pPr>
      <w:r w:rsidRPr="00BC5942">
        <w:rPr>
          <w:b/>
          <w:szCs w:val="22"/>
        </w:rPr>
        <w:t>Udržování anestezie:</w:t>
      </w:r>
    </w:p>
    <w:p w:rsidR="0009396C" w:rsidRPr="00BC5942" w:rsidRDefault="0009396C" w:rsidP="00042E07">
      <w:pPr>
        <w:ind w:left="0" w:firstLine="0"/>
        <w:jc w:val="both"/>
        <w:rPr>
          <w:szCs w:val="22"/>
        </w:rPr>
      </w:pPr>
      <w:r w:rsidRPr="00BC5942">
        <w:rPr>
          <w:szCs w:val="22"/>
        </w:rPr>
        <w:t xml:space="preserve">Po </w:t>
      </w:r>
      <w:r w:rsidR="00EC435D">
        <w:rPr>
          <w:szCs w:val="22"/>
        </w:rPr>
        <w:t>indukci</w:t>
      </w:r>
      <w:r>
        <w:rPr>
          <w:szCs w:val="22"/>
        </w:rPr>
        <w:t xml:space="preserve"> </w:t>
      </w:r>
      <w:r w:rsidRPr="00BC5942">
        <w:rPr>
          <w:szCs w:val="22"/>
        </w:rPr>
        <w:t xml:space="preserve">anestezie veterinárním léčivým přípravkem je možné zvíře </w:t>
      </w:r>
      <w:proofErr w:type="spellStart"/>
      <w:r w:rsidRPr="00BC5942">
        <w:rPr>
          <w:szCs w:val="22"/>
        </w:rPr>
        <w:t>intubovat</w:t>
      </w:r>
      <w:proofErr w:type="spellEnd"/>
      <w:r w:rsidRPr="00BC5942">
        <w:rPr>
          <w:szCs w:val="22"/>
        </w:rPr>
        <w:t xml:space="preserve"> a </w:t>
      </w:r>
      <w:r>
        <w:rPr>
          <w:szCs w:val="22"/>
        </w:rPr>
        <w:t xml:space="preserve">anestezii </w:t>
      </w:r>
      <w:r w:rsidRPr="00BC5942">
        <w:rPr>
          <w:szCs w:val="22"/>
        </w:rPr>
        <w:t xml:space="preserve">udržovat </w:t>
      </w:r>
      <w:r>
        <w:rPr>
          <w:szCs w:val="22"/>
        </w:rPr>
        <w:t xml:space="preserve">tímto </w:t>
      </w:r>
      <w:r w:rsidRPr="00BC5942">
        <w:rPr>
          <w:szCs w:val="22"/>
        </w:rPr>
        <w:t>veterinárním léčiv</w:t>
      </w:r>
      <w:r>
        <w:rPr>
          <w:szCs w:val="22"/>
        </w:rPr>
        <w:t xml:space="preserve">ým </w:t>
      </w:r>
      <w:r w:rsidRPr="00BC5942">
        <w:rPr>
          <w:szCs w:val="22"/>
        </w:rPr>
        <w:t>přípravk</w:t>
      </w:r>
      <w:r>
        <w:rPr>
          <w:szCs w:val="22"/>
        </w:rPr>
        <w:t>em,</w:t>
      </w:r>
      <w:r w:rsidRPr="00BC5942">
        <w:rPr>
          <w:szCs w:val="22"/>
        </w:rPr>
        <w:t xml:space="preserve"> nebo inhala</w:t>
      </w:r>
      <w:r>
        <w:rPr>
          <w:szCs w:val="22"/>
        </w:rPr>
        <w:t xml:space="preserve">čním </w:t>
      </w:r>
      <w:r w:rsidRPr="00BC5942">
        <w:rPr>
          <w:szCs w:val="22"/>
        </w:rPr>
        <w:t>anestetik</w:t>
      </w:r>
      <w:r>
        <w:rPr>
          <w:szCs w:val="22"/>
        </w:rPr>
        <w:t>em</w:t>
      </w:r>
      <w:r w:rsidRPr="00BC5942">
        <w:rPr>
          <w:szCs w:val="22"/>
        </w:rPr>
        <w:t xml:space="preserve">. Udržovací dávky veterinárního léčivého přípravku je možné aplikovat jako přídavné bolusy, nebo jako infuzi konstantní rychlosti. </w:t>
      </w:r>
      <w:r>
        <w:rPr>
          <w:szCs w:val="22"/>
        </w:rPr>
        <w:t>Byla prokázána bezpečnost a účinnost v</w:t>
      </w:r>
      <w:r w:rsidRPr="00BC5942">
        <w:rPr>
          <w:szCs w:val="22"/>
        </w:rPr>
        <w:t>eterinární</w:t>
      </w:r>
      <w:r>
        <w:rPr>
          <w:szCs w:val="22"/>
        </w:rPr>
        <w:t>ho</w:t>
      </w:r>
      <w:r w:rsidRPr="00BC5942">
        <w:rPr>
          <w:szCs w:val="22"/>
        </w:rPr>
        <w:t xml:space="preserve"> léčiv</w:t>
      </w:r>
      <w:r>
        <w:rPr>
          <w:szCs w:val="22"/>
        </w:rPr>
        <w:t>ého</w:t>
      </w:r>
      <w:r w:rsidRPr="00BC5942">
        <w:rPr>
          <w:szCs w:val="22"/>
        </w:rPr>
        <w:t xml:space="preserve"> přípravk</w:t>
      </w:r>
      <w:r>
        <w:rPr>
          <w:szCs w:val="22"/>
        </w:rPr>
        <w:t>u</w:t>
      </w:r>
      <w:r w:rsidRPr="00BC5942">
        <w:rPr>
          <w:szCs w:val="22"/>
        </w:rPr>
        <w:t xml:space="preserve"> u psů i </w:t>
      </w:r>
      <w:r>
        <w:rPr>
          <w:szCs w:val="22"/>
        </w:rPr>
        <w:t xml:space="preserve">u </w:t>
      </w:r>
      <w:r w:rsidRPr="00BC5942">
        <w:rPr>
          <w:szCs w:val="22"/>
        </w:rPr>
        <w:t xml:space="preserve">koček při zákrocích trvajících až jednu hodinu. Následující dávky doporučené k udržování anestezie jsou založeny na </w:t>
      </w:r>
      <w:r>
        <w:rPr>
          <w:szCs w:val="22"/>
        </w:rPr>
        <w:t xml:space="preserve">údajích </w:t>
      </w:r>
      <w:r w:rsidRPr="00BC5942">
        <w:rPr>
          <w:szCs w:val="22"/>
        </w:rPr>
        <w:t>získaných z</w:t>
      </w:r>
      <w:r>
        <w:rPr>
          <w:szCs w:val="22"/>
        </w:rPr>
        <w:t> </w:t>
      </w:r>
      <w:r w:rsidRPr="00BC5942">
        <w:rPr>
          <w:szCs w:val="22"/>
        </w:rPr>
        <w:t>kontrol</w:t>
      </w:r>
      <w:r>
        <w:rPr>
          <w:szCs w:val="22"/>
        </w:rPr>
        <w:t xml:space="preserve">ovaných </w:t>
      </w:r>
      <w:r w:rsidRPr="00BC5942">
        <w:rPr>
          <w:szCs w:val="22"/>
        </w:rPr>
        <w:t>laborato</w:t>
      </w:r>
      <w:r>
        <w:rPr>
          <w:szCs w:val="22"/>
        </w:rPr>
        <w:t xml:space="preserve">rních a terénních </w:t>
      </w:r>
      <w:r w:rsidRPr="00BC5942">
        <w:rPr>
          <w:szCs w:val="22"/>
        </w:rPr>
        <w:t xml:space="preserve">studií a představují průměrné množství léčiva </w:t>
      </w:r>
      <w:r>
        <w:rPr>
          <w:szCs w:val="22"/>
        </w:rPr>
        <w:t xml:space="preserve">potřebného k udržování </w:t>
      </w:r>
      <w:r w:rsidRPr="00BC5942">
        <w:rPr>
          <w:szCs w:val="22"/>
        </w:rPr>
        <w:t>anestezie u psů a koček. Aktuální dávka však bude záležet na reakci každého pacienta.</w:t>
      </w:r>
    </w:p>
    <w:p w:rsidR="00ED238E" w:rsidRPr="00BC5942" w:rsidRDefault="00ED238E" w:rsidP="00042E07">
      <w:pPr>
        <w:tabs>
          <w:tab w:val="left" w:pos="1418"/>
        </w:tabs>
        <w:ind w:left="0" w:firstLine="0"/>
        <w:jc w:val="both"/>
        <w:rPr>
          <w:szCs w:val="22"/>
        </w:rPr>
      </w:pPr>
    </w:p>
    <w:p w:rsidR="00ED238E" w:rsidRPr="00BC5942" w:rsidRDefault="00ED238E" w:rsidP="00ED238E">
      <w:pPr>
        <w:tabs>
          <w:tab w:val="left" w:pos="851"/>
        </w:tabs>
        <w:ind w:left="0" w:firstLine="0"/>
        <w:jc w:val="both"/>
        <w:rPr>
          <w:b/>
          <w:szCs w:val="22"/>
        </w:rPr>
      </w:pPr>
      <w:r w:rsidRPr="00BC5942">
        <w:rPr>
          <w:szCs w:val="22"/>
        </w:rPr>
        <w:t xml:space="preserve">Dávky </w:t>
      </w:r>
      <w:proofErr w:type="spellStart"/>
      <w:r w:rsidRPr="00BC5942">
        <w:rPr>
          <w:szCs w:val="22"/>
        </w:rPr>
        <w:t>Alfaxanu</w:t>
      </w:r>
      <w:proofErr w:type="spellEnd"/>
      <w:r w:rsidRPr="00BC5942">
        <w:rPr>
          <w:szCs w:val="22"/>
        </w:rPr>
        <w:t xml:space="preserve"> doporučené k udržování anestezie: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943"/>
        <w:gridCol w:w="1663"/>
        <w:gridCol w:w="2022"/>
        <w:gridCol w:w="1843"/>
      </w:tblGrid>
      <w:tr w:rsidR="00ED238E" w:rsidRPr="00BC5942" w:rsidTr="0077096F">
        <w:tc>
          <w:tcPr>
            <w:tcW w:w="1284" w:type="dxa"/>
          </w:tcPr>
          <w:p w:rsidR="00ED238E" w:rsidRPr="00BC5942" w:rsidRDefault="00ED238E" w:rsidP="00ED238E">
            <w:pPr>
              <w:tabs>
                <w:tab w:val="left" w:pos="851"/>
              </w:tabs>
              <w:ind w:left="0" w:firstLine="0"/>
              <w:rPr>
                <w:szCs w:val="22"/>
              </w:rPr>
            </w:pPr>
          </w:p>
        </w:tc>
        <w:tc>
          <w:tcPr>
            <w:tcW w:w="3606" w:type="dxa"/>
            <w:gridSpan w:val="2"/>
          </w:tcPr>
          <w:p w:rsidR="00ED238E" w:rsidRPr="00BC5942" w:rsidRDefault="00ED238E" w:rsidP="00ED238E">
            <w:pPr>
              <w:tabs>
                <w:tab w:val="left" w:pos="851"/>
              </w:tabs>
              <w:ind w:left="0" w:firstLine="0"/>
              <w:jc w:val="center"/>
              <w:rPr>
                <w:b/>
                <w:szCs w:val="22"/>
              </w:rPr>
            </w:pPr>
            <w:r w:rsidRPr="00BC5942">
              <w:rPr>
                <w:b/>
                <w:szCs w:val="22"/>
              </w:rPr>
              <w:t>PSI</w:t>
            </w:r>
          </w:p>
        </w:tc>
        <w:tc>
          <w:tcPr>
            <w:tcW w:w="3865" w:type="dxa"/>
            <w:gridSpan w:val="2"/>
          </w:tcPr>
          <w:p w:rsidR="00ED238E" w:rsidRPr="00BC5942" w:rsidRDefault="00ED238E" w:rsidP="00ED238E">
            <w:pPr>
              <w:tabs>
                <w:tab w:val="left" w:pos="851"/>
              </w:tabs>
              <w:ind w:left="0" w:firstLine="0"/>
              <w:jc w:val="center"/>
              <w:rPr>
                <w:b/>
                <w:szCs w:val="22"/>
              </w:rPr>
            </w:pPr>
            <w:r w:rsidRPr="00BC5942">
              <w:rPr>
                <w:b/>
                <w:szCs w:val="22"/>
              </w:rPr>
              <w:t>KOČKY</w:t>
            </w:r>
          </w:p>
        </w:tc>
      </w:tr>
      <w:tr w:rsidR="00ED238E" w:rsidRPr="00BC5942" w:rsidTr="0077096F">
        <w:tc>
          <w:tcPr>
            <w:tcW w:w="1284" w:type="dxa"/>
          </w:tcPr>
          <w:p w:rsidR="00ED238E" w:rsidRPr="00BC5942" w:rsidRDefault="00ED238E" w:rsidP="00ED238E">
            <w:pPr>
              <w:tabs>
                <w:tab w:val="left" w:pos="851"/>
              </w:tabs>
              <w:ind w:left="0" w:firstLine="0"/>
              <w:rPr>
                <w:szCs w:val="22"/>
              </w:rPr>
            </w:pPr>
          </w:p>
        </w:tc>
        <w:tc>
          <w:tcPr>
            <w:tcW w:w="1943" w:type="dxa"/>
          </w:tcPr>
          <w:p w:rsidR="00ED238E" w:rsidRPr="00BC5942" w:rsidRDefault="00ED238E" w:rsidP="00ED238E">
            <w:pPr>
              <w:tabs>
                <w:tab w:val="left" w:pos="851"/>
              </w:tabs>
              <w:ind w:left="0" w:firstLine="0"/>
              <w:jc w:val="center"/>
              <w:rPr>
                <w:b/>
                <w:szCs w:val="22"/>
              </w:rPr>
            </w:pPr>
            <w:proofErr w:type="spellStart"/>
            <w:r w:rsidRPr="00BC5942">
              <w:rPr>
                <w:b/>
                <w:szCs w:val="22"/>
              </w:rPr>
              <w:t>nepremedikovaní</w:t>
            </w:r>
            <w:proofErr w:type="spellEnd"/>
          </w:p>
        </w:tc>
        <w:tc>
          <w:tcPr>
            <w:tcW w:w="1663" w:type="dxa"/>
          </w:tcPr>
          <w:p w:rsidR="00ED238E" w:rsidRPr="00BC5942" w:rsidRDefault="00ED238E" w:rsidP="00ED238E">
            <w:pPr>
              <w:tabs>
                <w:tab w:val="left" w:pos="851"/>
              </w:tabs>
              <w:ind w:left="0" w:firstLine="0"/>
              <w:jc w:val="center"/>
              <w:rPr>
                <w:b/>
                <w:szCs w:val="22"/>
              </w:rPr>
            </w:pPr>
            <w:proofErr w:type="spellStart"/>
            <w:r w:rsidRPr="00BC5942">
              <w:rPr>
                <w:b/>
                <w:szCs w:val="22"/>
              </w:rPr>
              <w:t>premedikovaní</w:t>
            </w:r>
            <w:proofErr w:type="spellEnd"/>
          </w:p>
        </w:tc>
        <w:tc>
          <w:tcPr>
            <w:tcW w:w="2022" w:type="dxa"/>
          </w:tcPr>
          <w:p w:rsidR="00ED238E" w:rsidRPr="00BC5942" w:rsidRDefault="00ED238E" w:rsidP="00ED238E">
            <w:pPr>
              <w:tabs>
                <w:tab w:val="left" w:pos="851"/>
              </w:tabs>
              <w:ind w:left="0" w:firstLine="0"/>
              <w:jc w:val="center"/>
              <w:rPr>
                <w:szCs w:val="22"/>
              </w:rPr>
            </w:pPr>
            <w:proofErr w:type="spellStart"/>
            <w:r w:rsidRPr="00BC5942">
              <w:rPr>
                <w:b/>
                <w:szCs w:val="22"/>
              </w:rPr>
              <w:t>nepremedikované</w:t>
            </w:r>
            <w:proofErr w:type="spellEnd"/>
          </w:p>
        </w:tc>
        <w:tc>
          <w:tcPr>
            <w:tcW w:w="1843" w:type="dxa"/>
          </w:tcPr>
          <w:p w:rsidR="00ED238E" w:rsidRPr="00BC5942" w:rsidRDefault="00ED238E" w:rsidP="00ED238E">
            <w:pPr>
              <w:tabs>
                <w:tab w:val="left" w:pos="851"/>
              </w:tabs>
              <w:ind w:left="0" w:firstLine="0"/>
              <w:jc w:val="center"/>
              <w:rPr>
                <w:szCs w:val="22"/>
              </w:rPr>
            </w:pPr>
            <w:proofErr w:type="spellStart"/>
            <w:r w:rsidRPr="00BC5942">
              <w:rPr>
                <w:b/>
                <w:szCs w:val="22"/>
              </w:rPr>
              <w:t>premedikované</w:t>
            </w:r>
            <w:proofErr w:type="spellEnd"/>
          </w:p>
        </w:tc>
      </w:tr>
      <w:tr w:rsidR="00ED238E" w:rsidRPr="00BC5942" w:rsidTr="0077096F">
        <w:tc>
          <w:tcPr>
            <w:tcW w:w="8755" w:type="dxa"/>
            <w:gridSpan w:val="5"/>
          </w:tcPr>
          <w:p w:rsidR="00ED238E" w:rsidRPr="00BC5942" w:rsidRDefault="00ED238E" w:rsidP="00ED238E">
            <w:pPr>
              <w:tabs>
                <w:tab w:val="left" w:pos="851"/>
              </w:tabs>
              <w:ind w:left="0" w:firstLine="0"/>
              <w:jc w:val="center"/>
              <w:rPr>
                <w:szCs w:val="22"/>
              </w:rPr>
            </w:pPr>
            <w:r w:rsidRPr="00BC5942">
              <w:rPr>
                <w:b/>
                <w:szCs w:val="22"/>
              </w:rPr>
              <w:t>Dávka pro konstantní rychlost infuze</w:t>
            </w:r>
          </w:p>
        </w:tc>
      </w:tr>
      <w:tr w:rsidR="00ED238E" w:rsidRPr="00BC5942" w:rsidTr="0077096F">
        <w:tc>
          <w:tcPr>
            <w:tcW w:w="1284" w:type="dxa"/>
          </w:tcPr>
          <w:p w:rsidR="00ED238E" w:rsidRPr="00BC5942" w:rsidRDefault="00ED238E" w:rsidP="00ED238E">
            <w:pPr>
              <w:tabs>
                <w:tab w:val="left" w:pos="851"/>
              </w:tabs>
              <w:ind w:left="0" w:firstLine="0"/>
              <w:rPr>
                <w:szCs w:val="22"/>
              </w:rPr>
            </w:pPr>
            <w:r w:rsidRPr="00BC5942">
              <w:rPr>
                <w:szCs w:val="22"/>
              </w:rPr>
              <w:t>mg/kg/h</w:t>
            </w:r>
          </w:p>
        </w:tc>
        <w:tc>
          <w:tcPr>
            <w:tcW w:w="1943" w:type="dxa"/>
          </w:tcPr>
          <w:p w:rsidR="00ED238E" w:rsidRPr="00BC5942" w:rsidRDefault="00ED238E" w:rsidP="00ED238E">
            <w:pPr>
              <w:tabs>
                <w:tab w:val="left" w:pos="851"/>
              </w:tabs>
              <w:ind w:left="0" w:firstLine="0"/>
              <w:jc w:val="center"/>
              <w:rPr>
                <w:szCs w:val="22"/>
              </w:rPr>
            </w:pPr>
            <w:r w:rsidRPr="00BC5942">
              <w:rPr>
                <w:szCs w:val="22"/>
              </w:rPr>
              <w:t>8–9</w:t>
            </w:r>
          </w:p>
        </w:tc>
        <w:tc>
          <w:tcPr>
            <w:tcW w:w="1663" w:type="dxa"/>
          </w:tcPr>
          <w:p w:rsidR="00ED238E" w:rsidRPr="00BC5942" w:rsidRDefault="00ED238E" w:rsidP="00ED238E">
            <w:pPr>
              <w:tabs>
                <w:tab w:val="left" w:pos="851"/>
              </w:tabs>
              <w:ind w:left="0" w:firstLine="0"/>
              <w:jc w:val="center"/>
              <w:rPr>
                <w:szCs w:val="22"/>
              </w:rPr>
            </w:pPr>
            <w:r w:rsidRPr="00BC5942">
              <w:rPr>
                <w:szCs w:val="22"/>
              </w:rPr>
              <w:t>6–7</w:t>
            </w:r>
          </w:p>
        </w:tc>
        <w:tc>
          <w:tcPr>
            <w:tcW w:w="2022" w:type="dxa"/>
          </w:tcPr>
          <w:p w:rsidR="00ED238E" w:rsidRPr="00BC5942" w:rsidRDefault="00ED238E" w:rsidP="00ED238E">
            <w:pPr>
              <w:tabs>
                <w:tab w:val="left" w:pos="851"/>
              </w:tabs>
              <w:ind w:left="0" w:firstLine="0"/>
              <w:jc w:val="center"/>
              <w:rPr>
                <w:szCs w:val="22"/>
              </w:rPr>
            </w:pPr>
            <w:r w:rsidRPr="00BC5942">
              <w:rPr>
                <w:szCs w:val="22"/>
              </w:rPr>
              <w:t>10–11</w:t>
            </w:r>
          </w:p>
        </w:tc>
        <w:tc>
          <w:tcPr>
            <w:tcW w:w="1843" w:type="dxa"/>
          </w:tcPr>
          <w:p w:rsidR="00ED238E" w:rsidRPr="00BC5942" w:rsidRDefault="00ED238E" w:rsidP="00ED238E">
            <w:pPr>
              <w:tabs>
                <w:tab w:val="left" w:pos="851"/>
              </w:tabs>
              <w:ind w:left="0" w:firstLine="0"/>
              <w:jc w:val="center"/>
              <w:rPr>
                <w:szCs w:val="22"/>
              </w:rPr>
            </w:pPr>
            <w:r w:rsidRPr="00BC5942">
              <w:rPr>
                <w:szCs w:val="22"/>
              </w:rPr>
              <w:t>7–8</w:t>
            </w:r>
          </w:p>
        </w:tc>
      </w:tr>
      <w:tr w:rsidR="00ED238E" w:rsidRPr="00BC5942" w:rsidTr="0077096F">
        <w:tc>
          <w:tcPr>
            <w:tcW w:w="1284" w:type="dxa"/>
          </w:tcPr>
          <w:p w:rsidR="00ED238E" w:rsidRPr="00BC5942" w:rsidRDefault="00ED238E" w:rsidP="00ED238E">
            <w:pPr>
              <w:tabs>
                <w:tab w:val="left" w:pos="851"/>
              </w:tabs>
              <w:ind w:left="0" w:firstLine="0"/>
              <w:rPr>
                <w:szCs w:val="22"/>
              </w:rPr>
            </w:pPr>
            <w:r w:rsidRPr="00BC5942">
              <w:rPr>
                <w:szCs w:val="22"/>
              </w:rPr>
              <w:t>mg/kg/min</w:t>
            </w:r>
          </w:p>
        </w:tc>
        <w:tc>
          <w:tcPr>
            <w:tcW w:w="1943" w:type="dxa"/>
          </w:tcPr>
          <w:p w:rsidR="00ED238E" w:rsidRPr="00BC5942" w:rsidRDefault="00ED238E" w:rsidP="00ED238E">
            <w:pPr>
              <w:tabs>
                <w:tab w:val="left" w:pos="851"/>
              </w:tabs>
              <w:ind w:left="0" w:firstLine="0"/>
              <w:jc w:val="center"/>
              <w:rPr>
                <w:szCs w:val="22"/>
              </w:rPr>
            </w:pPr>
            <w:r w:rsidRPr="00BC5942">
              <w:rPr>
                <w:szCs w:val="22"/>
              </w:rPr>
              <w:t>0,13–0,15</w:t>
            </w:r>
          </w:p>
        </w:tc>
        <w:tc>
          <w:tcPr>
            <w:tcW w:w="1663" w:type="dxa"/>
          </w:tcPr>
          <w:p w:rsidR="00ED238E" w:rsidRPr="00BC5942" w:rsidRDefault="00ED238E" w:rsidP="00ED238E">
            <w:pPr>
              <w:tabs>
                <w:tab w:val="left" w:pos="851"/>
              </w:tabs>
              <w:ind w:left="0" w:firstLine="0"/>
              <w:jc w:val="center"/>
              <w:rPr>
                <w:szCs w:val="22"/>
              </w:rPr>
            </w:pPr>
            <w:r w:rsidRPr="00BC5942">
              <w:rPr>
                <w:szCs w:val="22"/>
              </w:rPr>
              <w:t>0,10–0,12</w:t>
            </w:r>
          </w:p>
        </w:tc>
        <w:tc>
          <w:tcPr>
            <w:tcW w:w="2022" w:type="dxa"/>
          </w:tcPr>
          <w:p w:rsidR="00ED238E" w:rsidRPr="00BC5942" w:rsidRDefault="00ED238E" w:rsidP="00ED238E">
            <w:pPr>
              <w:tabs>
                <w:tab w:val="left" w:pos="851"/>
              </w:tabs>
              <w:ind w:left="0" w:firstLine="0"/>
              <w:jc w:val="center"/>
              <w:rPr>
                <w:szCs w:val="22"/>
              </w:rPr>
            </w:pPr>
            <w:r w:rsidRPr="00BC5942">
              <w:rPr>
                <w:szCs w:val="22"/>
              </w:rPr>
              <w:t>0,16–0,18</w:t>
            </w:r>
          </w:p>
        </w:tc>
        <w:tc>
          <w:tcPr>
            <w:tcW w:w="1843" w:type="dxa"/>
          </w:tcPr>
          <w:p w:rsidR="00ED238E" w:rsidRPr="00BC5942" w:rsidRDefault="00ED238E" w:rsidP="00ED238E">
            <w:pPr>
              <w:tabs>
                <w:tab w:val="left" w:pos="851"/>
              </w:tabs>
              <w:ind w:left="0" w:firstLine="0"/>
              <w:jc w:val="center"/>
              <w:rPr>
                <w:szCs w:val="22"/>
              </w:rPr>
            </w:pPr>
            <w:r w:rsidRPr="00BC5942">
              <w:rPr>
                <w:szCs w:val="22"/>
              </w:rPr>
              <w:t>0,11–0,13</w:t>
            </w:r>
          </w:p>
        </w:tc>
      </w:tr>
      <w:tr w:rsidR="00ED238E" w:rsidRPr="00BC5942" w:rsidTr="0077096F">
        <w:tc>
          <w:tcPr>
            <w:tcW w:w="1284" w:type="dxa"/>
          </w:tcPr>
          <w:p w:rsidR="00ED238E" w:rsidRPr="00BC5942" w:rsidRDefault="00ED238E" w:rsidP="00ED238E">
            <w:pPr>
              <w:tabs>
                <w:tab w:val="left" w:pos="851"/>
              </w:tabs>
              <w:ind w:left="0" w:firstLine="0"/>
              <w:rPr>
                <w:szCs w:val="22"/>
              </w:rPr>
            </w:pPr>
            <w:r w:rsidRPr="00BC5942">
              <w:rPr>
                <w:szCs w:val="22"/>
              </w:rPr>
              <w:t>ml/kg/min</w:t>
            </w:r>
          </w:p>
        </w:tc>
        <w:tc>
          <w:tcPr>
            <w:tcW w:w="1943" w:type="dxa"/>
          </w:tcPr>
          <w:p w:rsidR="00ED238E" w:rsidRPr="00BC5942" w:rsidRDefault="00ED238E" w:rsidP="00ED238E">
            <w:pPr>
              <w:tabs>
                <w:tab w:val="left" w:pos="851"/>
              </w:tabs>
              <w:ind w:left="0" w:firstLine="0"/>
              <w:jc w:val="center"/>
              <w:rPr>
                <w:szCs w:val="22"/>
              </w:rPr>
            </w:pPr>
            <w:r w:rsidRPr="00BC5942">
              <w:rPr>
                <w:szCs w:val="22"/>
              </w:rPr>
              <w:t>0,013–0,015</w:t>
            </w:r>
          </w:p>
        </w:tc>
        <w:tc>
          <w:tcPr>
            <w:tcW w:w="1663" w:type="dxa"/>
          </w:tcPr>
          <w:p w:rsidR="00ED238E" w:rsidRPr="00BC5942" w:rsidRDefault="00ED238E" w:rsidP="00ED238E">
            <w:pPr>
              <w:tabs>
                <w:tab w:val="left" w:pos="851"/>
              </w:tabs>
              <w:ind w:left="0" w:firstLine="0"/>
              <w:jc w:val="center"/>
              <w:rPr>
                <w:szCs w:val="22"/>
              </w:rPr>
            </w:pPr>
            <w:r w:rsidRPr="00BC5942">
              <w:rPr>
                <w:szCs w:val="22"/>
              </w:rPr>
              <w:t>0,010–0,012</w:t>
            </w:r>
          </w:p>
        </w:tc>
        <w:tc>
          <w:tcPr>
            <w:tcW w:w="2022" w:type="dxa"/>
          </w:tcPr>
          <w:p w:rsidR="00ED238E" w:rsidRPr="00BC5942" w:rsidRDefault="00ED238E" w:rsidP="00ED238E">
            <w:pPr>
              <w:tabs>
                <w:tab w:val="left" w:pos="851"/>
              </w:tabs>
              <w:ind w:left="0" w:firstLine="0"/>
              <w:jc w:val="center"/>
              <w:rPr>
                <w:szCs w:val="22"/>
              </w:rPr>
            </w:pPr>
            <w:r w:rsidRPr="00BC5942">
              <w:rPr>
                <w:szCs w:val="22"/>
              </w:rPr>
              <w:t>0,016–0,018</w:t>
            </w:r>
          </w:p>
        </w:tc>
        <w:tc>
          <w:tcPr>
            <w:tcW w:w="1843" w:type="dxa"/>
          </w:tcPr>
          <w:p w:rsidR="00ED238E" w:rsidRPr="00BC5942" w:rsidRDefault="00ED238E" w:rsidP="00ED238E">
            <w:pPr>
              <w:tabs>
                <w:tab w:val="left" w:pos="851"/>
              </w:tabs>
              <w:ind w:left="0" w:firstLine="0"/>
              <w:jc w:val="center"/>
              <w:rPr>
                <w:szCs w:val="22"/>
              </w:rPr>
            </w:pPr>
            <w:r w:rsidRPr="00BC5942">
              <w:rPr>
                <w:szCs w:val="22"/>
              </w:rPr>
              <w:t>0,011–0,013</w:t>
            </w:r>
          </w:p>
        </w:tc>
      </w:tr>
      <w:tr w:rsidR="00ED238E" w:rsidRPr="00BC5942" w:rsidTr="0077096F">
        <w:tc>
          <w:tcPr>
            <w:tcW w:w="8755" w:type="dxa"/>
            <w:gridSpan w:val="5"/>
          </w:tcPr>
          <w:p w:rsidR="00ED238E" w:rsidRPr="00BC5942" w:rsidRDefault="00ED238E" w:rsidP="00ED238E">
            <w:pPr>
              <w:tabs>
                <w:tab w:val="left" w:pos="851"/>
              </w:tabs>
              <w:ind w:left="0" w:firstLine="0"/>
              <w:jc w:val="center"/>
              <w:rPr>
                <w:szCs w:val="22"/>
              </w:rPr>
            </w:pPr>
            <w:r w:rsidRPr="00BC5942">
              <w:rPr>
                <w:b/>
                <w:szCs w:val="22"/>
              </w:rPr>
              <w:t>Dávka bolusu na každých 10 minut udržování</w:t>
            </w:r>
          </w:p>
        </w:tc>
      </w:tr>
      <w:tr w:rsidR="00ED238E" w:rsidRPr="00BC5942" w:rsidTr="0077096F">
        <w:tc>
          <w:tcPr>
            <w:tcW w:w="1284" w:type="dxa"/>
          </w:tcPr>
          <w:p w:rsidR="00ED238E" w:rsidRPr="00BC5942" w:rsidRDefault="00ED238E" w:rsidP="00ED238E">
            <w:pPr>
              <w:tabs>
                <w:tab w:val="left" w:pos="851"/>
              </w:tabs>
              <w:ind w:left="0" w:firstLine="0"/>
              <w:rPr>
                <w:szCs w:val="22"/>
              </w:rPr>
            </w:pPr>
            <w:r w:rsidRPr="00BC5942">
              <w:rPr>
                <w:szCs w:val="22"/>
              </w:rPr>
              <w:t>mg/kg</w:t>
            </w:r>
          </w:p>
        </w:tc>
        <w:tc>
          <w:tcPr>
            <w:tcW w:w="1943" w:type="dxa"/>
          </w:tcPr>
          <w:p w:rsidR="00ED238E" w:rsidRPr="00BC5942" w:rsidRDefault="00ED238E" w:rsidP="00ED238E">
            <w:pPr>
              <w:tabs>
                <w:tab w:val="left" w:pos="851"/>
              </w:tabs>
              <w:ind w:left="0" w:firstLine="0"/>
              <w:jc w:val="center"/>
              <w:rPr>
                <w:szCs w:val="22"/>
              </w:rPr>
            </w:pPr>
            <w:r w:rsidRPr="00BC5942">
              <w:rPr>
                <w:szCs w:val="22"/>
              </w:rPr>
              <w:t>1,3–1,5</w:t>
            </w:r>
          </w:p>
        </w:tc>
        <w:tc>
          <w:tcPr>
            <w:tcW w:w="1663" w:type="dxa"/>
          </w:tcPr>
          <w:p w:rsidR="00ED238E" w:rsidRPr="00BC5942" w:rsidRDefault="00ED238E" w:rsidP="00ED238E">
            <w:pPr>
              <w:tabs>
                <w:tab w:val="left" w:pos="851"/>
              </w:tabs>
              <w:ind w:left="0" w:firstLine="0"/>
              <w:jc w:val="center"/>
              <w:rPr>
                <w:szCs w:val="22"/>
              </w:rPr>
            </w:pPr>
            <w:r w:rsidRPr="00BC5942">
              <w:rPr>
                <w:szCs w:val="22"/>
              </w:rPr>
              <w:t>1,0–1,2</w:t>
            </w:r>
          </w:p>
        </w:tc>
        <w:tc>
          <w:tcPr>
            <w:tcW w:w="2022" w:type="dxa"/>
          </w:tcPr>
          <w:p w:rsidR="00ED238E" w:rsidRPr="00BC5942" w:rsidRDefault="00ED238E" w:rsidP="00ED238E">
            <w:pPr>
              <w:tabs>
                <w:tab w:val="left" w:pos="851"/>
              </w:tabs>
              <w:ind w:left="0" w:firstLine="0"/>
              <w:jc w:val="center"/>
              <w:rPr>
                <w:szCs w:val="22"/>
              </w:rPr>
            </w:pPr>
            <w:r w:rsidRPr="00BC5942">
              <w:rPr>
                <w:szCs w:val="22"/>
              </w:rPr>
              <w:t>1,6–1,8</w:t>
            </w:r>
          </w:p>
        </w:tc>
        <w:tc>
          <w:tcPr>
            <w:tcW w:w="1843" w:type="dxa"/>
          </w:tcPr>
          <w:p w:rsidR="00ED238E" w:rsidRPr="00BC5942" w:rsidRDefault="00ED238E" w:rsidP="00ED238E">
            <w:pPr>
              <w:tabs>
                <w:tab w:val="left" w:pos="851"/>
              </w:tabs>
              <w:ind w:left="0" w:firstLine="0"/>
              <w:jc w:val="center"/>
              <w:rPr>
                <w:szCs w:val="22"/>
              </w:rPr>
            </w:pPr>
            <w:r w:rsidRPr="00BC5942">
              <w:rPr>
                <w:szCs w:val="22"/>
              </w:rPr>
              <w:t>1,1–1,3</w:t>
            </w:r>
          </w:p>
        </w:tc>
      </w:tr>
      <w:tr w:rsidR="00ED238E" w:rsidRPr="00BC5942" w:rsidTr="0077096F">
        <w:tc>
          <w:tcPr>
            <w:tcW w:w="1284" w:type="dxa"/>
          </w:tcPr>
          <w:p w:rsidR="00ED238E" w:rsidRPr="00BC5942" w:rsidRDefault="00ED238E" w:rsidP="00ED238E">
            <w:pPr>
              <w:tabs>
                <w:tab w:val="left" w:pos="851"/>
              </w:tabs>
              <w:ind w:left="0" w:firstLine="0"/>
              <w:rPr>
                <w:szCs w:val="22"/>
              </w:rPr>
            </w:pPr>
            <w:r w:rsidRPr="00BC5942">
              <w:rPr>
                <w:szCs w:val="22"/>
              </w:rPr>
              <w:t>ml/kg</w:t>
            </w:r>
          </w:p>
        </w:tc>
        <w:tc>
          <w:tcPr>
            <w:tcW w:w="1943" w:type="dxa"/>
          </w:tcPr>
          <w:p w:rsidR="00ED238E" w:rsidRPr="00BC5942" w:rsidRDefault="00ED238E" w:rsidP="00ED238E">
            <w:pPr>
              <w:tabs>
                <w:tab w:val="left" w:pos="851"/>
              </w:tabs>
              <w:ind w:left="0" w:firstLine="0"/>
              <w:jc w:val="center"/>
              <w:rPr>
                <w:szCs w:val="22"/>
              </w:rPr>
            </w:pPr>
            <w:r w:rsidRPr="00BC5942">
              <w:rPr>
                <w:szCs w:val="22"/>
              </w:rPr>
              <w:t>0,13–0,15</w:t>
            </w:r>
          </w:p>
        </w:tc>
        <w:tc>
          <w:tcPr>
            <w:tcW w:w="1663" w:type="dxa"/>
          </w:tcPr>
          <w:p w:rsidR="00ED238E" w:rsidRPr="00BC5942" w:rsidRDefault="00ED238E" w:rsidP="00ED238E">
            <w:pPr>
              <w:tabs>
                <w:tab w:val="left" w:pos="851"/>
              </w:tabs>
              <w:ind w:left="0" w:firstLine="0"/>
              <w:jc w:val="center"/>
              <w:rPr>
                <w:szCs w:val="22"/>
              </w:rPr>
            </w:pPr>
            <w:r w:rsidRPr="00BC5942">
              <w:rPr>
                <w:szCs w:val="22"/>
              </w:rPr>
              <w:t>0,10–0,12</w:t>
            </w:r>
          </w:p>
        </w:tc>
        <w:tc>
          <w:tcPr>
            <w:tcW w:w="2022" w:type="dxa"/>
          </w:tcPr>
          <w:p w:rsidR="00ED238E" w:rsidRPr="00BC5942" w:rsidRDefault="00ED238E" w:rsidP="00ED238E">
            <w:pPr>
              <w:tabs>
                <w:tab w:val="left" w:pos="851"/>
              </w:tabs>
              <w:ind w:left="0" w:firstLine="0"/>
              <w:jc w:val="center"/>
              <w:rPr>
                <w:szCs w:val="22"/>
              </w:rPr>
            </w:pPr>
            <w:r w:rsidRPr="00BC5942">
              <w:rPr>
                <w:szCs w:val="22"/>
              </w:rPr>
              <w:t>0,16–0,18</w:t>
            </w:r>
          </w:p>
        </w:tc>
        <w:tc>
          <w:tcPr>
            <w:tcW w:w="1843" w:type="dxa"/>
          </w:tcPr>
          <w:p w:rsidR="00ED238E" w:rsidRPr="00BC5942" w:rsidRDefault="00ED238E" w:rsidP="00ED238E">
            <w:pPr>
              <w:tabs>
                <w:tab w:val="left" w:pos="851"/>
              </w:tabs>
              <w:ind w:left="0" w:firstLine="0"/>
              <w:jc w:val="center"/>
              <w:rPr>
                <w:szCs w:val="22"/>
              </w:rPr>
            </w:pPr>
            <w:r w:rsidRPr="00BC5942">
              <w:rPr>
                <w:szCs w:val="22"/>
              </w:rPr>
              <w:t>0,11–0,13</w:t>
            </w:r>
          </w:p>
        </w:tc>
      </w:tr>
    </w:tbl>
    <w:p w:rsidR="00ED238E" w:rsidRPr="00BC5942" w:rsidRDefault="00ED238E" w:rsidP="00ED238E">
      <w:pPr>
        <w:tabs>
          <w:tab w:val="left" w:pos="851"/>
        </w:tabs>
        <w:ind w:left="0" w:firstLine="0"/>
        <w:jc w:val="both"/>
        <w:rPr>
          <w:szCs w:val="22"/>
        </w:rPr>
      </w:pPr>
    </w:p>
    <w:p w:rsidR="0009396C" w:rsidRPr="00BC5942" w:rsidRDefault="0009396C" w:rsidP="00042E07">
      <w:pPr>
        <w:ind w:left="0" w:firstLine="0"/>
        <w:jc w:val="both"/>
        <w:rPr>
          <w:szCs w:val="22"/>
        </w:rPr>
      </w:pPr>
      <w:r w:rsidRPr="00BC5942">
        <w:rPr>
          <w:szCs w:val="22"/>
        </w:rPr>
        <w:t xml:space="preserve">Tam, kde </w:t>
      </w:r>
      <w:r>
        <w:rPr>
          <w:szCs w:val="22"/>
        </w:rPr>
        <w:t xml:space="preserve">je pro udržování anestézie pro zákroky trvající déle než 5 až 10 minut použit tento </w:t>
      </w:r>
      <w:r w:rsidRPr="00BC5942">
        <w:rPr>
          <w:szCs w:val="22"/>
        </w:rPr>
        <w:t>veterinární léčivý příprav</w:t>
      </w:r>
      <w:r>
        <w:rPr>
          <w:szCs w:val="22"/>
        </w:rPr>
        <w:t>e</w:t>
      </w:r>
      <w:r w:rsidRPr="00BC5942">
        <w:rPr>
          <w:szCs w:val="22"/>
        </w:rPr>
        <w:t xml:space="preserve">k, lze pro udržení požadované úrovně anestezie a její trvání ponechat v cévě motýlkovou jehlu nebo </w:t>
      </w:r>
      <w:r>
        <w:rPr>
          <w:szCs w:val="22"/>
        </w:rPr>
        <w:t xml:space="preserve">kanylu </w:t>
      </w:r>
      <w:r w:rsidRPr="00BC5942">
        <w:rPr>
          <w:szCs w:val="22"/>
        </w:rPr>
        <w:t xml:space="preserve">a malá množství veterinárního léčivého přípravku </w:t>
      </w:r>
      <w:r>
        <w:rPr>
          <w:szCs w:val="22"/>
        </w:rPr>
        <w:t xml:space="preserve">potřebná k udržení hloubky a délky trvání anestézie </w:t>
      </w:r>
      <w:r w:rsidRPr="00BC5942">
        <w:rPr>
          <w:szCs w:val="22"/>
        </w:rPr>
        <w:t xml:space="preserve">následně aplikovat injekčně. Při použití veterinárního léčivého přípravku k udržení anestezie trvá </w:t>
      </w:r>
      <w:r>
        <w:rPr>
          <w:szCs w:val="22"/>
        </w:rPr>
        <w:t xml:space="preserve">fáze vyvedení z anestézie </w:t>
      </w:r>
      <w:r w:rsidRPr="00BC5942">
        <w:rPr>
          <w:szCs w:val="22"/>
        </w:rPr>
        <w:t>ve většině případů v průměru déle než při použití inhalačního plynu jako udržovací látky.</w:t>
      </w:r>
    </w:p>
    <w:p w:rsidR="00554D84" w:rsidRPr="00401AB8" w:rsidRDefault="00554D84"/>
    <w:p w:rsidR="00554D84" w:rsidRPr="00F75554" w:rsidRDefault="00554D84">
      <w:r w:rsidRPr="00F75554">
        <w:rPr>
          <w:b/>
        </w:rPr>
        <w:t>9.</w:t>
      </w:r>
      <w:r w:rsidRPr="00F75554">
        <w:rPr>
          <w:b/>
        </w:rPr>
        <w:tab/>
        <w:t>POKYNY PRO SPRÁVNÉ PODÁNÍ</w:t>
      </w:r>
    </w:p>
    <w:p w:rsidR="00401AB8" w:rsidRDefault="00401AB8" w:rsidP="00042E07">
      <w:pPr>
        <w:ind w:left="0" w:firstLine="0"/>
        <w:rPr>
          <w:szCs w:val="22"/>
        </w:rPr>
      </w:pPr>
    </w:p>
    <w:p w:rsidR="00ED238E" w:rsidRPr="00F75554" w:rsidRDefault="00ED238E"/>
    <w:p w:rsidR="00554D84" w:rsidRPr="00F75554" w:rsidRDefault="00554D84">
      <w:r w:rsidRPr="00F75554">
        <w:rPr>
          <w:b/>
        </w:rPr>
        <w:t>10.</w:t>
      </w:r>
      <w:r w:rsidRPr="00F75554">
        <w:rPr>
          <w:b/>
        </w:rPr>
        <w:tab/>
        <w:t>OCHRANNÁ</w:t>
      </w:r>
      <w:r w:rsidR="00500E09">
        <w:rPr>
          <w:b/>
        </w:rPr>
        <w:t>(É)</w:t>
      </w:r>
      <w:r w:rsidRPr="00F75554">
        <w:rPr>
          <w:b/>
        </w:rPr>
        <w:t xml:space="preserve"> LHŮTA</w:t>
      </w:r>
      <w:r w:rsidR="00500E09">
        <w:rPr>
          <w:b/>
        </w:rPr>
        <w:t>(Y)</w:t>
      </w:r>
      <w:r w:rsidRPr="00F75554">
        <w:rPr>
          <w:b/>
        </w:rPr>
        <w:t xml:space="preserve"> </w:t>
      </w:r>
    </w:p>
    <w:p w:rsidR="00554D84" w:rsidRPr="00F75554" w:rsidRDefault="00554D84">
      <w:pPr>
        <w:rPr>
          <w:iCs/>
        </w:rPr>
      </w:pPr>
    </w:p>
    <w:p w:rsidR="00ED238E" w:rsidRPr="00F75554" w:rsidRDefault="0096188B">
      <w:pPr>
        <w:rPr>
          <w:iCs/>
        </w:rPr>
      </w:pPr>
      <w:r>
        <w:rPr>
          <w:szCs w:val="22"/>
        </w:rPr>
        <w:t xml:space="preserve"> Není určeno pro potravinová zvířata. </w:t>
      </w:r>
    </w:p>
    <w:p w:rsidR="001E6B92" w:rsidRDefault="001E6B92">
      <w:pPr>
        <w:rPr>
          <w:b/>
        </w:rPr>
      </w:pPr>
    </w:p>
    <w:p w:rsidR="00554D84" w:rsidRPr="00F75554" w:rsidRDefault="00554D84">
      <w:r w:rsidRPr="00F75554">
        <w:rPr>
          <w:b/>
        </w:rPr>
        <w:t>11.</w:t>
      </w:r>
      <w:r w:rsidRPr="00F75554">
        <w:rPr>
          <w:b/>
        </w:rPr>
        <w:tab/>
        <w:t>ZVLÁŠTNÍ OPATŘENÍ PRO UCHOVÁVÁNÍ</w:t>
      </w:r>
    </w:p>
    <w:p w:rsidR="00554D84" w:rsidRPr="00F75554" w:rsidRDefault="00554D84"/>
    <w:p w:rsidR="00554D84" w:rsidRPr="00F75554" w:rsidRDefault="00554D84">
      <w:r w:rsidRPr="00F75554">
        <w:t>Uchovávat mimo dosah dětí.</w:t>
      </w:r>
    </w:p>
    <w:p w:rsidR="00637C35" w:rsidRDefault="00637C35" w:rsidP="00750F70">
      <w:pPr>
        <w:keepNext/>
        <w:keepLines/>
        <w:rPr>
          <w:szCs w:val="22"/>
        </w:rPr>
      </w:pPr>
      <w:r>
        <w:rPr>
          <w:szCs w:val="22"/>
        </w:rPr>
        <w:t>Chraňte před mrazem.</w:t>
      </w:r>
    </w:p>
    <w:p w:rsidR="00750F70" w:rsidRPr="00BC5942" w:rsidRDefault="00750F70" w:rsidP="00750F70">
      <w:pPr>
        <w:keepNext/>
        <w:keepLines/>
        <w:rPr>
          <w:szCs w:val="22"/>
        </w:rPr>
      </w:pPr>
      <w:r>
        <w:rPr>
          <w:szCs w:val="22"/>
        </w:rPr>
        <w:t>Uchováve</w:t>
      </w:r>
      <w:r w:rsidR="00637C35">
        <w:rPr>
          <w:szCs w:val="22"/>
        </w:rPr>
        <w:t>j</w:t>
      </w:r>
      <w:r>
        <w:rPr>
          <w:szCs w:val="22"/>
        </w:rPr>
        <w:t xml:space="preserve">te </w:t>
      </w:r>
      <w:r w:rsidR="00637C35">
        <w:rPr>
          <w:szCs w:val="22"/>
        </w:rPr>
        <w:t>lahvičku</w:t>
      </w:r>
      <w:r>
        <w:rPr>
          <w:szCs w:val="22"/>
        </w:rPr>
        <w:t xml:space="preserve"> ve vnější papírové krabičce.</w:t>
      </w:r>
    </w:p>
    <w:p w:rsidR="00ED238E" w:rsidRPr="00BC5942" w:rsidRDefault="00ED238E" w:rsidP="00ED238E">
      <w:pPr>
        <w:ind w:left="0" w:firstLine="0"/>
        <w:rPr>
          <w:szCs w:val="22"/>
        </w:rPr>
      </w:pPr>
      <w:r w:rsidRPr="00BC5942">
        <w:rPr>
          <w:szCs w:val="22"/>
        </w:rPr>
        <w:t xml:space="preserve">Tento přípravek neobsahuje antimikrobiální konzervační prostředky. </w:t>
      </w:r>
      <w:r w:rsidR="00750F70">
        <w:rPr>
          <w:szCs w:val="22"/>
        </w:rPr>
        <w:t>Veškerý</w:t>
      </w:r>
      <w:r w:rsidRPr="00BC5942">
        <w:rPr>
          <w:szCs w:val="22"/>
        </w:rPr>
        <w:t xml:space="preserve"> zbylý roztok v</w:t>
      </w:r>
      <w:r w:rsidR="00750F70">
        <w:rPr>
          <w:szCs w:val="22"/>
        </w:rPr>
        <w:t xml:space="preserve"> lahvičce </w:t>
      </w:r>
      <w:r w:rsidRPr="00BC5942">
        <w:rPr>
          <w:szCs w:val="22"/>
        </w:rPr>
        <w:t>je po odebrání požadované dávky nutné zlikvidovat.</w:t>
      </w:r>
    </w:p>
    <w:p w:rsidR="00EA67B0" w:rsidRPr="00F75554" w:rsidRDefault="00EA67B0">
      <w:pPr>
        <w:ind w:left="0" w:right="-318" w:firstLine="0"/>
      </w:pPr>
    </w:p>
    <w:p w:rsidR="00554D84" w:rsidRPr="00F75554" w:rsidRDefault="00554D84">
      <w:pPr>
        <w:rPr>
          <w:b/>
        </w:rPr>
      </w:pPr>
      <w:r w:rsidRPr="00F75554">
        <w:rPr>
          <w:b/>
        </w:rPr>
        <w:t>12.</w:t>
      </w:r>
      <w:r w:rsidRPr="00F75554">
        <w:rPr>
          <w:b/>
        </w:rPr>
        <w:tab/>
        <w:t>ZVLÁŠTNÍ UPOZORNĚNÍ</w:t>
      </w:r>
    </w:p>
    <w:p w:rsidR="00554D84" w:rsidRPr="00F75554" w:rsidRDefault="00554D84"/>
    <w:p w:rsidR="00ED238E" w:rsidRPr="00BC5942" w:rsidRDefault="00750F70" w:rsidP="00042E07">
      <w:pPr>
        <w:keepNext/>
        <w:ind w:left="0" w:firstLine="0"/>
        <w:jc w:val="both"/>
        <w:rPr>
          <w:b/>
          <w:szCs w:val="22"/>
        </w:rPr>
      </w:pPr>
      <w:r>
        <w:rPr>
          <w:b/>
          <w:szCs w:val="22"/>
        </w:rPr>
        <w:t>Inkompa</w:t>
      </w:r>
      <w:r w:rsidR="003262D6">
        <w:rPr>
          <w:b/>
          <w:szCs w:val="22"/>
        </w:rPr>
        <w:t>t</w:t>
      </w:r>
      <w:r>
        <w:rPr>
          <w:b/>
          <w:szCs w:val="22"/>
        </w:rPr>
        <w:t>i</w:t>
      </w:r>
      <w:r w:rsidR="003262D6">
        <w:rPr>
          <w:b/>
          <w:szCs w:val="22"/>
        </w:rPr>
        <w:t>b</w:t>
      </w:r>
      <w:r>
        <w:rPr>
          <w:b/>
          <w:szCs w:val="22"/>
        </w:rPr>
        <w:t>i</w:t>
      </w:r>
      <w:r w:rsidR="00F25EE3">
        <w:rPr>
          <w:b/>
          <w:szCs w:val="22"/>
        </w:rPr>
        <w:t>li</w:t>
      </w:r>
      <w:r>
        <w:rPr>
          <w:b/>
          <w:szCs w:val="22"/>
        </w:rPr>
        <w:t xml:space="preserve">ty </w:t>
      </w:r>
    </w:p>
    <w:p w:rsidR="00750F70" w:rsidRDefault="00750F70" w:rsidP="00042E07">
      <w:pPr>
        <w:ind w:left="0" w:firstLine="0"/>
        <w:jc w:val="both"/>
      </w:pPr>
      <w:r>
        <w:t>Studie kompatibility nejsou k dispozici, a proto tento veterinární léčivý přípravek nesmí být mísen s žádnými dalšími veterinárními léčivými přípravky.</w:t>
      </w:r>
    </w:p>
    <w:p w:rsidR="00ED238E" w:rsidRPr="00BC5942" w:rsidRDefault="00ED238E" w:rsidP="00042E07">
      <w:pPr>
        <w:ind w:left="0" w:firstLine="0"/>
        <w:jc w:val="both"/>
        <w:rPr>
          <w:b/>
          <w:szCs w:val="22"/>
        </w:rPr>
      </w:pPr>
    </w:p>
    <w:p w:rsidR="00ED238E" w:rsidRPr="00BC5942" w:rsidRDefault="00ED238E" w:rsidP="00042E07">
      <w:pPr>
        <w:ind w:left="0" w:firstLine="0"/>
        <w:jc w:val="both"/>
        <w:rPr>
          <w:b/>
          <w:szCs w:val="22"/>
        </w:rPr>
      </w:pPr>
      <w:r w:rsidRPr="00BC5942">
        <w:rPr>
          <w:b/>
          <w:szCs w:val="22"/>
        </w:rPr>
        <w:t xml:space="preserve">Zvláštní </w:t>
      </w:r>
      <w:r w:rsidR="00750F70">
        <w:rPr>
          <w:b/>
          <w:szCs w:val="22"/>
        </w:rPr>
        <w:t xml:space="preserve">opatření </w:t>
      </w:r>
      <w:r w:rsidRPr="00BC5942">
        <w:rPr>
          <w:b/>
          <w:szCs w:val="22"/>
        </w:rPr>
        <w:t>při použití u zvířat</w:t>
      </w:r>
    </w:p>
    <w:p w:rsidR="00750F70" w:rsidRPr="00BC5942" w:rsidRDefault="00773BEA" w:rsidP="00042E07">
      <w:pPr>
        <w:ind w:left="0" w:firstLine="0"/>
        <w:jc w:val="both"/>
        <w:rPr>
          <w:szCs w:val="22"/>
        </w:rPr>
      </w:pPr>
      <w:r w:rsidRPr="009B003A">
        <w:rPr>
          <w:szCs w:val="22"/>
        </w:rPr>
        <w:t xml:space="preserve">Analgetické vlastnosti </w:t>
      </w:r>
      <w:proofErr w:type="spellStart"/>
      <w:r w:rsidRPr="009B003A">
        <w:rPr>
          <w:szCs w:val="22"/>
        </w:rPr>
        <w:t>alfaxalon</w:t>
      </w:r>
      <w:r>
        <w:rPr>
          <w:szCs w:val="22"/>
        </w:rPr>
        <w:t>u</w:t>
      </w:r>
      <w:proofErr w:type="spellEnd"/>
      <w:r w:rsidRPr="009B003A">
        <w:rPr>
          <w:szCs w:val="22"/>
        </w:rPr>
        <w:t xml:space="preserve"> jsou omezeny. </w:t>
      </w:r>
      <w:r w:rsidR="00750F70">
        <w:rPr>
          <w:szCs w:val="22"/>
        </w:rPr>
        <w:t xml:space="preserve">V případě postupů, u kterých lze předpokládat, že vyvolají bolest, musí být poskytnuta vhodná </w:t>
      </w:r>
      <w:r>
        <w:rPr>
          <w:szCs w:val="22"/>
        </w:rPr>
        <w:t xml:space="preserve">perioperační </w:t>
      </w:r>
      <w:proofErr w:type="spellStart"/>
      <w:r w:rsidR="00750F70">
        <w:rPr>
          <w:szCs w:val="22"/>
        </w:rPr>
        <w:t>analgézie</w:t>
      </w:r>
      <w:proofErr w:type="spellEnd"/>
      <w:r w:rsidR="00750F70">
        <w:rPr>
          <w:szCs w:val="22"/>
        </w:rPr>
        <w:t xml:space="preserve">. </w:t>
      </w:r>
    </w:p>
    <w:p w:rsidR="00750F70" w:rsidRDefault="00750F70" w:rsidP="00042E07">
      <w:pPr>
        <w:ind w:left="0" w:firstLine="0"/>
        <w:jc w:val="both"/>
        <w:rPr>
          <w:szCs w:val="22"/>
        </w:rPr>
      </w:pPr>
      <w:r w:rsidRPr="00BC5942">
        <w:rPr>
          <w:szCs w:val="22"/>
        </w:rPr>
        <w:t>Bezpečnost veterinárního léčivého přípravku u zvířat mladších 12 týdnů nebyla prokázána.</w:t>
      </w:r>
    </w:p>
    <w:p w:rsidR="00AE5488" w:rsidRDefault="00AE5488" w:rsidP="00042E07">
      <w:pPr>
        <w:ind w:left="0" w:firstLine="0"/>
        <w:jc w:val="both"/>
        <w:rPr>
          <w:szCs w:val="22"/>
        </w:rPr>
      </w:pPr>
    </w:p>
    <w:p w:rsidR="00AE5488" w:rsidRPr="00BC5942" w:rsidRDefault="00AE5488" w:rsidP="00042E07">
      <w:pPr>
        <w:ind w:left="0" w:firstLine="0"/>
        <w:jc w:val="both"/>
        <w:rPr>
          <w:szCs w:val="22"/>
        </w:rPr>
      </w:pPr>
      <w:r w:rsidRPr="00BC5942">
        <w:rPr>
          <w:szCs w:val="22"/>
        </w:rPr>
        <w:t xml:space="preserve">Během </w:t>
      </w:r>
      <w:r>
        <w:rPr>
          <w:szCs w:val="22"/>
        </w:rPr>
        <w:t xml:space="preserve">fáze vyvedení z anestézie </w:t>
      </w:r>
      <w:r w:rsidRPr="00BC5942">
        <w:rPr>
          <w:szCs w:val="22"/>
        </w:rPr>
        <w:t xml:space="preserve">se doporučuje se zvířaty nemanipulovat, ani je nerušit. </w:t>
      </w:r>
      <w:r>
        <w:rPr>
          <w:szCs w:val="22"/>
        </w:rPr>
        <w:t>To může vyvolávat samovolné pádlovací pohyby končetin, drobné svalové záškuby nebo prudší pohyby. J</w:t>
      </w:r>
      <w:r w:rsidRPr="00BC5942">
        <w:rPr>
          <w:szCs w:val="22"/>
        </w:rPr>
        <w:t xml:space="preserve">e </w:t>
      </w:r>
      <w:r>
        <w:rPr>
          <w:szCs w:val="22"/>
        </w:rPr>
        <w:t>žádoucí přijmout opatření, která sníží riziko výskytu takových reakcí, v případě výskytu však tyto reakce nejsou klinicky významné.</w:t>
      </w:r>
    </w:p>
    <w:p w:rsidR="00750F70" w:rsidRPr="00BC5942" w:rsidRDefault="00750F70" w:rsidP="00042E07">
      <w:pPr>
        <w:ind w:left="0" w:firstLine="0"/>
        <w:jc w:val="both"/>
        <w:rPr>
          <w:szCs w:val="22"/>
        </w:rPr>
      </w:pPr>
      <w:r w:rsidRPr="00BC5942">
        <w:rPr>
          <w:szCs w:val="22"/>
        </w:rPr>
        <w:t xml:space="preserve">Zejména u psů dochází často k přechodné post-indukční apnoe – </w:t>
      </w:r>
      <w:r>
        <w:rPr>
          <w:szCs w:val="22"/>
        </w:rPr>
        <w:t xml:space="preserve">podrobnosti  viz bod </w:t>
      </w:r>
      <w:r w:rsidR="00AE5488">
        <w:rPr>
          <w:szCs w:val="22"/>
        </w:rPr>
        <w:t>„Nežádoucí účinky“</w:t>
      </w:r>
      <w:r w:rsidRPr="00BC5942">
        <w:rPr>
          <w:szCs w:val="22"/>
        </w:rPr>
        <w:t xml:space="preserve">. V takových případech je třeba provést endotracheální intubaci a </w:t>
      </w:r>
      <w:r>
        <w:rPr>
          <w:szCs w:val="22"/>
        </w:rPr>
        <w:t>zahájit podávání kyslíku</w:t>
      </w:r>
      <w:r w:rsidRPr="00BC5942">
        <w:rPr>
          <w:szCs w:val="22"/>
        </w:rPr>
        <w:t xml:space="preserve">. </w:t>
      </w:r>
      <w:r>
        <w:rPr>
          <w:szCs w:val="22"/>
        </w:rPr>
        <w:t>Před podáním přípravku j</w:t>
      </w:r>
      <w:r w:rsidRPr="00BC5942">
        <w:rPr>
          <w:szCs w:val="22"/>
        </w:rPr>
        <w:t xml:space="preserve">e třeba </w:t>
      </w:r>
      <w:r>
        <w:rPr>
          <w:szCs w:val="22"/>
        </w:rPr>
        <w:t xml:space="preserve">se ujistit, že jsou k dispozici prostředky k zajištění přerušované </w:t>
      </w:r>
      <w:r w:rsidRPr="00BC5942">
        <w:rPr>
          <w:szCs w:val="22"/>
        </w:rPr>
        <w:t xml:space="preserve">ventilace </w:t>
      </w:r>
      <w:r>
        <w:rPr>
          <w:szCs w:val="22"/>
        </w:rPr>
        <w:t xml:space="preserve">pozitivním </w:t>
      </w:r>
      <w:r w:rsidRPr="00BC5942">
        <w:rPr>
          <w:szCs w:val="22"/>
        </w:rPr>
        <w:t>přetlakem.</w:t>
      </w:r>
    </w:p>
    <w:p w:rsidR="00750F70" w:rsidRPr="00BC5942" w:rsidRDefault="00750F70" w:rsidP="00042E07">
      <w:pPr>
        <w:ind w:left="0" w:firstLine="0"/>
        <w:jc w:val="both"/>
        <w:rPr>
          <w:szCs w:val="22"/>
        </w:rPr>
      </w:pPr>
    </w:p>
    <w:p w:rsidR="00750F70" w:rsidRPr="00BC5942" w:rsidRDefault="00750F70" w:rsidP="00042E07">
      <w:pPr>
        <w:ind w:left="0" w:firstLine="0"/>
        <w:jc w:val="both"/>
        <w:rPr>
          <w:szCs w:val="22"/>
        </w:rPr>
      </w:pPr>
      <w:r>
        <w:rPr>
          <w:szCs w:val="22"/>
        </w:rPr>
        <w:t xml:space="preserve">K minimalizaci </w:t>
      </w:r>
      <w:r w:rsidRPr="00BC5942">
        <w:rPr>
          <w:szCs w:val="22"/>
        </w:rPr>
        <w:t>rizik</w:t>
      </w:r>
      <w:r>
        <w:rPr>
          <w:szCs w:val="22"/>
        </w:rPr>
        <w:t>a</w:t>
      </w:r>
      <w:r w:rsidRPr="00BC5942">
        <w:rPr>
          <w:szCs w:val="22"/>
        </w:rPr>
        <w:t xml:space="preserve"> </w:t>
      </w:r>
      <w:r>
        <w:rPr>
          <w:szCs w:val="22"/>
        </w:rPr>
        <w:t xml:space="preserve">výskytu </w:t>
      </w:r>
      <w:r w:rsidRPr="00BC5942">
        <w:rPr>
          <w:szCs w:val="22"/>
        </w:rPr>
        <w:t xml:space="preserve">apnoe, aplikujte veterinární léčivý přípravek pomalou intravenózní injekcí </w:t>
      </w:r>
      <w:r w:rsidR="00AE5488">
        <w:rPr>
          <w:szCs w:val="22"/>
        </w:rPr>
        <w:t xml:space="preserve">(po dobu přibližně 60 sekund) </w:t>
      </w:r>
      <w:r w:rsidRPr="00BC5942">
        <w:rPr>
          <w:szCs w:val="22"/>
        </w:rPr>
        <w:t xml:space="preserve">a nikoli </w:t>
      </w:r>
      <w:r>
        <w:rPr>
          <w:szCs w:val="22"/>
        </w:rPr>
        <w:t>jako rychlý bolus</w:t>
      </w:r>
      <w:r w:rsidRPr="00BC5942">
        <w:rPr>
          <w:szCs w:val="22"/>
        </w:rPr>
        <w:t xml:space="preserve">. </w:t>
      </w:r>
    </w:p>
    <w:p w:rsidR="00750F70" w:rsidRPr="00BC5942" w:rsidRDefault="00750F70" w:rsidP="00042E07">
      <w:pPr>
        <w:ind w:left="0" w:firstLine="0"/>
        <w:jc w:val="both"/>
        <w:rPr>
          <w:szCs w:val="22"/>
        </w:rPr>
      </w:pPr>
    </w:p>
    <w:p w:rsidR="00750F70" w:rsidRPr="00BC5942" w:rsidRDefault="00750F70" w:rsidP="00042E07">
      <w:pPr>
        <w:ind w:left="0" w:firstLine="0"/>
        <w:jc w:val="both"/>
        <w:rPr>
          <w:szCs w:val="22"/>
        </w:rPr>
      </w:pPr>
      <w:r w:rsidRPr="00BC5942">
        <w:rPr>
          <w:szCs w:val="22"/>
        </w:rPr>
        <w:t xml:space="preserve">Zejména </w:t>
      </w:r>
      <w:r>
        <w:rPr>
          <w:szCs w:val="22"/>
        </w:rPr>
        <w:t xml:space="preserve">při použití </w:t>
      </w:r>
      <w:r w:rsidRPr="00BC5942">
        <w:rPr>
          <w:szCs w:val="22"/>
        </w:rPr>
        <w:t xml:space="preserve">vyšších dávek veterinárního léčivého přípravku může </w:t>
      </w:r>
      <w:r>
        <w:rPr>
          <w:szCs w:val="22"/>
        </w:rPr>
        <w:t>dojít k respirační depresi závislé na velikosti podané dávky</w:t>
      </w:r>
      <w:r w:rsidRPr="00BC5942">
        <w:rPr>
          <w:szCs w:val="22"/>
        </w:rPr>
        <w:t xml:space="preserve">. </w:t>
      </w:r>
      <w:r>
        <w:rPr>
          <w:szCs w:val="22"/>
        </w:rPr>
        <w:t xml:space="preserve">V takovém případě je potřeba k odvrácení hrozící </w:t>
      </w:r>
      <w:proofErr w:type="spellStart"/>
      <w:r>
        <w:rPr>
          <w:szCs w:val="22"/>
        </w:rPr>
        <w:t>hypoxemie</w:t>
      </w:r>
      <w:proofErr w:type="spellEnd"/>
      <w:r>
        <w:rPr>
          <w:szCs w:val="22"/>
        </w:rPr>
        <w:t>/</w:t>
      </w:r>
      <w:proofErr w:type="spellStart"/>
      <w:r>
        <w:rPr>
          <w:szCs w:val="22"/>
        </w:rPr>
        <w:t>hyperkapnie</w:t>
      </w:r>
      <w:proofErr w:type="spellEnd"/>
      <w:r>
        <w:rPr>
          <w:szCs w:val="22"/>
        </w:rPr>
        <w:t xml:space="preserve"> zahájit podávání kyslíku nebo zahájit přerušovanou </w:t>
      </w:r>
      <w:r w:rsidRPr="00BC5942">
        <w:rPr>
          <w:szCs w:val="22"/>
        </w:rPr>
        <w:t>ventilac</w:t>
      </w:r>
      <w:r>
        <w:rPr>
          <w:szCs w:val="22"/>
        </w:rPr>
        <w:t>i</w:t>
      </w:r>
      <w:r w:rsidRPr="00BC5942">
        <w:rPr>
          <w:szCs w:val="22"/>
        </w:rPr>
        <w:t xml:space="preserve"> </w:t>
      </w:r>
      <w:r>
        <w:rPr>
          <w:szCs w:val="22"/>
        </w:rPr>
        <w:t xml:space="preserve">pozitivním </w:t>
      </w:r>
      <w:r w:rsidRPr="00BC5942">
        <w:rPr>
          <w:szCs w:val="22"/>
        </w:rPr>
        <w:t>přetlakem</w:t>
      </w:r>
      <w:r>
        <w:rPr>
          <w:szCs w:val="22"/>
        </w:rPr>
        <w:t>.</w:t>
      </w:r>
      <w:r w:rsidRPr="00BC5942">
        <w:rPr>
          <w:szCs w:val="22"/>
        </w:rPr>
        <w:t xml:space="preserve"> </w:t>
      </w:r>
      <w:r w:rsidR="00B84937" w:rsidRPr="00BC5942">
        <w:rPr>
          <w:szCs w:val="22"/>
        </w:rPr>
        <w:t xml:space="preserve">To je </w:t>
      </w:r>
      <w:r w:rsidR="00B84937">
        <w:rPr>
          <w:szCs w:val="22"/>
        </w:rPr>
        <w:t xml:space="preserve">zvlášť </w:t>
      </w:r>
      <w:r w:rsidR="00B84937" w:rsidRPr="00BC5942">
        <w:rPr>
          <w:szCs w:val="22"/>
        </w:rPr>
        <w:t xml:space="preserve">důležité </w:t>
      </w:r>
      <w:r w:rsidR="00B84937">
        <w:rPr>
          <w:szCs w:val="22"/>
        </w:rPr>
        <w:t xml:space="preserve">v případech, kdy anestezie představuje zvýšené riziko </w:t>
      </w:r>
      <w:r>
        <w:rPr>
          <w:szCs w:val="22"/>
        </w:rPr>
        <w:t xml:space="preserve">a v případech, kdy musí být anestezie udržována po delší dobu. </w:t>
      </w:r>
    </w:p>
    <w:p w:rsidR="00750F70" w:rsidRPr="00BC5942" w:rsidRDefault="00750F70" w:rsidP="00042E07">
      <w:pPr>
        <w:pStyle w:val="Zkladntext2"/>
        <w:ind w:left="0" w:firstLine="0"/>
        <w:jc w:val="both"/>
        <w:rPr>
          <w:b w:val="0"/>
          <w:szCs w:val="22"/>
        </w:rPr>
      </w:pPr>
    </w:p>
    <w:p w:rsidR="00B84937" w:rsidRPr="009B003A" w:rsidRDefault="00750F70" w:rsidP="00042E07">
      <w:pPr>
        <w:pStyle w:val="Zkladntext2"/>
        <w:ind w:left="0" w:firstLine="0"/>
        <w:jc w:val="both"/>
        <w:rPr>
          <w:b w:val="0"/>
          <w:szCs w:val="22"/>
        </w:rPr>
      </w:pPr>
      <w:r>
        <w:rPr>
          <w:b w:val="0"/>
          <w:szCs w:val="22"/>
        </w:rPr>
        <w:t xml:space="preserve">V případě výrazného snížení </w:t>
      </w:r>
      <w:r w:rsidRPr="00CF76B5">
        <w:rPr>
          <w:b w:val="0"/>
          <w:szCs w:val="22"/>
        </w:rPr>
        <w:t>průtok</w:t>
      </w:r>
      <w:r>
        <w:rPr>
          <w:b w:val="0"/>
          <w:szCs w:val="22"/>
        </w:rPr>
        <w:t>u</w:t>
      </w:r>
      <w:r w:rsidRPr="00CF76B5">
        <w:rPr>
          <w:b w:val="0"/>
          <w:szCs w:val="22"/>
        </w:rPr>
        <w:t xml:space="preserve"> krve játry nebo </w:t>
      </w:r>
      <w:r>
        <w:rPr>
          <w:b w:val="0"/>
          <w:szCs w:val="22"/>
        </w:rPr>
        <w:t xml:space="preserve">závažného </w:t>
      </w:r>
      <w:r w:rsidRPr="00CF76B5">
        <w:rPr>
          <w:b w:val="0"/>
          <w:szCs w:val="22"/>
        </w:rPr>
        <w:t>poškození jaterních buněk</w:t>
      </w:r>
      <w:r>
        <w:rPr>
          <w:b w:val="0"/>
          <w:szCs w:val="22"/>
        </w:rPr>
        <w:t>,</w:t>
      </w:r>
      <w:r w:rsidRPr="00CF76B5">
        <w:rPr>
          <w:b w:val="0"/>
          <w:szCs w:val="22"/>
        </w:rPr>
        <w:t xml:space="preserve"> může u psů i </w:t>
      </w:r>
      <w:r>
        <w:rPr>
          <w:b w:val="0"/>
          <w:szCs w:val="22"/>
        </w:rPr>
        <w:t xml:space="preserve">u </w:t>
      </w:r>
      <w:r w:rsidRPr="00CF76B5">
        <w:rPr>
          <w:b w:val="0"/>
          <w:szCs w:val="22"/>
        </w:rPr>
        <w:t xml:space="preserve">koček </w:t>
      </w:r>
      <w:r>
        <w:rPr>
          <w:b w:val="0"/>
          <w:szCs w:val="22"/>
        </w:rPr>
        <w:t xml:space="preserve">dávkovací </w:t>
      </w:r>
      <w:r w:rsidRPr="00CF76B5">
        <w:rPr>
          <w:b w:val="0"/>
          <w:szCs w:val="22"/>
        </w:rPr>
        <w:t xml:space="preserve">interval </w:t>
      </w:r>
      <w:r>
        <w:rPr>
          <w:b w:val="0"/>
          <w:szCs w:val="22"/>
        </w:rPr>
        <w:t xml:space="preserve">pro udržování anestézie přerušovaným podáním bolu přípravku vyžadovat prodloužení o více než 20%, nebo udržovací dávka při kontinuální intravenózní infuzi snížení o více než 20%. </w:t>
      </w:r>
      <w:r w:rsidR="00B84937" w:rsidRPr="009B003A">
        <w:rPr>
          <w:b w:val="0"/>
          <w:szCs w:val="22"/>
        </w:rPr>
        <w:t xml:space="preserve">U koček nebo psů s renální </w:t>
      </w:r>
      <w:r w:rsidR="00B84937">
        <w:rPr>
          <w:b w:val="0"/>
          <w:szCs w:val="22"/>
        </w:rPr>
        <w:t xml:space="preserve">insuficiencí může být potřebné snížení </w:t>
      </w:r>
      <w:r w:rsidR="00B84937" w:rsidRPr="009B003A">
        <w:rPr>
          <w:b w:val="0"/>
          <w:szCs w:val="22"/>
        </w:rPr>
        <w:t>dáv</w:t>
      </w:r>
      <w:r w:rsidR="00B84937">
        <w:rPr>
          <w:b w:val="0"/>
          <w:szCs w:val="22"/>
        </w:rPr>
        <w:t>ek</w:t>
      </w:r>
      <w:r w:rsidR="00B84937" w:rsidRPr="009B003A">
        <w:rPr>
          <w:b w:val="0"/>
          <w:szCs w:val="22"/>
        </w:rPr>
        <w:t xml:space="preserve"> pro indukci a </w:t>
      </w:r>
      <w:r w:rsidR="00B84937">
        <w:rPr>
          <w:b w:val="0"/>
          <w:szCs w:val="22"/>
        </w:rPr>
        <w:t xml:space="preserve">udržování anestézie. </w:t>
      </w:r>
    </w:p>
    <w:p w:rsidR="00750F70" w:rsidRDefault="00750F70" w:rsidP="00042E07">
      <w:pPr>
        <w:pStyle w:val="Zkladntext2"/>
        <w:ind w:left="0" w:firstLine="0"/>
        <w:jc w:val="both"/>
        <w:rPr>
          <w:b w:val="0"/>
          <w:szCs w:val="22"/>
        </w:rPr>
      </w:pPr>
    </w:p>
    <w:p w:rsidR="00750F70" w:rsidRPr="00CF76B5" w:rsidRDefault="00750F70" w:rsidP="00750F70">
      <w:pPr>
        <w:pStyle w:val="Zkladntext2"/>
        <w:ind w:left="0" w:firstLine="0"/>
        <w:rPr>
          <w:b w:val="0"/>
          <w:szCs w:val="22"/>
        </w:rPr>
      </w:pPr>
      <w:r w:rsidRPr="00CF76B5">
        <w:rPr>
          <w:b w:val="0"/>
          <w:szCs w:val="22"/>
        </w:rPr>
        <w:t xml:space="preserve">Stejně jako u všech celkových anestetik platí: </w:t>
      </w:r>
    </w:p>
    <w:p w:rsidR="00750F70" w:rsidRPr="00BC5942" w:rsidRDefault="00750F70" w:rsidP="00042E07">
      <w:pPr>
        <w:numPr>
          <w:ilvl w:val="0"/>
          <w:numId w:val="43"/>
        </w:numPr>
        <w:tabs>
          <w:tab w:val="clear" w:pos="720"/>
          <w:tab w:val="left" w:pos="567"/>
          <w:tab w:val="num" w:pos="1134"/>
        </w:tabs>
        <w:spacing w:line="260" w:lineRule="exact"/>
        <w:ind w:left="0" w:firstLine="0"/>
        <w:jc w:val="both"/>
        <w:rPr>
          <w:szCs w:val="22"/>
        </w:rPr>
      </w:pPr>
      <w:r w:rsidRPr="00BC5942">
        <w:rPr>
          <w:szCs w:val="22"/>
        </w:rPr>
        <w:t xml:space="preserve">Před podáním anestetika by zvíře mělo </w:t>
      </w:r>
      <w:r>
        <w:rPr>
          <w:szCs w:val="22"/>
        </w:rPr>
        <w:t>být vylačněno</w:t>
      </w:r>
      <w:r w:rsidRPr="00BC5942">
        <w:rPr>
          <w:szCs w:val="22"/>
        </w:rPr>
        <w:t>.</w:t>
      </w:r>
    </w:p>
    <w:p w:rsidR="00750F70" w:rsidRPr="00BC5942" w:rsidRDefault="00750F70" w:rsidP="00042E07">
      <w:pPr>
        <w:pStyle w:val="Zkladntextodsazen3"/>
        <w:numPr>
          <w:ilvl w:val="0"/>
          <w:numId w:val="43"/>
        </w:numPr>
        <w:tabs>
          <w:tab w:val="clear" w:pos="720"/>
          <w:tab w:val="num" w:pos="567"/>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szCs w:val="22"/>
        </w:rPr>
      </w:pPr>
      <w:r w:rsidRPr="00BC5942">
        <w:rPr>
          <w:szCs w:val="22"/>
        </w:rPr>
        <w:t xml:space="preserve">Doporučuje se další monitorování a zvláštní pozornost je třeba věnovat respiračním parametrům u starších zvířat a v případech, kdy se u zvířat vyskytuje další fyziologický stres vyvolaný </w:t>
      </w:r>
      <w:r>
        <w:rPr>
          <w:szCs w:val="22"/>
        </w:rPr>
        <w:t xml:space="preserve">přítomností patologického procesu, </w:t>
      </w:r>
      <w:r w:rsidRPr="00BC5942">
        <w:rPr>
          <w:szCs w:val="22"/>
        </w:rPr>
        <w:t>šokem nebo císařským řezem.</w:t>
      </w:r>
    </w:p>
    <w:p w:rsidR="00750F70" w:rsidRPr="00BC5942" w:rsidRDefault="00750F70" w:rsidP="00042E07">
      <w:pPr>
        <w:pStyle w:val="Zkladntextodsazen3"/>
        <w:numPr>
          <w:ilvl w:val="0"/>
          <w:numId w:val="43"/>
        </w:numPr>
        <w:tabs>
          <w:tab w:val="clear" w:pos="720"/>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jc w:val="both"/>
        <w:rPr>
          <w:szCs w:val="22"/>
        </w:rPr>
      </w:pPr>
      <w:r w:rsidRPr="00BC5942">
        <w:rPr>
          <w:szCs w:val="22"/>
        </w:rPr>
        <w:t xml:space="preserve">Po </w:t>
      </w:r>
      <w:r>
        <w:rPr>
          <w:szCs w:val="22"/>
        </w:rPr>
        <w:t xml:space="preserve">úvodu do </w:t>
      </w:r>
      <w:r w:rsidRPr="00BC5942">
        <w:rPr>
          <w:szCs w:val="22"/>
        </w:rPr>
        <w:t xml:space="preserve">anestezie se </w:t>
      </w:r>
      <w:r>
        <w:rPr>
          <w:szCs w:val="22"/>
        </w:rPr>
        <w:t xml:space="preserve">k </w:t>
      </w:r>
      <w:r w:rsidRPr="00BC5942">
        <w:rPr>
          <w:szCs w:val="22"/>
        </w:rPr>
        <w:t xml:space="preserve">udržení průchodnosti </w:t>
      </w:r>
      <w:r>
        <w:rPr>
          <w:szCs w:val="22"/>
        </w:rPr>
        <w:t xml:space="preserve">dýchacích cest </w:t>
      </w:r>
      <w:r w:rsidRPr="00BC5942">
        <w:rPr>
          <w:szCs w:val="22"/>
        </w:rPr>
        <w:t>doporučuje použití endotracheální trubic</w:t>
      </w:r>
      <w:r>
        <w:rPr>
          <w:szCs w:val="22"/>
        </w:rPr>
        <w:t>i</w:t>
      </w:r>
      <w:r w:rsidRPr="00BC5942">
        <w:rPr>
          <w:szCs w:val="22"/>
        </w:rPr>
        <w:t>.</w:t>
      </w:r>
    </w:p>
    <w:p w:rsidR="00750F70" w:rsidRPr="00BC5942" w:rsidRDefault="00750F70" w:rsidP="00042E07">
      <w:pPr>
        <w:pStyle w:val="Zkladntextodsazen3"/>
        <w:numPr>
          <w:ilvl w:val="0"/>
          <w:numId w:val="43"/>
        </w:numPr>
        <w:tabs>
          <w:tab w:val="clear" w:pos="720"/>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szCs w:val="22"/>
        </w:rPr>
      </w:pPr>
      <w:r w:rsidRPr="00BC5942">
        <w:rPr>
          <w:szCs w:val="22"/>
        </w:rPr>
        <w:t xml:space="preserve">Během </w:t>
      </w:r>
      <w:r>
        <w:rPr>
          <w:szCs w:val="22"/>
        </w:rPr>
        <w:t xml:space="preserve">fáze </w:t>
      </w:r>
      <w:r w:rsidRPr="00BC5942">
        <w:rPr>
          <w:szCs w:val="22"/>
        </w:rPr>
        <w:t xml:space="preserve">udržování anestezie je vhodné </w:t>
      </w:r>
      <w:r>
        <w:rPr>
          <w:szCs w:val="22"/>
        </w:rPr>
        <w:t xml:space="preserve">podávat </w:t>
      </w:r>
      <w:r w:rsidRPr="00BC5942">
        <w:rPr>
          <w:szCs w:val="22"/>
        </w:rPr>
        <w:t xml:space="preserve">přídavný kyslík. </w:t>
      </w:r>
    </w:p>
    <w:p w:rsidR="00750F70" w:rsidRPr="00CF76B5" w:rsidRDefault="00750F70" w:rsidP="00042E07">
      <w:pPr>
        <w:pStyle w:val="Zkladntext2"/>
        <w:numPr>
          <w:ilvl w:val="0"/>
          <w:numId w:val="43"/>
        </w:numPr>
        <w:tabs>
          <w:tab w:val="clear" w:pos="720"/>
          <w:tab w:val="left" w:pos="567"/>
          <w:tab w:val="num" w:pos="2127"/>
        </w:tabs>
        <w:ind w:left="567" w:hanging="567"/>
        <w:jc w:val="both"/>
        <w:rPr>
          <w:b w:val="0"/>
          <w:szCs w:val="22"/>
        </w:rPr>
      </w:pPr>
      <w:r w:rsidRPr="00CF76B5">
        <w:rPr>
          <w:b w:val="0"/>
          <w:szCs w:val="22"/>
        </w:rPr>
        <w:t>Může dojít k respiračním potížím – pokud nasycení hemoglobinu kyslíkem (SpO</w:t>
      </w:r>
      <w:r w:rsidRPr="00CF76B5">
        <w:rPr>
          <w:b w:val="0"/>
          <w:szCs w:val="22"/>
          <w:vertAlign w:val="subscript"/>
        </w:rPr>
        <w:t>2</w:t>
      </w:r>
      <w:r w:rsidRPr="00CF76B5">
        <w:rPr>
          <w:b w:val="0"/>
          <w:szCs w:val="22"/>
        </w:rPr>
        <w:t>%) klesne pod 90 % nebo pokud apnoe přetrvává déle než 60 sekund, je třeba zvážit ventilaci plic kyslíkem.</w:t>
      </w:r>
    </w:p>
    <w:p w:rsidR="00750F70" w:rsidRPr="00CF76B5" w:rsidRDefault="00750F70" w:rsidP="00042E07">
      <w:pPr>
        <w:pStyle w:val="Zkladntext2"/>
        <w:numPr>
          <w:ilvl w:val="0"/>
          <w:numId w:val="43"/>
        </w:numPr>
        <w:tabs>
          <w:tab w:val="clear" w:pos="720"/>
          <w:tab w:val="num" w:pos="567"/>
          <w:tab w:val="left" w:pos="1418"/>
          <w:tab w:val="num" w:pos="2127"/>
        </w:tabs>
        <w:ind w:left="567" w:hanging="567"/>
        <w:jc w:val="both"/>
        <w:rPr>
          <w:b w:val="0"/>
          <w:szCs w:val="22"/>
        </w:rPr>
      </w:pPr>
      <w:r w:rsidRPr="00CF76B5">
        <w:rPr>
          <w:b w:val="0"/>
          <w:szCs w:val="22"/>
        </w:rPr>
        <w:lastRenderedPageBreak/>
        <w:t>Při detekci srdeční arytmie je třeba věnovat pozornost především respirační ventilaci kyslíkem a následně příslušné srdeční terapii nebo intervenci.</w:t>
      </w:r>
    </w:p>
    <w:p w:rsidR="00750F70" w:rsidRPr="00BC5942" w:rsidRDefault="00750F70" w:rsidP="00042E0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szCs w:val="22"/>
        </w:rPr>
      </w:pPr>
    </w:p>
    <w:p w:rsidR="00750F70" w:rsidRPr="00BC5942" w:rsidRDefault="00750F70" w:rsidP="00042E07">
      <w:pPr>
        <w:ind w:left="0" w:firstLine="0"/>
        <w:jc w:val="both"/>
        <w:rPr>
          <w:szCs w:val="22"/>
        </w:rPr>
      </w:pPr>
      <w:r>
        <w:rPr>
          <w:szCs w:val="22"/>
        </w:rPr>
        <w:t>Ve fázi vyvedení z anestézie při použití tohoto veterinárního léčivého přípravku je možné u</w:t>
      </w:r>
      <w:r w:rsidRPr="00BC5942">
        <w:rPr>
          <w:szCs w:val="22"/>
        </w:rPr>
        <w:t xml:space="preserve"> malého počtu psů a koček pozorovat psychomotorické podráždění. </w:t>
      </w:r>
      <w:r>
        <w:rPr>
          <w:szCs w:val="22"/>
        </w:rPr>
        <w:t>Vyveden</w:t>
      </w:r>
      <w:r w:rsidR="00B84937">
        <w:rPr>
          <w:szCs w:val="22"/>
        </w:rPr>
        <w:t>í</w:t>
      </w:r>
      <w:r>
        <w:rPr>
          <w:szCs w:val="22"/>
        </w:rPr>
        <w:t xml:space="preserve"> z anestézie </w:t>
      </w:r>
      <w:r w:rsidRPr="00BC5942">
        <w:rPr>
          <w:szCs w:val="22"/>
        </w:rPr>
        <w:t>by proto mělo probíhat ve vhodném zařízení s dostatečným dozorem. Použití benzodiazepinu jako jediné premedikační látky může pravděpodobnost psychomotorického podráždění zvýšit.</w:t>
      </w:r>
    </w:p>
    <w:p w:rsidR="00750F70" w:rsidRPr="00BC5942" w:rsidRDefault="00750F70" w:rsidP="00042E07">
      <w:pPr>
        <w:ind w:left="0" w:firstLine="0"/>
        <w:jc w:val="both"/>
        <w:rPr>
          <w:szCs w:val="22"/>
        </w:rPr>
      </w:pPr>
    </w:p>
    <w:p w:rsidR="00ED238E" w:rsidRPr="00BC5942" w:rsidRDefault="00ED238E" w:rsidP="00042E07">
      <w:pPr>
        <w:pStyle w:val="Zkladntext"/>
        <w:tabs>
          <w:tab w:val="left" w:pos="10080"/>
        </w:tabs>
        <w:ind w:left="0" w:firstLine="0"/>
        <w:rPr>
          <w:b/>
          <w:szCs w:val="22"/>
        </w:rPr>
      </w:pPr>
      <w:r w:rsidRPr="00BC5942">
        <w:rPr>
          <w:b/>
          <w:szCs w:val="22"/>
        </w:rPr>
        <w:t xml:space="preserve">Použití během </w:t>
      </w:r>
      <w:r w:rsidR="00732CB5">
        <w:rPr>
          <w:b/>
          <w:szCs w:val="22"/>
        </w:rPr>
        <w:t>březosti</w:t>
      </w:r>
      <w:r w:rsidR="00732CB5" w:rsidRPr="00BC5942">
        <w:rPr>
          <w:b/>
          <w:szCs w:val="22"/>
        </w:rPr>
        <w:t xml:space="preserve"> </w:t>
      </w:r>
      <w:r w:rsidRPr="00BC5942">
        <w:rPr>
          <w:b/>
          <w:szCs w:val="22"/>
        </w:rPr>
        <w:t>a laktace</w:t>
      </w:r>
    </w:p>
    <w:p w:rsidR="00732CB5" w:rsidRPr="00BC5942" w:rsidRDefault="00750F70" w:rsidP="00042E07">
      <w:pPr>
        <w:keepNext/>
        <w:keepLines/>
        <w:ind w:left="0" w:firstLine="0"/>
        <w:jc w:val="both"/>
        <w:rPr>
          <w:szCs w:val="22"/>
        </w:rPr>
      </w:pPr>
      <w:r>
        <w:rPr>
          <w:szCs w:val="22"/>
        </w:rPr>
        <w:t>Nebyla stanovena b</w:t>
      </w:r>
      <w:r w:rsidRPr="00BC5942">
        <w:rPr>
          <w:szCs w:val="22"/>
        </w:rPr>
        <w:t>ezpečnost veterinárního léčivého přípravku v</w:t>
      </w:r>
      <w:r>
        <w:rPr>
          <w:szCs w:val="22"/>
        </w:rPr>
        <w:t> </w:t>
      </w:r>
      <w:r w:rsidRPr="00BC5942">
        <w:rPr>
          <w:szCs w:val="22"/>
        </w:rPr>
        <w:t>případech</w:t>
      </w:r>
      <w:r>
        <w:rPr>
          <w:szCs w:val="22"/>
        </w:rPr>
        <w:t xml:space="preserve">, kdy je žádoucí zachování březosti nebo v průběhu </w:t>
      </w:r>
      <w:r w:rsidRPr="00BC5942">
        <w:rPr>
          <w:szCs w:val="22"/>
        </w:rPr>
        <w:t>laktace</w:t>
      </w:r>
      <w:r>
        <w:rPr>
          <w:szCs w:val="22"/>
        </w:rPr>
        <w:t>.</w:t>
      </w:r>
      <w:r w:rsidRPr="00BC5942">
        <w:rPr>
          <w:szCs w:val="22"/>
        </w:rPr>
        <w:t xml:space="preserve"> </w:t>
      </w:r>
      <w:r>
        <w:rPr>
          <w:szCs w:val="22"/>
        </w:rPr>
        <w:t>Nebyly hodnoceny účinky na plodnost. Studie s alfaxalonem prováděné na březích myších, potkanech a králících nepodaly důkaz o škodlivých účincích na ošetřená zvířata, nebo na reprodukční ukazatele u jejich potomstva.</w:t>
      </w:r>
      <w:r w:rsidR="008062A4">
        <w:rPr>
          <w:szCs w:val="22"/>
        </w:rPr>
        <w:t xml:space="preserve"> </w:t>
      </w:r>
      <w:r w:rsidR="00B84937">
        <w:rPr>
          <w:szCs w:val="22"/>
        </w:rPr>
        <w:t xml:space="preserve">Přípravek by měl být </w:t>
      </w:r>
      <w:r w:rsidR="00845A39">
        <w:rPr>
          <w:szCs w:val="22"/>
        </w:rPr>
        <w:t>použit</w:t>
      </w:r>
      <w:r>
        <w:rPr>
          <w:szCs w:val="22"/>
        </w:rPr>
        <w:t xml:space="preserve">u březích zvířat pouze na základě zvážení </w:t>
      </w:r>
      <w:r w:rsidR="00732CB5">
        <w:rPr>
          <w:szCs w:val="22"/>
        </w:rPr>
        <w:t xml:space="preserve">poměru </w:t>
      </w:r>
      <w:r>
        <w:rPr>
          <w:szCs w:val="22"/>
        </w:rPr>
        <w:t xml:space="preserve">terapeutického prospěchu a rizika příslušným veterinárním lékařem. </w:t>
      </w:r>
      <w:r w:rsidR="00732CB5">
        <w:rPr>
          <w:szCs w:val="22"/>
        </w:rPr>
        <w:t>Přípravek</w:t>
      </w:r>
      <w:r w:rsidR="00732CB5" w:rsidRPr="00F83D77">
        <w:rPr>
          <w:szCs w:val="22"/>
        </w:rPr>
        <w:t xml:space="preserve"> byl bezpečně používán u psů pro indukci anestezie před </w:t>
      </w:r>
      <w:r w:rsidR="00732CB5">
        <w:rPr>
          <w:szCs w:val="22"/>
        </w:rPr>
        <w:t>porodem</w:t>
      </w:r>
      <w:r w:rsidR="00732CB5" w:rsidRPr="00F83D77">
        <w:rPr>
          <w:szCs w:val="22"/>
        </w:rPr>
        <w:t xml:space="preserve"> štěňat císařským řezem. V těchto studiích </w:t>
      </w:r>
      <w:r w:rsidR="00732CB5">
        <w:rPr>
          <w:szCs w:val="22"/>
        </w:rPr>
        <w:t xml:space="preserve">nebyli </w:t>
      </w:r>
      <w:r w:rsidR="00732CB5" w:rsidRPr="00F83D77">
        <w:rPr>
          <w:szCs w:val="22"/>
        </w:rPr>
        <w:t xml:space="preserve">psi </w:t>
      </w:r>
      <w:proofErr w:type="spellStart"/>
      <w:r w:rsidR="00732CB5" w:rsidRPr="00F83D77">
        <w:rPr>
          <w:szCs w:val="22"/>
        </w:rPr>
        <w:t>premedikováni</w:t>
      </w:r>
      <w:proofErr w:type="spellEnd"/>
      <w:r w:rsidR="00732CB5" w:rsidRPr="00F83D77">
        <w:rPr>
          <w:szCs w:val="22"/>
        </w:rPr>
        <w:t xml:space="preserve">, </w:t>
      </w:r>
      <w:r w:rsidR="00732CB5">
        <w:rPr>
          <w:szCs w:val="22"/>
        </w:rPr>
        <w:t xml:space="preserve">byla stanovena </w:t>
      </w:r>
      <w:r w:rsidR="00732CB5" w:rsidRPr="00F83D77">
        <w:rPr>
          <w:szCs w:val="22"/>
        </w:rPr>
        <w:t>dávka 1 až 2 mg / kg (tj</w:t>
      </w:r>
      <w:r w:rsidR="00732CB5">
        <w:rPr>
          <w:szCs w:val="22"/>
        </w:rPr>
        <w:t>.</w:t>
      </w:r>
      <w:r w:rsidR="00732CB5" w:rsidRPr="00F83D77">
        <w:rPr>
          <w:szCs w:val="22"/>
        </w:rPr>
        <w:t xml:space="preserve"> o něco nižší, než obvykl</w:t>
      </w:r>
      <w:r w:rsidR="00732CB5">
        <w:rPr>
          <w:szCs w:val="22"/>
        </w:rPr>
        <w:t>á</w:t>
      </w:r>
      <w:r w:rsidR="00732CB5" w:rsidRPr="00F83D77">
        <w:rPr>
          <w:szCs w:val="22"/>
        </w:rPr>
        <w:t xml:space="preserve"> 3 mg / kg, viz bod 4.9), a </w:t>
      </w:r>
      <w:r w:rsidR="00732CB5">
        <w:rPr>
          <w:szCs w:val="22"/>
        </w:rPr>
        <w:t xml:space="preserve">přípravek </w:t>
      </w:r>
      <w:r w:rsidR="00732CB5" w:rsidRPr="00F83D77">
        <w:rPr>
          <w:szCs w:val="22"/>
        </w:rPr>
        <w:t xml:space="preserve">byl podáván </w:t>
      </w:r>
      <w:r w:rsidR="00732CB5">
        <w:rPr>
          <w:szCs w:val="22"/>
        </w:rPr>
        <w:t>za účelem požadovaného účinku</w:t>
      </w:r>
      <w:r w:rsidR="00845A39">
        <w:rPr>
          <w:szCs w:val="22"/>
        </w:rPr>
        <w:t>,</w:t>
      </w:r>
      <w:r w:rsidR="00732CB5">
        <w:rPr>
          <w:szCs w:val="22"/>
        </w:rPr>
        <w:t xml:space="preserve"> </w:t>
      </w:r>
      <w:r w:rsidR="00732CB5" w:rsidRPr="00F83D77">
        <w:rPr>
          <w:szCs w:val="22"/>
        </w:rPr>
        <w:t>jak je doporučeno</w:t>
      </w:r>
      <w:r w:rsidR="00732CB5">
        <w:rPr>
          <w:szCs w:val="22"/>
        </w:rPr>
        <w:t xml:space="preserve">. </w:t>
      </w:r>
    </w:p>
    <w:p w:rsidR="00ED238E" w:rsidRPr="00BC5942" w:rsidRDefault="00ED238E" w:rsidP="00ED238E">
      <w:pPr>
        <w:ind w:left="0" w:firstLine="0"/>
        <w:rPr>
          <w:szCs w:val="22"/>
        </w:rPr>
      </w:pPr>
    </w:p>
    <w:p w:rsidR="00ED238E" w:rsidRPr="00BC5942" w:rsidRDefault="00ED238E" w:rsidP="00ED238E">
      <w:pPr>
        <w:ind w:left="0" w:firstLine="0"/>
        <w:rPr>
          <w:b/>
          <w:szCs w:val="22"/>
        </w:rPr>
      </w:pPr>
      <w:r w:rsidRPr="00BC5942">
        <w:rPr>
          <w:b/>
          <w:szCs w:val="22"/>
        </w:rPr>
        <w:t>Interakce s jinými veterinárními léčivými přípravky</w:t>
      </w:r>
    </w:p>
    <w:p w:rsidR="00750F70" w:rsidRPr="00BC5942" w:rsidRDefault="00750F70" w:rsidP="00750F70">
      <w:pPr>
        <w:keepNext/>
        <w:keepLines/>
        <w:ind w:left="0" w:firstLine="0"/>
        <w:rPr>
          <w:szCs w:val="22"/>
        </w:rPr>
      </w:pPr>
      <w:r>
        <w:rPr>
          <w:szCs w:val="22"/>
        </w:rPr>
        <w:t>Byla prokázána bezpečnost v</w:t>
      </w:r>
      <w:r w:rsidRPr="00BC5942">
        <w:rPr>
          <w:szCs w:val="22"/>
        </w:rPr>
        <w:t>eterinární</w:t>
      </w:r>
      <w:r>
        <w:rPr>
          <w:szCs w:val="22"/>
        </w:rPr>
        <w:t>ho</w:t>
      </w:r>
      <w:r w:rsidRPr="00BC5942">
        <w:rPr>
          <w:szCs w:val="22"/>
        </w:rPr>
        <w:t xml:space="preserve"> léčiv</w:t>
      </w:r>
      <w:r>
        <w:rPr>
          <w:szCs w:val="22"/>
        </w:rPr>
        <w:t>ého</w:t>
      </w:r>
      <w:r w:rsidRPr="00BC5942">
        <w:rPr>
          <w:szCs w:val="22"/>
        </w:rPr>
        <w:t xml:space="preserve"> přípravk</w:t>
      </w:r>
      <w:r>
        <w:rPr>
          <w:szCs w:val="22"/>
        </w:rPr>
        <w:t>u</w:t>
      </w:r>
      <w:r w:rsidRPr="00BC5942">
        <w:rPr>
          <w:szCs w:val="22"/>
        </w:rPr>
        <w:t xml:space="preserve"> při použití v kombinaci s následujícími </w:t>
      </w:r>
      <w:r>
        <w:rPr>
          <w:szCs w:val="22"/>
        </w:rPr>
        <w:t>skupinami léčiv používanými k premedikaci</w:t>
      </w:r>
      <w:r w:rsidRPr="00BC5942">
        <w:rPr>
          <w:szCs w:val="22"/>
        </w:rPr>
        <w:t>:</w:t>
      </w:r>
    </w:p>
    <w:tbl>
      <w:tblPr>
        <w:tblW w:w="8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60"/>
        <w:gridCol w:w="5528"/>
      </w:tblGrid>
      <w:tr w:rsidR="00750F70" w:rsidRPr="00BC5942" w:rsidTr="00E61221">
        <w:tc>
          <w:tcPr>
            <w:tcW w:w="3260" w:type="dxa"/>
            <w:shd w:val="clear" w:color="000000" w:fill="auto"/>
          </w:tcPr>
          <w:p w:rsidR="00750F70" w:rsidRPr="00BC5942" w:rsidRDefault="00750F70" w:rsidP="00E61221">
            <w:pPr>
              <w:ind w:left="0" w:firstLine="0"/>
              <w:rPr>
                <w:b/>
                <w:szCs w:val="22"/>
              </w:rPr>
            </w:pPr>
            <w:r w:rsidRPr="00BC5942">
              <w:rPr>
                <w:b/>
                <w:szCs w:val="22"/>
              </w:rPr>
              <w:t>Třída léčiva</w:t>
            </w:r>
          </w:p>
        </w:tc>
        <w:tc>
          <w:tcPr>
            <w:tcW w:w="5528" w:type="dxa"/>
            <w:shd w:val="clear" w:color="000000" w:fill="auto"/>
          </w:tcPr>
          <w:p w:rsidR="00750F70" w:rsidRPr="00BC5942" w:rsidRDefault="00750F70" w:rsidP="00E61221">
            <w:pPr>
              <w:ind w:left="0" w:firstLine="0"/>
              <w:rPr>
                <w:b/>
                <w:szCs w:val="22"/>
              </w:rPr>
            </w:pPr>
            <w:r w:rsidRPr="00BC5942">
              <w:rPr>
                <w:b/>
                <w:szCs w:val="22"/>
              </w:rPr>
              <w:t>Příklady</w:t>
            </w:r>
          </w:p>
        </w:tc>
      </w:tr>
      <w:tr w:rsidR="00750F70" w:rsidRPr="00BC5942" w:rsidTr="00E61221">
        <w:tc>
          <w:tcPr>
            <w:tcW w:w="3260" w:type="dxa"/>
          </w:tcPr>
          <w:p w:rsidR="00750F70" w:rsidRPr="00BC5942" w:rsidRDefault="00750F70" w:rsidP="00E61221">
            <w:pPr>
              <w:ind w:left="0" w:firstLine="0"/>
              <w:rPr>
                <w:szCs w:val="22"/>
              </w:rPr>
            </w:pPr>
            <w:proofErr w:type="spellStart"/>
            <w:r w:rsidRPr="00BC5942">
              <w:rPr>
                <w:szCs w:val="22"/>
              </w:rPr>
              <w:t>Fenothiaziny</w:t>
            </w:r>
            <w:proofErr w:type="spellEnd"/>
          </w:p>
        </w:tc>
        <w:tc>
          <w:tcPr>
            <w:tcW w:w="5528" w:type="dxa"/>
          </w:tcPr>
          <w:p w:rsidR="00750F70" w:rsidRPr="00BC5942" w:rsidRDefault="00750F70" w:rsidP="00E61221">
            <w:pPr>
              <w:ind w:left="0" w:firstLine="0"/>
              <w:rPr>
                <w:szCs w:val="22"/>
              </w:rPr>
            </w:pPr>
            <w:proofErr w:type="spellStart"/>
            <w:r w:rsidRPr="00BC5942">
              <w:rPr>
                <w:szCs w:val="22"/>
              </w:rPr>
              <w:t>acepromazin</w:t>
            </w:r>
            <w:proofErr w:type="spellEnd"/>
            <w:r w:rsidRPr="00BC5942">
              <w:rPr>
                <w:szCs w:val="22"/>
              </w:rPr>
              <w:t xml:space="preserve"> </w:t>
            </w:r>
            <w:proofErr w:type="spellStart"/>
            <w:r w:rsidRPr="00BC5942">
              <w:rPr>
                <w:szCs w:val="22"/>
              </w:rPr>
              <w:t>maleát</w:t>
            </w:r>
            <w:proofErr w:type="spellEnd"/>
          </w:p>
        </w:tc>
      </w:tr>
      <w:tr w:rsidR="00750F70" w:rsidRPr="00BC5942" w:rsidTr="00E61221">
        <w:tc>
          <w:tcPr>
            <w:tcW w:w="3260" w:type="dxa"/>
          </w:tcPr>
          <w:p w:rsidR="00750F70" w:rsidRPr="00BC5942" w:rsidRDefault="00750F70" w:rsidP="00E61221">
            <w:pPr>
              <w:ind w:left="0" w:firstLine="0"/>
              <w:rPr>
                <w:szCs w:val="22"/>
              </w:rPr>
            </w:pPr>
            <w:r w:rsidRPr="00BC5942">
              <w:rPr>
                <w:szCs w:val="22"/>
              </w:rPr>
              <w:t>Anticholinergní látky</w:t>
            </w:r>
          </w:p>
        </w:tc>
        <w:tc>
          <w:tcPr>
            <w:tcW w:w="5528" w:type="dxa"/>
          </w:tcPr>
          <w:p w:rsidR="00750F70" w:rsidRPr="00BC5942" w:rsidRDefault="00750F70" w:rsidP="00E61221">
            <w:pPr>
              <w:ind w:left="0" w:firstLine="0"/>
              <w:rPr>
                <w:szCs w:val="22"/>
              </w:rPr>
            </w:pPr>
            <w:r w:rsidRPr="00BC5942">
              <w:rPr>
                <w:szCs w:val="22"/>
              </w:rPr>
              <w:t>atropin sulfát</w:t>
            </w:r>
          </w:p>
        </w:tc>
      </w:tr>
      <w:tr w:rsidR="00750F70" w:rsidRPr="00BC5942" w:rsidTr="00E61221">
        <w:tc>
          <w:tcPr>
            <w:tcW w:w="3260" w:type="dxa"/>
          </w:tcPr>
          <w:p w:rsidR="00750F70" w:rsidRPr="00BC5942" w:rsidRDefault="00750F70" w:rsidP="00E61221">
            <w:pPr>
              <w:ind w:left="0" w:firstLine="0"/>
              <w:rPr>
                <w:szCs w:val="22"/>
              </w:rPr>
            </w:pPr>
            <w:r w:rsidRPr="00BC5942">
              <w:rPr>
                <w:szCs w:val="22"/>
              </w:rPr>
              <w:t>Benzodiazepiny</w:t>
            </w:r>
          </w:p>
        </w:tc>
        <w:tc>
          <w:tcPr>
            <w:tcW w:w="5528" w:type="dxa"/>
          </w:tcPr>
          <w:p w:rsidR="00750F70" w:rsidRPr="00BC5942" w:rsidRDefault="00750F70" w:rsidP="00E61221">
            <w:pPr>
              <w:ind w:left="0" w:firstLine="0"/>
              <w:rPr>
                <w:szCs w:val="22"/>
              </w:rPr>
            </w:pPr>
            <w:r w:rsidRPr="00BC5942">
              <w:rPr>
                <w:szCs w:val="22"/>
              </w:rPr>
              <w:t xml:space="preserve">diazepam, midazolam </w:t>
            </w:r>
            <w:proofErr w:type="spellStart"/>
            <w:r w:rsidRPr="00BC5942">
              <w:rPr>
                <w:szCs w:val="22"/>
              </w:rPr>
              <w:t>hydrochlorid</w:t>
            </w:r>
            <w:proofErr w:type="spellEnd"/>
          </w:p>
        </w:tc>
      </w:tr>
      <w:tr w:rsidR="00750F70" w:rsidRPr="00BC5942" w:rsidTr="00E61221">
        <w:tc>
          <w:tcPr>
            <w:tcW w:w="3260" w:type="dxa"/>
          </w:tcPr>
          <w:p w:rsidR="00750F70" w:rsidRPr="00BC5942" w:rsidRDefault="00750F70" w:rsidP="00E61221">
            <w:pPr>
              <w:ind w:left="0" w:firstLine="0"/>
              <w:rPr>
                <w:szCs w:val="22"/>
              </w:rPr>
            </w:pPr>
            <w:r>
              <w:rPr>
                <w:szCs w:val="22"/>
              </w:rPr>
              <w:t>Agonisté a</w:t>
            </w:r>
            <w:r w:rsidRPr="00BC5942">
              <w:rPr>
                <w:szCs w:val="22"/>
              </w:rPr>
              <w:t>lfa-2-adrenoceptor</w:t>
            </w:r>
            <w:r>
              <w:rPr>
                <w:szCs w:val="22"/>
              </w:rPr>
              <w:t>u</w:t>
            </w:r>
          </w:p>
        </w:tc>
        <w:tc>
          <w:tcPr>
            <w:tcW w:w="5528" w:type="dxa"/>
          </w:tcPr>
          <w:p w:rsidR="00750F70" w:rsidRPr="00BC5942" w:rsidRDefault="00750F70" w:rsidP="00E61221">
            <w:pPr>
              <w:ind w:left="0" w:firstLine="0"/>
              <w:rPr>
                <w:szCs w:val="22"/>
              </w:rPr>
            </w:pPr>
            <w:proofErr w:type="spellStart"/>
            <w:r w:rsidRPr="00BC5942">
              <w:rPr>
                <w:szCs w:val="22"/>
              </w:rPr>
              <w:t>xylazin</w:t>
            </w:r>
            <w:proofErr w:type="spellEnd"/>
            <w:r w:rsidRPr="00BC5942">
              <w:rPr>
                <w:szCs w:val="22"/>
              </w:rPr>
              <w:t xml:space="preserve"> </w:t>
            </w:r>
            <w:proofErr w:type="spellStart"/>
            <w:r w:rsidRPr="00BC5942">
              <w:rPr>
                <w:szCs w:val="22"/>
              </w:rPr>
              <w:t>hydrochlorid</w:t>
            </w:r>
            <w:proofErr w:type="spellEnd"/>
            <w:r w:rsidRPr="00BC5942">
              <w:rPr>
                <w:szCs w:val="22"/>
              </w:rPr>
              <w:t xml:space="preserve">, </w:t>
            </w:r>
            <w:proofErr w:type="spellStart"/>
            <w:r w:rsidRPr="00BC5942">
              <w:rPr>
                <w:szCs w:val="22"/>
              </w:rPr>
              <w:t>medetomidin</w:t>
            </w:r>
            <w:proofErr w:type="spellEnd"/>
            <w:r w:rsidRPr="00BC5942">
              <w:rPr>
                <w:szCs w:val="22"/>
              </w:rPr>
              <w:t xml:space="preserve"> </w:t>
            </w:r>
            <w:proofErr w:type="spellStart"/>
            <w:r w:rsidRPr="00BC5942">
              <w:rPr>
                <w:szCs w:val="22"/>
              </w:rPr>
              <w:t>hydrochlorid</w:t>
            </w:r>
            <w:proofErr w:type="spellEnd"/>
          </w:p>
        </w:tc>
      </w:tr>
      <w:tr w:rsidR="00750F70" w:rsidRPr="00BC5942" w:rsidTr="00E61221">
        <w:tc>
          <w:tcPr>
            <w:tcW w:w="3260" w:type="dxa"/>
          </w:tcPr>
          <w:p w:rsidR="00750F70" w:rsidRPr="00BC5942" w:rsidRDefault="00750F70" w:rsidP="00E61221">
            <w:pPr>
              <w:ind w:left="0" w:firstLine="0"/>
              <w:rPr>
                <w:szCs w:val="22"/>
              </w:rPr>
            </w:pPr>
            <w:r w:rsidRPr="00BC5942">
              <w:rPr>
                <w:szCs w:val="22"/>
              </w:rPr>
              <w:t>Opiáty</w:t>
            </w:r>
          </w:p>
        </w:tc>
        <w:tc>
          <w:tcPr>
            <w:tcW w:w="5528" w:type="dxa"/>
          </w:tcPr>
          <w:p w:rsidR="00750F70" w:rsidRPr="00BC5942" w:rsidRDefault="00750F70" w:rsidP="00E61221">
            <w:pPr>
              <w:ind w:left="0" w:firstLine="0"/>
              <w:rPr>
                <w:szCs w:val="22"/>
              </w:rPr>
            </w:pPr>
            <w:r w:rsidRPr="00BC5942">
              <w:rPr>
                <w:szCs w:val="22"/>
              </w:rPr>
              <w:t xml:space="preserve">metadon, morfin sulfát, </w:t>
            </w:r>
            <w:proofErr w:type="spellStart"/>
            <w:r w:rsidRPr="00BC5942">
              <w:rPr>
                <w:szCs w:val="22"/>
              </w:rPr>
              <w:t>butorfanol</w:t>
            </w:r>
            <w:proofErr w:type="spellEnd"/>
            <w:r w:rsidRPr="00BC5942">
              <w:rPr>
                <w:szCs w:val="22"/>
              </w:rPr>
              <w:t xml:space="preserve"> tartrát, buprenorfin </w:t>
            </w:r>
            <w:proofErr w:type="spellStart"/>
            <w:r w:rsidRPr="00BC5942">
              <w:rPr>
                <w:szCs w:val="22"/>
              </w:rPr>
              <w:t>hydrochlorid</w:t>
            </w:r>
            <w:proofErr w:type="spellEnd"/>
          </w:p>
        </w:tc>
      </w:tr>
      <w:tr w:rsidR="00750F70" w:rsidRPr="00BC5942" w:rsidTr="00E61221">
        <w:tc>
          <w:tcPr>
            <w:tcW w:w="3260" w:type="dxa"/>
          </w:tcPr>
          <w:p w:rsidR="00750F70" w:rsidRPr="00BC5942" w:rsidRDefault="00750F70" w:rsidP="00E61221">
            <w:pPr>
              <w:ind w:left="0" w:firstLine="0"/>
              <w:rPr>
                <w:szCs w:val="22"/>
              </w:rPr>
            </w:pPr>
            <w:r>
              <w:rPr>
                <w:szCs w:val="22"/>
              </w:rPr>
              <w:t xml:space="preserve">Nesteroidní protizánětlivá léčiva </w:t>
            </w:r>
          </w:p>
        </w:tc>
        <w:tc>
          <w:tcPr>
            <w:tcW w:w="5528" w:type="dxa"/>
          </w:tcPr>
          <w:p w:rsidR="00750F70" w:rsidRPr="00BC5942" w:rsidRDefault="00750F70" w:rsidP="00E61221">
            <w:pPr>
              <w:ind w:left="0" w:firstLine="0"/>
              <w:rPr>
                <w:szCs w:val="22"/>
              </w:rPr>
            </w:pPr>
            <w:proofErr w:type="spellStart"/>
            <w:r w:rsidRPr="00BC5942">
              <w:rPr>
                <w:szCs w:val="22"/>
              </w:rPr>
              <w:t>karprofen</w:t>
            </w:r>
            <w:proofErr w:type="spellEnd"/>
            <w:r w:rsidRPr="00BC5942">
              <w:rPr>
                <w:szCs w:val="22"/>
              </w:rPr>
              <w:t xml:space="preserve">, </w:t>
            </w:r>
            <w:proofErr w:type="spellStart"/>
            <w:r w:rsidRPr="00BC5942">
              <w:rPr>
                <w:szCs w:val="22"/>
              </w:rPr>
              <w:t>meloxikam</w:t>
            </w:r>
            <w:proofErr w:type="spellEnd"/>
          </w:p>
        </w:tc>
      </w:tr>
    </w:tbl>
    <w:p w:rsidR="00ED238E" w:rsidRPr="00BC5942" w:rsidRDefault="00ED238E" w:rsidP="00ED238E">
      <w:pPr>
        <w:pStyle w:val="Zkladntext"/>
        <w:tabs>
          <w:tab w:val="left" w:pos="1276"/>
          <w:tab w:val="left" w:pos="10080"/>
        </w:tabs>
        <w:ind w:left="0" w:firstLine="0"/>
        <w:jc w:val="left"/>
        <w:rPr>
          <w:szCs w:val="22"/>
        </w:rPr>
      </w:pPr>
    </w:p>
    <w:p w:rsidR="00750F70" w:rsidRPr="00BC5942" w:rsidRDefault="00750F70" w:rsidP="00042E07">
      <w:pPr>
        <w:ind w:left="0" w:firstLine="0"/>
        <w:jc w:val="both"/>
        <w:rPr>
          <w:szCs w:val="22"/>
        </w:rPr>
      </w:pPr>
      <w:r>
        <w:rPr>
          <w:szCs w:val="22"/>
        </w:rPr>
        <w:t xml:space="preserve">V případě současného použití veterinárního léčivého přípravku s dalšími léčivy, které vyvolávají útlum centrálního nervového systému, </w:t>
      </w:r>
      <w:r w:rsidRPr="00BC5942">
        <w:rPr>
          <w:szCs w:val="22"/>
        </w:rPr>
        <w:t xml:space="preserve">je </w:t>
      </w:r>
      <w:r>
        <w:rPr>
          <w:szCs w:val="22"/>
        </w:rPr>
        <w:t xml:space="preserve">nutné </w:t>
      </w:r>
      <w:r w:rsidRPr="00BC5942">
        <w:rPr>
          <w:szCs w:val="22"/>
        </w:rPr>
        <w:t xml:space="preserve">očekávat zesílení </w:t>
      </w:r>
      <w:r>
        <w:rPr>
          <w:szCs w:val="22"/>
        </w:rPr>
        <w:t xml:space="preserve">tlumivých </w:t>
      </w:r>
      <w:r w:rsidRPr="00BC5942">
        <w:rPr>
          <w:szCs w:val="22"/>
        </w:rPr>
        <w:t>účinků veterinárního léčivého přípravku</w:t>
      </w:r>
      <w:r>
        <w:rPr>
          <w:szCs w:val="22"/>
        </w:rPr>
        <w:t xml:space="preserve">, které vyžaduje, aby </w:t>
      </w:r>
      <w:r w:rsidRPr="00BC5942">
        <w:rPr>
          <w:szCs w:val="22"/>
        </w:rPr>
        <w:t>po dosažení požadované hloubky anestezie</w:t>
      </w:r>
      <w:r>
        <w:rPr>
          <w:szCs w:val="22"/>
        </w:rPr>
        <w:t xml:space="preserve"> bylo další podávání léčivého přípravku přerušeno</w:t>
      </w:r>
      <w:r w:rsidRPr="00BC5942">
        <w:rPr>
          <w:szCs w:val="22"/>
        </w:rPr>
        <w:t xml:space="preserve">. </w:t>
      </w:r>
    </w:p>
    <w:p w:rsidR="00750F70" w:rsidRPr="00BC5942" w:rsidRDefault="00750F70" w:rsidP="00042E07">
      <w:pPr>
        <w:ind w:left="0" w:firstLine="0"/>
        <w:jc w:val="both"/>
        <w:rPr>
          <w:szCs w:val="22"/>
        </w:rPr>
      </w:pPr>
    </w:p>
    <w:p w:rsidR="00750F70" w:rsidRPr="00BC5942" w:rsidRDefault="00750F70" w:rsidP="00042E07">
      <w:pPr>
        <w:ind w:left="0" w:firstLine="0"/>
        <w:jc w:val="both"/>
        <w:rPr>
          <w:szCs w:val="22"/>
        </w:rPr>
      </w:pPr>
      <w:r w:rsidRPr="00BC5942">
        <w:rPr>
          <w:szCs w:val="22"/>
        </w:rPr>
        <w:t xml:space="preserve">Použití jednoho premedikačního léčiva nebo jejich kombinace </w:t>
      </w:r>
      <w:r>
        <w:rPr>
          <w:szCs w:val="22"/>
        </w:rPr>
        <w:t xml:space="preserve">obvykle snižuje potřebnou dávku </w:t>
      </w:r>
      <w:r w:rsidRPr="00BC5942">
        <w:rPr>
          <w:szCs w:val="22"/>
        </w:rPr>
        <w:t xml:space="preserve">veterinárního léčivého přípravku. </w:t>
      </w:r>
    </w:p>
    <w:p w:rsidR="00750F70" w:rsidRPr="00BC5942" w:rsidRDefault="00750F70" w:rsidP="00042E07">
      <w:pPr>
        <w:ind w:left="0" w:firstLine="0"/>
        <w:jc w:val="both"/>
        <w:rPr>
          <w:szCs w:val="22"/>
        </w:rPr>
      </w:pPr>
    </w:p>
    <w:p w:rsidR="00750F70" w:rsidRPr="00BC5942" w:rsidRDefault="00750F70" w:rsidP="00042E07">
      <w:pPr>
        <w:ind w:left="0" w:firstLine="0"/>
        <w:jc w:val="both"/>
        <w:rPr>
          <w:szCs w:val="22"/>
        </w:rPr>
      </w:pPr>
      <w:r w:rsidRPr="00BC5942">
        <w:rPr>
          <w:szCs w:val="22"/>
        </w:rPr>
        <w:t xml:space="preserve">Premedikace </w:t>
      </w:r>
      <w:r>
        <w:rPr>
          <w:szCs w:val="22"/>
        </w:rPr>
        <w:t xml:space="preserve">agonisty </w:t>
      </w:r>
      <w:r w:rsidRPr="00BC5942">
        <w:rPr>
          <w:szCs w:val="22"/>
        </w:rPr>
        <w:t>alfa-2-adreno</w:t>
      </w:r>
      <w:r>
        <w:rPr>
          <w:szCs w:val="22"/>
        </w:rPr>
        <w:t>re</w:t>
      </w:r>
      <w:r w:rsidRPr="00BC5942">
        <w:rPr>
          <w:szCs w:val="22"/>
        </w:rPr>
        <w:t>ceptor</w:t>
      </w:r>
      <w:r>
        <w:rPr>
          <w:szCs w:val="22"/>
        </w:rPr>
        <w:t>u</w:t>
      </w:r>
      <w:r w:rsidRPr="00BC5942">
        <w:rPr>
          <w:szCs w:val="22"/>
        </w:rPr>
        <w:t xml:space="preserve">, například </w:t>
      </w:r>
      <w:proofErr w:type="spellStart"/>
      <w:r w:rsidRPr="00BC5942">
        <w:rPr>
          <w:szCs w:val="22"/>
        </w:rPr>
        <w:t>xylazinem</w:t>
      </w:r>
      <w:proofErr w:type="spellEnd"/>
      <w:r w:rsidRPr="00BC5942">
        <w:rPr>
          <w:szCs w:val="22"/>
        </w:rPr>
        <w:t xml:space="preserve"> nebo </w:t>
      </w:r>
      <w:proofErr w:type="spellStart"/>
      <w:r w:rsidRPr="00BC5942">
        <w:rPr>
          <w:szCs w:val="22"/>
        </w:rPr>
        <w:t>medetomidinem</w:t>
      </w:r>
      <w:proofErr w:type="spellEnd"/>
      <w:r w:rsidRPr="00BC5942">
        <w:rPr>
          <w:szCs w:val="22"/>
        </w:rPr>
        <w:t xml:space="preserve">, může </w:t>
      </w:r>
      <w:r>
        <w:rPr>
          <w:szCs w:val="22"/>
        </w:rPr>
        <w:t xml:space="preserve">délku trvání </w:t>
      </w:r>
      <w:r w:rsidRPr="00BC5942">
        <w:rPr>
          <w:szCs w:val="22"/>
        </w:rPr>
        <w:t>anestezie v závislosti na dávce významně prodloužit. K</w:t>
      </w:r>
      <w:r>
        <w:rPr>
          <w:szCs w:val="22"/>
        </w:rPr>
        <w:t>e zkrácení fáze vyveden</w:t>
      </w:r>
      <w:r w:rsidR="00C23DA7">
        <w:rPr>
          <w:szCs w:val="22"/>
        </w:rPr>
        <w:t>í</w:t>
      </w:r>
      <w:r>
        <w:rPr>
          <w:szCs w:val="22"/>
        </w:rPr>
        <w:t xml:space="preserve"> z anestézie </w:t>
      </w:r>
      <w:r w:rsidRPr="00BC5942">
        <w:rPr>
          <w:szCs w:val="22"/>
        </w:rPr>
        <w:t xml:space="preserve">může být žádoucí </w:t>
      </w:r>
      <w:r>
        <w:rPr>
          <w:szCs w:val="22"/>
        </w:rPr>
        <w:t xml:space="preserve">vyrušit účinky </w:t>
      </w:r>
      <w:r w:rsidRPr="00BC5942">
        <w:rPr>
          <w:szCs w:val="22"/>
        </w:rPr>
        <w:t>těchto premedikačních léčiv.</w:t>
      </w:r>
    </w:p>
    <w:p w:rsidR="00750F70" w:rsidRPr="00BC5942" w:rsidRDefault="00750F70" w:rsidP="00042E07">
      <w:pPr>
        <w:ind w:left="0" w:firstLine="0"/>
        <w:jc w:val="both"/>
        <w:rPr>
          <w:szCs w:val="22"/>
        </w:rPr>
      </w:pPr>
    </w:p>
    <w:p w:rsidR="00750F70" w:rsidRPr="00BC5942" w:rsidRDefault="00750F70" w:rsidP="00042E07">
      <w:pPr>
        <w:ind w:left="0" w:firstLine="0"/>
        <w:jc w:val="both"/>
        <w:rPr>
          <w:szCs w:val="22"/>
        </w:rPr>
      </w:pPr>
      <w:r w:rsidRPr="00BC5942">
        <w:rPr>
          <w:szCs w:val="22"/>
        </w:rPr>
        <w:t xml:space="preserve">Benzodiazepiny by se neměly používat jako jediná premedikační léčiva u psů a koček, protože kvalita anestezie u některých pacientů </w:t>
      </w:r>
      <w:r>
        <w:rPr>
          <w:szCs w:val="22"/>
        </w:rPr>
        <w:t xml:space="preserve">nemusí být dostatečná. </w:t>
      </w:r>
      <w:r w:rsidRPr="00BC5942">
        <w:rPr>
          <w:szCs w:val="22"/>
        </w:rPr>
        <w:t>Benzodiazepiny je možné bezpečně a účinně použít v kombinaci s jinými premedikačními přípravky a veterinárním léčivým přípravkem.</w:t>
      </w:r>
    </w:p>
    <w:p w:rsidR="00ED238E" w:rsidRPr="00BC5942" w:rsidRDefault="00ED238E" w:rsidP="00042E07">
      <w:pPr>
        <w:ind w:left="0" w:firstLine="0"/>
        <w:jc w:val="both"/>
        <w:rPr>
          <w:szCs w:val="22"/>
        </w:rPr>
      </w:pPr>
      <w:r w:rsidRPr="00BC5942">
        <w:rPr>
          <w:szCs w:val="22"/>
        </w:rPr>
        <w:t>Viz také část 5.</w:t>
      </w:r>
    </w:p>
    <w:p w:rsidR="00ED238E" w:rsidRPr="00BC5942" w:rsidRDefault="00ED238E" w:rsidP="00ED238E">
      <w:pPr>
        <w:ind w:left="0" w:firstLine="0"/>
        <w:rPr>
          <w:b/>
          <w:szCs w:val="22"/>
        </w:rPr>
      </w:pPr>
    </w:p>
    <w:p w:rsidR="00ED238E" w:rsidRPr="00BC5942" w:rsidRDefault="00ED238E" w:rsidP="00ED238E">
      <w:pPr>
        <w:ind w:left="0" w:firstLine="0"/>
        <w:rPr>
          <w:b/>
        </w:rPr>
      </w:pPr>
      <w:r w:rsidRPr="00BC5942">
        <w:rPr>
          <w:b/>
        </w:rPr>
        <w:t>Předávkování</w:t>
      </w:r>
    </w:p>
    <w:p w:rsidR="00C50B38" w:rsidRPr="00D87E06" w:rsidRDefault="00C50B38" w:rsidP="00C50B38">
      <w:pPr>
        <w:pStyle w:val="Zkladntextodsazen"/>
        <w:keepNext/>
        <w:keepLines/>
        <w:spacing w:after="0"/>
        <w:ind w:left="0" w:firstLine="0"/>
        <w:rPr>
          <w:szCs w:val="22"/>
        </w:rPr>
      </w:pPr>
      <w:r>
        <w:rPr>
          <w:szCs w:val="22"/>
        </w:rPr>
        <w:t xml:space="preserve">Bylo prokázáno, že veterinární léčivý přípravek je snášen i v případě </w:t>
      </w:r>
      <w:r w:rsidRPr="00D87E06">
        <w:rPr>
          <w:szCs w:val="22"/>
        </w:rPr>
        <w:t xml:space="preserve">předávkování až do 10násobku doporučené dávky 2 mg/kg u psa (tj. až do 20 mg/kg) a až do 5násobku doporučené dávky 5 mg/kg u kočky (tj. až do 25 mg/kg). U psů i koček tyto nadměrné dávky aplikované během 60 sekund způsobí apnoe a přechodné snížení průměrného arteriálního krevního tlaku. Snížení krevního tlaku není život ohrožující a je kompenzováno změnami v srdeční frekvenci. Tato zvířata je možné ošetřit pouze ventilací přerušovaným přetlakem (v případě nutnosti) buď </w:t>
      </w:r>
      <w:r>
        <w:rPr>
          <w:szCs w:val="22"/>
        </w:rPr>
        <w:t xml:space="preserve">s použitím </w:t>
      </w:r>
      <w:r w:rsidRPr="00D87E06">
        <w:rPr>
          <w:szCs w:val="22"/>
        </w:rPr>
        <w:t>vzduchu v místnosti, nebo lépe kyslíkem. Zotavení je rychlé bez trvalých následků.</w:t>
      </w:r>
    </w:p>
    <w:p w:rsidR="00ED238E" w:rsidRPr="00BC5942" w:rsidRDefault="00ED238E" w:rsidP="00ED238E">
      <w:pPr>
        <w:ind w:left="0" w:firstLine="0"/>
        <w:rPr>
          <w:b/>
          <w:szCs w:val="22"/>
        </w:rPr>
      </w:pPr>
    </w:p>
    <w:p w:rsidR="00ED238E" w:rsidRPr="00BC5942" w:rsidRDefault="00FD3768" w:rsidP="00ED238E">
      <w:pPr>
        <w:ind w:left="0" w:firstLine="0"/>
        <w:rPr>
          <w:b/>
          <w:szCs w:val="22"/>
        </w:rPr>
      </w:pPr>
      <w:r>
        <w:rPr>
          <w:b/>
          <w:szCs w:val="22"/>
        </w:rPr>
        <w:t>Upozornění pro</w:t>
      </w:r>
      <w:r w:rsidR="00ED238E" w:rsidRPr="00BC5942">
        <w:rPr>
          <w:b/>
          <w:szCs w:val="22"/>
        </w:rPr>
        <w:t xml:space="preserve"> uživatele </w:t>
      </w:r>
    </w:p>
    <w:p w:rsidR="00FD3768" w:rsidRPr="00BC5942" w:rsidRDefault="00FD3768" w:rsidP="00FD3768">
      <w:pPr>
        <w:ind w:left="0" w:firstLine="0"/>
        <w:rPr>
          <w:szCs w:val="22"/>
        </w:rPr>
      </w:pPr>
      <w:r>
        <w:rPr>
          <w:szCs w:val="22"/>
        </w:rPr>
        <w:lastRenderedPageBreak/>
        <w:t xml:space="preserve">V případě zasažení </w:t>
      </w:r>
      <w:r w:rsidRPr="00BC5942">
        <w:rPr>
          <w:szCs w:val="22"/>
        </w:rPr>
        <w:t>oč</w:t>
      </w:r>
      <w:r>
        <w:rPr>
          <w:szCs w:val="22"/>
        </w:rPr>
        <w:t>í</w:t>
      </w:r>
      <w:r w:rsidRPr="00BC5942">
        <w:rPr>
          <w:szCs w:val="22"/>
        </w:rPr>
        <w:t xml:space="preserve"> nebo kůž</w:t>
      </w:r>
      <w:r>
        <w:rPr>
          <w:szCs w:val="22"/>
        </w:rPr>
        <w:t xml:space="preserve">e je okamžitě opláchněte </w:t>
      </w:r>
      <w:r w:rsidRPr="00BC5942">
        <w:rPr>
          <w:szCs w:val="22"/>
        </w:rPr>
        <w:t>vodou. V</w:t>
      </w:r>
      <w:r>
        <w:rPr>
          <w:szCs w:val="22"/>
        </w:rPr>
        <w:t> </w:t>
      </w:r>
      <w:r w:rsidRPr="00BC5942">
        <w:rPr>
          <w:szCs w:val="22"/>
        </w:rPr>
        <w:t>případě</w:t>
      </w:r>
      <w:r>
        <w:rPr>
          <w:szCs w:val="22"/>
        </w:rPr>
        <w:t xml:space="preserve"> náhodného sebepoškození injekčně aplikovaným přípravkem </w:t>
      </w:r>
      <w:r w:rsidRPr="00BC5942">
        <w:rPr>
          <w:szCs w:val="22"/>
        </w:rPr>
        <w:t xml:space="preserve">vyhledejte </w:t>
      </w:r>
      <w:r>
        <w:rPr>
          <w:szCs w:val="22"/>
        </w:rPr>
        <w:t xml:space="preserve">ihned </w:t>
      </w:r>
      <w:r w:rsidRPr="00BC5942">
        <w:rPr>
          <w:szCs w:val="22"/>
        </w:rPr>
        <w:t xml:space="preserve">lékařskou pomoc a </w:t>
      </w:r>
      <w:r>
        <w:rPr>
          <w:szCs w:val="22"/>
        </w:rPr>
        <w:t xml:space="preserve">ukažte příbalovou informaci praktickému lékaři. </w:t>
      </w:r>
    </w:p>
    <w:p w:rsidR="00554D84" w:rsidRPr="00F75554" w:rsidRDefault="00554D84"/>
    <w:p w:rsidR="00554D84" w:rsidRPr="00F75554" w:rsidRDefault="00554D84">
      <w:pPr>
        <w:rPr>
          <w:b/>
        </w:rPr>
      </w:pPr>
      <w:r w:rsidRPr="00F75554">
        <w:rPr>
          <w:b/>
        </w:rPr>
        <w:t>13.</w:t>
      </w:r>
      <w:r w:rsidRPr="00F75554">
        <w:rPr>
          <w:b/>
        </w:rPr>
        <w:tab/>
        <w:t>ZVLÁŠTNÍ OPATŘENÍ PRO ZNEŠKODŇOVÁNÍ NEPOUŽITÝCH PŘÍPRAVKŮ NEBO ODPADU, POKUD JE JICH TŘEBA</w:t>
      </w:r>
    </w:p>
    <w:p w:rsidR="00554D84" w:rsidRPr="00F75554" w:rsidRDefault="00554D84">
      <w:pPr>
        <w:ind w:right="-318"/>
      </w:pPr>
    </w:p>
    <w:p w:rsidR="00FD3768" w:rsidRPr="00BC5942" w:rsidRDefault="00FD3768" w:rsidP="00FD3768">
      <w:pPr>
        <w:keepNext/>
        <w:keepLines/>
        <w:ind w:left="0" w:firstLine="0"/>
      </w:pPr>
      <w:r>
        <w:t>Všechen</w:t>
      </w:r>
      <w:r w:rsidRPr="00BC5942">
        <w:t xml:space="preserve"> nepoužitý veterinární léčivý přípravek nebo </w:t>
      </w:r>
      <w:r>
        <w:t xml:space="preserve">odpad, který pochází </w:t>
      </w:r>
      <w:r w:rsidRPr="00BC5942">
        <w:t>z tohoto přípravku</w:t>
      </w:r>
      <w:r>
        <w:t xml:space="preserve">, musí být likvidován </w:t>
      </w:r>
      <w:r w:rsidRPr="00BC5942">
        <w:t xml:space="preserve">podle místních </w:t>
      </w:r>
      <w:r>
        <w:t xml:space="preserve">právních </w:t>
      </w:r>
      <w:r w:rsidRPr="00BC5942">
        <w:t>předpisů.</w:t>
      </w:r>
    </w:p>
    <w:p w:rsidR="00554D84" w:rsidRPr="00F75554" w:rsidRDefault="00554D84">
      <w:pPr>
        <w:rPr>
          <w:b/>
        </w:rPr>
      </w:pPr>
    </w:p>
    <w:p w:rsidR="00554D84" w:rsidRPr="00F75554" w:rsidRDefault="00554D84">
      <w:r w:rsidRPr="00F75554">
        <w:rPr>
          <w:b/>
        </w:rPr>
        <w:t>14.</w:t>
      </w:r>
      <w:r w:rsidRPr="00F75554">
        <w:rPr>
          <w:b/>
        </w:rPr>
        <w:tab/>
        <w:t>DATUM POSLEDNÍ REVIZE PŘÍBALOVÉ INFORMACE</w:t>
      </w:r>
    </w:p>
    <w:p w:rsidR="005B4012" w:rsidRDefault="005B4012" w:rsidP="005B4012">
      <w:pPr>
        <w:ind w:right="-318"/>
      </w:pPr>
    </w:p>
    <w:p w:rsidR="005B4012" w:rsidRDefault="00CD0697" w:rsidP="005B4012">
      <w:pPr>
        <w:ind w:right="-318"/>
      </w:pPr>
      <w:r>
        <w:t>Říjen</w:t>
      </w:r>
      <w:r w:rsidR="00EB78DA">
        <w:t xml:space="preserve"> 202</w:t>
      </w:r>
      <w:r w:rsidR="00B61E09">
        <w:t>3</w:t>
      </w:r>
    </w:p>
    <w:p w:rsidR="005B4012" w:rsidRDefault="005B4012" w:rsidP="005B4012">
      <w:pPr>
        <w:ind w:right="-318"/>
      </w:pPr>
    </w:p>
    <w:p w:rsidR="00554D84" w:rsidRPr="00F75554" w:rsidRDefault="00554D84" w:rsidP="005B4012">
      <w:pPr>
        <w:ind w:right="-318"/>
      </w:pPr>
      <w:r w:rsidRPr="00F75554">
        <w:rPr>
          <w:b/>
        </w:rPr>
        <w:t>15.</w:t>
      </w:r>
      <w:r w:rsidRPr="00F75554">
        <w:rPr>
          <w:b/>
        </w:rPr>
        <w:tab/>
        <w:t>DALŠÍ INFORMACE</w:t>
      </w:r>
    </w:p>
    <w:p w:rsidR="00554D84" w:rsidRPr="00F75554" w:rsidRDefault="00554D84"/>
    <w:p w:rsidR="00DA6C6B" w:rsidRDefault="00C50B38" w:rsidP="00042E07">
      <w:pPr>
        <w:jc w:val="both"/>
      </w:pPr>
      <w:r>
        <w:t>Pouze pro zvířata.</w:t>
      </w:r>
    </w:p>
    <w:p w:rsidR="00DA6C6B" w:rsidRDefault="00DA6C6B" w:rsidP="00042E07">
      <w:pPr>
        <w:jc w:val="both"/>
      </w:pPr>
      <w:r>
        <w:t>Veterinární léčivý přípravek je vydáván pouze na předpis.</w:t>
      </w:r>
    </w:p>
    <w:p w:rsidR="00BA225B" w:rsidRPr="00BC5942" w:rsidRDefault="00BA225B" w:rsidP="00042E07">
      <w:pPr>
        <w:jc w:val="both"/>
      </w:pPr>
    </w:p>
    <w:p w:rsidR="00C50B38" w:rsidRPr="00BC5942" w:rsidRDefault="00BA225B" w:rsidP="00042E07">
      <w:pPr>
        <w:keepNext/>
        <w:ind w:left="0" w:firstLine="0"/>
        <w:jc w:val="both"/>
        <w:rPr>
          <w:szCs w:val="22"/>
        </w:rPr>
      </w:pPr>
      <w:r w:rsidRPr="00BC5942">
        <w:rPr>
          <w:b/>
          <w:szCs w:val="22"/>
        </w:rPr>
        <w:t xml:space="preserve">Farmakodynamické vlastnosti: </w:t>
      </w:r>
      <w:proofErr w:type="spellStart"/>
      <w:r w:rsidR="00C50B38" w:rsidRPr="00BC5942">
        <w:rPr>
          <w:szCs w:val="22"/>
        </w:rPr>
        <w:t>Alfaxalon</w:t>
      </w:r>
      <w:proofErr w:type="spellEnd"/>
      <w:r w:rsidR="00C50B38" w:rsidRPr="00BC5942">
        <w:rPr>
          <w:szCs w:val="22"/>
        </w:rPr>
        <w:t xml:space="preserve"> (</w:t>
      </w:r>
      <w:proofErr w:type="gramStart"/>
      <w:r w:rsidR="00C50B38" w:rsidRPr="00BC5942">
        <w:rPr>
          <w:szCs w:val="22"/>
        </w:rPr>
        <w:t>3-α</w:t>
      </w:r>
      <w:proofErr w:type="gramEnd"/>
      <w:r w:rsidR="00C50B38" w:rsidRPr="00BC5942">
        <w:rPr>
          <w:szCs w:val="22"/>
        </w:rPr>
        <w:t xml:space="preserve">-hydroxy-5-α-pregnan-11,20-dion) je molekula neuroaktivního steroidu s vlastnostmi celkového anestetika. Primárním mechanismem anestetického účinku </w:t>
      </w:r>
      <w:proofErr w:type="spellStart"/>
      <w:r w:rsidR="00C50B38" w:rsidRPr="00BC5942">
        <w:rPr>
          <w:szCs w:val="22"/>
        </w:rPr>
        <w:t>alfaxalonu</w:t>
      </w:r>
      <w:proofErr w:type="spellEnd"/>
      <w:r w:rsidR="00C50B38" w:rsidRPr="00BC5942">
        <w:rPr>
          <w:szCs w:val="22"/>
        </w:rPr>
        <w:t xml:space="preserve"> je </w:t>
      </w:r>
      <w:r w:rsidR="00C50B38">
        <w:rPr>
          <w:szCs w:val="22"/>
        </w:rPr>
        <w:t xml:space="preserve">ovlivnění transportu </w:t>
      </w:r>
      <w:r w:rsidR="00C50B38" w:rsidRPr="00BC5942">
        <w:rPr>
          <w:szCs w:val="22"/>
        </w:rPr>
        <w:t>chlorid</w:t>
      </w:r>
      <w:r w:rsidR="00C50B38">
        <w:rPr>
          <w:szCs w:val="22"/>
        </w:rPr>
        <w:t>ových iont</w:t>
      </w:r>
      <w:r w:rsidR="00C50B38" w:rsidRPr="00BC5942">
        <w:rPr>
          <w:szCs w:val="22"/>
        </w:rPr>
        <w:t xml:space="preserve">ů </w:t>
      </w:r>
      <w:r w:rsidR="00C50B38">
        <w:rPr>
          <w:szCs w:val="22"/>
        </w:rPr>
        <w:t xml:space="preserve">na </w:t>
      </w:r>
      <w:r w:rsidR="00C50B38" w:rsidRPr="00BC5942">
        <w:rPr>
          <w:szCs w:val="22"/>
        </w:rPr>
        <w:t>buněčn</w:t>
      </w:r>
      <w:r w:rsidR="00C50B38">
        <w:rPr>
          <w:szCs w:val="22"/>
        </w:rPr>
        <w:t>é</w:t>
      </w:r>
      <w:r w:rsidR="00C50B38" w:rsidRPr="00BC5942">
        <w:rPr>
          <w:szCs w:val="22"/>
        </w:rPr>
        <w:t xml:space="preserve"> membrán</w:t>
      </w:r>
      <w:r w:rsidR="00C50B38">
        <w:rPr>
          <w:szCs w:val="22"/>
        </w:rPr>
        <w:t>ě</w:t>
      </w:r>
      <w:r w:rsidR="00C50B38" w:rsidRPr="00BC5942">
        <w:rPr>
          <w:szCs w:val="22"/>
        </w:rPr>
        <w:t xml:space="preserve"> neuronu, </w:t>
      </w:r>
      <w:r w:rsidR="00C50B38">
        <w:rPr>
          <w:szCs w:val="22"/>
        </w:rPr>
        <w:t xml:space="preserve">v důsledku </w:t>
      </w:r>
      <w:r w:rsidR="00C50B38" w:rsidRPr="00BC5942">
        <w:rPr>
          <w:szCs w:val="22"/>
        </w:rPr>
        <w:t>vazb</w:t>
      </w:r>
      <w:r w:rsidR="00C50B38">
        <w:rPr>
          <w:szCs w:val="22"/>
        </w:rPr>
        <w:t>y</w:t>
      </w:r>
      <w:r w:rsidR="00C50B38" w:rsidRPr="00BC5942">
        <w:rPr>
          <w:szCs w:val="22"/>
        </w:rPr>
        <w:t xml:space="preserve"> </w:t>
      </w:r>
      <w:proofErr w:type="spellStart"/>
      <w:r w:rsidR="00C50B38" w:rsidRPr="00BC5942">
        <w:rPr>
          <w:szCs w:val="22"/>
        </w:rPr>
        <w:t>alfaxalonu</w:t>
      </w:r>
      <w:proofErr w:type="spellEnd"/>
      <w:r w:rsidR="00C50B38" w:rsidRPr="00BC5942">
        <w:rPr>
          <w:szCs w:val="22"/>
        </w:rPr>
        <w:t xml:space="preserve"> na receptory GABA</w:t>
      </w:r>
      <w:r w:rsidR="00C50B38" w:rsidRPr="00BC5942">
        <w:rPr>
          <w:szCs w:val="22"/>
          <w:vertAlign w:val="subscript"/>
        </w:rPr>
        <w:t>A</w:t>
      </w:r>
      <w:r w:rsidR="00C50B38" w:rsidRPr="00BC5942">
        <w:rPr>
          <w:szCs w:val="22"/>
        </w:rPr>
        <w:t xml:space="preserve"> na povrchu buněk. </w:t>
      </w:r>
    </w:p>
    <w:p w:rsidR="00BA225B" w:rsidRPr="00BC5942" w:rsidRDefault="00BA225B" w:rsidP="00042E07">
      <w:pPr>
        <w:tabs>
          <w:tab w:val="left" w:pos="142"/>
          <w:tab w:val="num" w:pos="1418"/>
        </w:tabs>
        <w:ind w:left="0" w:firstLine="0"/>
        <w:jc w:val="both"/>
        <w:rPr>
          <w:szCs w:val="22"/>
        </w:rPr>
      </w:pPr>
    </w:p>
    <w:p w:rsidR="00C50B38" w:rsidRDefault="00A42068" w:rsidP="00042E07">
      <w:pPr>
        <w:keepNext/>
        <w:ind w:left="0" w:firstLine="0"/>
        <w:jc w:val="both"/>
        <w:rPr>
          <w:szCs w:val="22"/>
        </w:rPr>
      </w:pPr>
      <w:r>
        <w:rPr>
          <w:b/>
          <w:szCs w:val="22"/>
        </w:rPr>
        <w:t>Farmakokinetické údaje</w:t>
      </w:r>
      <w:r w:rsidR="00BA225B" w:rsidRPr="00BC5942">
        <w:rPr>
          <w:b/>
          <w:szCs w:val="22"/>
        </w:rPr>
        <w:t>:</w:t>
      </w:r>
      <w:r w:rsidR="00C50B38" w:rsidRPr="00C50B38">
        <w:rPr>
          <w:szCs w:val="22"/>
        </w:rPr>
        <w:t xml:space="preserve"> </w:t>
      </w:r>
      <w:r w:rsidR="00C50B38">
        <w:rPr>
          <w:szCs w:val="22"/>
        </w:rPr>
        <w:t>Distribuční o</w:t>
      </w:r>
      <w:r w:rsidR="00C50B38" w:rsidRPr="00BC5942">
        <w:rPr>
          <w:szCs w:val="22"/>
        </w:rPr>
        <w:t>bjem po jed</w:t>
      </w:r>
      <w:r w:rsidR="00C50B38">
        <w:rPr>
          <w:szCs w:val="22"/>
        </w:rPr>
        <w:t>in</w:t>
      </w:r>
      <w:r w:rsidR="00C50B38" w:rsidRPr="00BC5942">
        <w:rPr>
          <w:szCs w:val="22"/>
        </w:rPr>
        <w:t xml:space="preserve">é injekci </w:t>
      </w:r>
      <w:r w:rsidR="00C50B38">
        <w:rPr>
          <w:szCs w:val="22"/>
        </w:rPr>
        <w:t xml:space="preserve">doporučené </w:t>
      </w:r>
      <w:r w:rsidR="00C50B38" w:rsidRPr="00BC5942">
        <w:rPr>
          <w:szCs w:val="22"/>
        </w:rPr>
        <w:t xml:space="preserve">klinické dávky 2 a 5 mg/kg </w:t>
      </w:r>
      <w:r w:rsidR="00C50B38">
        <w:rPr>
          <w:szCs w:val="22"/>
        </w:rPr>
        <w:t>ž.hm.</w:t>
      </w:r>
      <w:r w:rsidR="00C50B38" w:rsidRPr="00BC5942">
        <w:rPr>
          <w:szCs w:val="22"/>
        </w:rPr>
        <w:t xml:space="preserve"> </w:t>
      </w:r>
      <w:proofErr w:type="spellStart"/>
      <w:r w:rsidR="00C50B38" w:rsidRPr="00BC5942">
        <w:rPr>
          <w:szCs w:val="22"/>
        </w:rPr>
        <w:t>alfaxalonu</w:t>
      </w:r>
      <w:proofErr w:type="spellEnd"/>
      <w:r w:rsidR="00C50B38" w:rsidRPr="00BC5942">
        <w:rPr>
          <w:szCs w:val="22"/>
        </w:rPr>
        <w:t xml:space="preserve"> </w:t>
      </w:r>
      <w:r w:rsidR="00845A39">
        <w:rPr>
          <w:szCs w:val="22"/>
        </w:rPr>
        <w:t xml:space="preserve">je </w:t>
      </w:r>
      <w:r w:rsidR="00C50B38" w:rsidRPr="00BC5942">
        <w:rPr>
          <w:szCs w:val="22"/>
        </w:rPr>
        <w:t xml:space="preserve">2,4 l/kg </w:t>
      </w:r>
      <w:r w:rsidR="00C50B38">
        <w:rPr>
          <w:szCs w:val="22"/>
        </w:rPr>
        <w:t xml:space="preserve">u psů </w:t>
      </w:r>
      <w:r w:rsidR="00C50B38" w:rsidRPr="00BC5942">
        <w:rPr>
          <w:szCs w:val="22"/>
        </w:rPr>
        <w:t>a 1,8 l/kg</w:t>
      </w:r>
      <w:r w:rsidR="00C50B38">
        <w:rPr>
          <w:szCs w:val="22"/>
        </w:rPr>
        <w:t xml:space="preserve"> u koček</w:t>
      </w:r>
      <w:r w:rsidR="00C50B38" w:rsidRPr="00BC5942">
        <w:rPr>
          <w:szCs w:val="22"/>
        </w:rPr>
        <w:t xml:space="preserve">. </w:t>
      </w:r>
    </w:p>
    <w:p w:rsidR="00845A39" w:rsidRPr="00BC5942" w:rsidRDefault="00845A39" w:rsidP="00042E07">
      <w:pPr>
        <w:ind w:left="0" w:firstLine="0"/>
        <w:jc w:val="both"/>
        <w:rPr>
          <w:szCs w:val="22"/>
        </w:rPr>
      </w:pPr>
      <w:r w:rsidRPr="00BC5942">
        <w:rPr>
          <w:szCs w:val="22"/>
        </w:rPr>
        <w:t xml:space="preserve">U koček je průměrný </w:t>
      </w:r>
      <w:r>
        <w:rPr>
          <w:szCs w:val="22"/>
        </w:rPr>
        <w:t xml:space="preserve">terminální </w:t>
      </w:r>
      <w:r w:rsidRPr="00BC5942">
        <w:rPr>
          <w:szCs w:val="22"/>
        </w:rPr>
        <w:t>poločas plazmatické eliminace (t</w:t>
      </w:r>
      <w:r w:rsidRPr="003D1609">
        <w:rPr>
          <w:szCs w:val="22"/>
          <w:vertAlign w:val="subscript"/>
        </w:rPr>
        <w:t>1/2</w:t>
      </w:r>
      <w:r w:rsidRPr="00BC5942">
        <w:rPr>
          <w:szCs w:val="22"/>
        </w:rPr>
        <w:t xml:space="preserve">) u </w:t>
      </w:r>
      <w:proofErr w:type="spellStart"/>
      <w:r w:rsidRPr="00BC5942">
        <w:rPr>
          <w:szCs w:val="22"/>
        </w:rPr>
        <w:t>alfaxalonu</w:t>
      </w:r>
      <w:proofErr w:type="spellEnd"/>
      <w:r w:rsidRPr="00BC5942">
        <w:rPr>
          <w:szCs w:val="22"/>
        </w:rPr>
        <w:t xml:space="preserve"> pro dávku 5 mg/kg přibližně 45 minut. Průměrná plazmatická </w:t>
      </w:r>
      <w:proofErr w:type="spellStart"/>
      <w:r w:rsidRPr="00BC5942">
        <w:rPr>
          <w:szCs w:val="22"/>
        </w:rPr>
        <w:t>clearance</w:t>
      </w:r>
      <w:proofErr w:type="spellEnd"/>
      <w:r w:rsidRPr="00BC5942">
        <w:rPr>
          <w:szCs w:val="22"/>
        </w:rPr>
        <w:t xml:space="preserve"> pro dávku 5 mg/kg je 25,1 ± 7,6 ml/kg/min. </w:t>
      </w:r>
    </w:p>
    <w:p w:rsidR="00845A39" w:rsidRDefault="00845A39" w:rsidP="00042E07">
      <w:pPr>
        <w:ind w:left="0" w:firstLine="0"/>
        <w:jc w:val="both"/>
        <w:rPr>
          <w:rFonts w:ascii="TimesNewRoman,Italic" w:hAnsi="TimesNewRoman,Italic"/>
          <w:szCs w:val="22"/>
        </w:rPr>
      </w:pPr>
      <w:r w:rsidRPr="00BC5942">
        <w:rPr>
          <w:szCs w:val="22"/>
        </w:rPr>
        <w:t xml:space="preserve">U psů je průměrný </w:t>
      </w:r>
      <w:r>
        <w:rPr>
          <w:szCs w:val="22"/>
        </w:rPr>
        <w:t xml:space="preserve">terminální </w:t>
      </w:r>
      <w:r w:rsidRPr="00BC5942">
        <w:rPr>
          <w:szCs w:val="22"/>
        </w:rPr>
        <w:t>poločas plazmatické eliminace (t</w:t>
      </w:r>
      <w:r w:rsidRPr="003D1609">
        <w:rPr>
          <w:szCs w:val="22"/>
          <w:vertAlign w:val="subscript"/>
        </w:rPr>
        <w:t>1/2</w:t>
      </w:r>
      <w:r w:rsidRPr="00BC5942">
        <w:rPr>
          <w:szCs w:val="22"/>
        </w:rPr>
        <w:t xml:space="preserve">) u </w:t>
      </w:r>
      <w:proofErr w:type="spellStart"/>
      <w:r w:rsidRPr="00BC5942">
        <w:rPr>
          <w:szCs w:val="22"/>
        </w:rPr>
        <w:t>alfaxalonu</w:t>
      </w:r>
      <w:proofErr w:type="spellEnd"/>
      <w:r w:rsidRPr="00BC5942">
        <w:rPr>
          <w:szCs w:val="22"/>
        </w:rPr>
        <w:t xml:space="preserve"> přibližně 25 minut pro dávku 2 mg/kg. Průměrná plazmatická </w:t>
      </w:r>
      <w:proofErr w:type="spellStart"/>
      <w:r w:rsidRPr="00BC5942">
        <w:rPr>
          <w:szCs w:val="22"/>
        </w:rPr>
        <w:t>clearance</w:t>
      </w:r>
      <w:proofErr w:type="spellEnd"/>
      <w:r w:rsidRPr="00BC5942">
        <w:rPr>
          <w:szCs w:val="22"/>
        </w:rPr>
        <w:t xml:space="preserve"> pro dávku 2 mg/kg je 59,4 ± 12,9 ml/kg/min.</w:t>
      </w:r>
    </w:p>
    <w:p w:rsidR="00845A39" w:rsidRPr="00BC5942" w:rsidRDefault="00845A39" w:rsidP="00042E07">
      <w:pPr>
        <w:tabs>
          <w:tab w:val="left" w:pos="142"/>
        </w:tabs>
        <w:ind w:left="0" w:firstLine="0"/>
        <w:jc w:val="both"/>
        <w:rPr>
          <w:szCs w:val="22"/>
        </w:rPr>
      </w:pPr>
      <w:r w:rsidRPr="00BC5942">
        <w:rPr>
          <w:szCs w:val="22"/>
        </w:rPr>
        <w:t xml:space="preserve">Metabolity </w:t>
      </w:r>
      <w:proofErr w:type="spellStart"/>
      <w:r w:rsidRPr="00BC5942">
        <w:rPr>
          <w:szCs w:val="22"/>
        </w:rPr>
        <w:t>alfaxalonu</w:t>
      </w:r>
      <w:proofErr w:type="spellEnd"/>
      <w:r w:rsidRPr="00BC5942">
        <w:rPr>
          <w:szCs w:val="22"/>
        </w:rPr>
        <w:t xml:space="preserve"> jsou psy i kočkami eliminovány pravděpodobně jaterně-fekální a renální cestou, podobně jako u jiných druhů.</w:t>
      </w:r>
    </w:p>
    <w:p w:rsidR="00845A39" w:rsidRPr="00F75554" w:rsidRDefault="00845A39" w:rsidP="00042E07">
      <w:pPr>
        <w:ind w:left="0" w:firstLine="0"/>
        <w:jc w:val="both"/>
        <w:rPr>
          <w:rFonts w:ascii="TimesNewRoman,Italic" w:hAnsi="TimesNewRoman,Italic"/>
          <w:szCs w:val="22"/>
        </w:rPr>
      </w:pPr>
    </w:p>
    <w:p w:rsidR="00BA225B" w:rsidRPr="00BC5942" w:rsidRDefault="00BA225B" w:rsidP="00042E07">
      <w:pPr>
        <w:ind w:left="0" w:right="-2" w:firstLine="0"/>
        <w:jc w:val="both"/>
      </w:pPr>
    </w:p>
    <w:p w:rsidR="00BA225B" w:rsidRPr="00BC5942" w:rsidRDefault="00BA225B" w:rsidP="00042E07">
      <w:pPr>
        <w:ind w:left="0" w:right="-2" w:firstLine="0"/>
        <w:jc w:val="both"/>
      </w:pPr>
      <w:r w:rsidRPr="008C45F6">
        <w:rPr>
          <w:b/>
        </w:rPr>
        <w:t>Popis vnitřního balení</w:t>
      </w:r>
      <w:r w:rsidRPr="00BC5942">
        <w:t>:</w:t>
      </w:r>
    </w:p>
    <w:p w:rsidR="00BA225B" w:rsidRPr="00BC5942" w:rsidRDefault="00BA225B" w:rsidP="00042E07">
      <w:pPr>
        <w:ind w:left="0" w:firstLine="0"/>
        <w:jc w:val="both"/>
        <w:rPr>
          <w:szCs w:val="22"/>
        </w:rPr>
      </w:pPr>
      <w:r w:rsidRPr="00BC5942">
        <w:rPr>
          <w:szCs w:val="22"/>
        </w:rPr>
        <w:t xml:space="preserve">Skleněná 10ml </w:t>
      </w:r>
      <w:r w:rsidR="00C50B38">
        <w:rPr>
          <w:szCs w:val="22"/>
        </w:rPr>
        <w:t>lahvička uzavřen</w:t>
      </w:r>
      <w:r w:rsidR="00637C35">
        <w:rPr>
          <w:szCs w:val="22"/>
        </w:rPr>
        <w:t>á</w:t>
      </w:r>
      <w:r w:rsidR="00C50B38">
        <w:rPr>
          <w:szCs w:val="22"/>
        </w:rPr>
        <w:t xml:space="preserve"> </w:t>
      </w:r>
      <w:proofErr w:type="spellStart"/>
      <w:r w:rsidRPr="00BC5942">
        <w:rPr>
          <w:szCs w:val="22"/>
        </w:rPr>
        <w:t>bromobutylovou</w:t>
      </w:r>
      <w:proofErr w:type="spellEnd"/>
      <w:r w:rsidRPr="00BC5942">
        <w:rPr>
          <w:szCs w:val="22"/>
        </w:rPr>
        <w:t xml:space="preserve"> pryžovou zátkou a hliníkov</w:t>
      </w:r>
      <w:r w:rsidR="00637C35">
        <w:rPr>
          <w:szCs w:val="22"/>
        </w:rPr>
        <w:t>ou pertlí</w:t>
      </w:r>
      <w:r w:rsidRPr="00BC5942">
        <w:rPr>
          <w:szCs w:val="22"/>
        </w:rPr>
        <w:t>.</w:t>
      </w:r>
    </w:p>
    <w:p w:rsidR="00554D84" w:rsidRPr="00F75554" w:rsidRDefault="00554D84" w:rsidP="00042E07">
      <w:pPr>
        <w:ind w:right="-2"/>
        <w:jc w:val="both"/>
      </w:pPr>
    </w:p>
    <w:p w:rsidR="00554D84" w:rsidRPr="00F75554" w:rsidRDefault="00554D84" w:rsidP="00042E07">
      <w:pPr>
        <w:ind w:left="0" w:right="-2" w:firstLine="0"/>
        <w:jc w:val="both"/>
      </w:pPr>
      <w:r w:rsidRPr="00F75554">
        <w:t>Pokud chcete získat informace o tomto veterinárním léčivém přípravku, kontaktujte prosím příslušného místního zástupce držitele rozhodnutí o registraci.</w:t>
      </w:r>
    </w:p>
    <w:sectPr w:rsidR="00554D84" w:rsidRPr="00F75554">
      <w:footerReference w:type="default" r:id="rId7"/>
      <w:headerReference w:type="first" r:id="rId8"/>
      <w:footerReference w:type="first" r:id="rId9"/>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F6" w:rsidRDefault="009006F6">
      <w:r>
        <w:separator/>
      </w:r>
    </w:p>
  </w:endnote>
  <w:endnote w:type="continuationSeparator" w:id="0">
    <w:p w:rsidR="009006F6" w:rsidRDefault="0090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221" w:rsidRDefault="00E61221">
    <w:pPr>
      <w:pStyle w:val="Zpat"/>
      <w:tabs>
        <w:tab w:val="clear" w:pos="8930"/>
        <w:tab w:val="right" w:pos="8931"/>
      </w:tabs>
      <w:rPr>
        <w:rFonts w:ascii="Times New Roman" w:hAnsi="Times New Roman"/>
        <w:lang w:val="el-GR"/>
      </w:rPr>
    </w:pPr>
  </w:p>
  <w:p w:rsidR="00E61221" w:rsidRDefault="00E61221">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EB78DA">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221" w:rsidRDefault="00E61221">
    <w:pPr>
      <w:pStyle w:val="Zpat"/>
      <w:tabs>
        <w:tab w:val="clear" w:pos="8930"/>
        <w:tab w:val="right" w:pos="8931"/>
      </w:tabs>
    </w:pPr>
  </w:p>
  <w:p w:rsidR="00E61221" w:rsidRDefault="00E61221">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EB78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F6" w:rsidRDefault="009006F6">
      <w:r>
        <w:separator/>
      </w:r>
    </w:p>
  </w:footnote>
  <w:footnote w:type="continuationSeparator" w:id="0">
    <w:p w:rsidR="009006F6" w:rsidRDefault="0090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221" w:rsidRDefault="001E02C9" w:rsidP="00042E07">
    <w:pPr>
      <w:pStyle w:val="Zhlav"/>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DAE5508"/>
    <w:multiLevelType w:val="hybridMultilevel"/>
    <w:tmpl w:val="DA0EE77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4"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0"/>
  </w:num>
  <w:num w:numId="5">
    <w:abstractNumId w:val="39"/>
  </w:num>
  <w:num w:numId="6">
    <w:abstractNumId w:val="12"/>
  </w:num>
  <w:num w:numId="7">
    <w:abstractNumId w:val="25"/>
  </w:num>
  <w:num w:numId="8">
    <w:abstractNumId w:val="23"/>
  </w:num>
  <w:num w:numId="9">
    <w:abstractNumId w:val="7"/>
  </w:num>
  <w:num w:numId="10">
    <w:abstractNumId w:val="37"/>
  </w:num>
  <w:num w:numId="11">
    <w:abstractNumId w:val="38"/>
  </w:num>
  <w:num w:numId="12">
    <w:abstractNumId w:val="18"/>
  </w:num>
  <w:num w:numId="13">
    <w:abstractNumId w:val="14"/>
  </w:num>
  <w:num w:numId="14">
    <w:abstractNumId w:val="2"/>
  </w:num>
  <w:num w:numId="15">
    <w:abstractNumId w:val="35"/>
  </w:num>
  <w:num w:numId="16">
    <w:abstractNumId w:val="21"/>
  </w:num>
  <w:num w:numId="17">
    <w:abstractNumId w:val="41"/>
  </w:num>
  <w:num w:numId="18">
    <w:abstractNumId w:val="8"/>
  </w:num>
  <w:num w:numId="19">
    <w:abstractNumId w:val="1"/>
  </w:num>
  <w:num w:numId="20">
    <w:abstractNumId w:val="19"/>
  </w:num>
  <w:num w:numId="21">
    <w:abstractNumId w:val="3"/>
  </w:num>
  <w:num w:numId="22">
    <w:abstractNumId w:val="6"/>
  </w:num>
  <w:num w:numId="23">
    <w:abstractNumId w:val="29"/>
  </w:num>
  <w:num w:numId="24">
    <w:abstractNumId w:val="11"/>
  </w:num>
  <w:num w:numId="25">
    <w:abstractNumId w:val="34"/>
  </w:num>
  <w:num w:numId="26">
    <w:abstractNumId w:val="27"/>
  </w:num>
  <w:num w:numId="27">
    <w:abstractNumId w:val="13"/>
  </w:num>
  <w:num w:numId="28">
    <w:abstractNumId w:val="10"/>
  </w:num>
  <w:num w:numId="29">
    <w:abstractNumId w:val="22"/>
  </w:num>
  <w:num w:numId="30">
    <w:abstractNumId w:val="26"/>
  </w:num>
  <w:num w:numId="31">
    <w:abstractNumId w:val="16"/>
  </w:num>
  <w:num w:numId="32">
    <w:abstractNumId w:val="9"/>
  </w:num>
  <w:num w:numId="33">
    <w:abstractNumId w:val="32"/>
  </w:num>
  <w:num w:numId="34">
    <w:abstractNumId w:val="33"/>
  </w:num>
  <w:num w:numId="35">
    <w:abstractNumId w:val="31"/>
  </w:num>
  <w:num w:numId="36">
    <w:abstractNumId w:val="17"/>
  </w:num>
  <w:num w:numId="37">
    <w:abstractNumId w:val="4"/>
  </w:num>
  <w:num w:numId="38">
    <w:abstractNumId w:val="42"/>
  </w:num>
  <w:num w:numId="39">
    <w:abstractNumId w:val="15"/>
  </w:num>
  <w:num w:numId="40">
    <w:abstractNumId w:val="5"/>
  </w:num>
  <w:num w:numId="41">
    <w:abstractNumId w:val="28"/>
  </w:num>
  <w:num w:numId="42">
    <w:abstractNumId w:val="36"/>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219CA"/>
    <w:rsid w:val="00001467"/>
    <w:rsid w:val="000072D5"/>
    <w:rsid w:val="00013853"/>
    <w:rsid w:val="00042E07"/>
    <w:rsid w:val="00044181"/>
    <w:rsid w:val="00067640"/>
    <w:rsid w:val="000741A1"/>
    <w:rsid w:val="00076304"/>
    <w:rsid w:val="0009396C"/>
    <w:rsid w:val="000A7089"/>
    <w:rsid w:val="000B455A"/>
    <w:rsid w:val="000E5049"/>
    <w:rsid w:val="000F03B1"/>
    <w:rsid w:val="000F1AB7"/>
    <w:rsid w:val="000F1BA5"/>
    <w:rsid w:val="000F3CBF"/>
    <w:rsid w:val="00103001"/>
    <w:rsid w:val="00116F84"/>
    <w:rsid w:val="00131280"/>
    <w:rsid w:val="00140775"/>
    <w:rsid w:val="00142E38"/>
    <w:rsid w:val="00143964"/>
    <w:rsid w:val="001443DA"/>
    <w:rsid w:val="00152E20"/>
    <w:rsid w:val="001556FD"/>
    <w:rsid w:val="00155E9D"/>
    <w:rsid w:val="00160D87"/>
    <w:rsid w:val="001652DE"/>
    <w:rsid w:val="00175CFD"/>
    <w:rsid w:val="001A24A9"/>
    <w:rsid w:val="001A395F"/>
    <w:rsid w:val="001A5B3A"/>
    <w:rsid w:val="001E02C9"/>
    <w:rsid w:val="001E0872"/>
    <w:rsid w:val="001E1F34"/>
    <w:rsid w:val="001E6B92"/>
    <w:rsid w:val="001F66B4"/>
    <w:rsid w:val="0020738F"/>
    <w:rsid w:val="0025393A"/>
    <w:rsid w:val="002817DB"/>
    <w:rsid w:val="00294D9B"/>
    <w:rsid w:val="00296924"/>
    <w:rsid w:val="002B7702"/>
    <w:rsid w:val="002C4E18"/>
    <w:rsid w:val="002C6B88"/>
    <w:rsid w:val="002E366C"/>
    <w:rsid w:val="002E703B"/>
    <w:rsid w:val="003262D6"/>
    <w:rsid w:val="00373EE7"/>
    <w:rsid w:val="00381254"/>
    <w:rsid w:val="003A27A5"/>
    <w:rsid w:val="003A7224"/>
    <w:rsid w:val="003C388F"/>
    <w:rsid w:val="003C663E"/>
    <w:rsid w:val="003D1609"/>
    <w:rsid w:val="003D4FDD"/>
    <w:rsid w:val="003E0D57"/>
    <w:rsid w:val="003E3E6C"/>
    <w:rsid w:val="003F7E7F"/>
    <w:rsid w:val="00401AB8"/>
    <w:rsid w:val="00403374"/>
    <w:rsid w:val="00410FC4"/>
    <w:rsid w:val="00445750"/>
    <w:rsid w:val="00453EE6"/>
    <w:rsid w:val="00455F65"/>
    <w:rsid w:val="00464269"/>
    <w:rsid w:val="004A4A2C"/>
    <w:rsid w:val="004A6C10"/>
    <w:rsid w:val="004A7E45"/>
    <w:rsid w:val="004C7956"/>
    <w:rsid w:val="004D3940"/>
    <w:rsid w:val="004E1B71"/>
    <w:rsid w:val="004E33B0"/>
    <w:rsid w:val="004E6403"/>
    <w:rsid w:val="004F3604"/>
    <w:rsid w:val="00500E09"/>
    <w:rsid w:val="0050517B"/>
    <w:rsid w:val="00525669"/>
    <w:rsid w:val="00531FD1"/>
    <w:rsid w:val="00554D84"/>
    <w:rsid w:val="005657D9"/>
    <w:rsid w:val="00576D36"/>
    <w:rsid w:val="005818E0"/>
    <w:rsid w:val="00590E78"/>
    <w:rsid w:val="00592696"/>
    <w:rsid w:val="00597131"/>
    <w:rsid w:val="005B4012"/>
    <w:rsid w:val="005C7759"/>
    <w:rsid w:val="005D7B96"/>
    <w:rsid w:val="005E50A5"/>
    <w:rsid w:val="005F2E32"/>
    <w:rsid w:val="005F5505"/>
    <w:rsid w:val="005F7FA2"/>
    <w:rsid w:val="0062436F"/>
    <w:rsid w:val="00626742"/>
    <w:rsid w:val="00637C35"/>
    <w:rsid w:val="00682E55"/>
    <w:rsid w:val="00692FB3"/>
    <w:rsid w:val="006A2F72"/>
    <w:rsid w:val="006C733F"/>
    <w:rsid w:val="006D2E0C"/>
    <w:rsid w:val="006D4FCD"/>
    <w:rsid w:val="006E2117"/>
    <w:rsid w:val="006E66ED"/>
    <w:rsid w:val="006F09CF"/>
    <w:rsid w:val="00717DDF"/>
    <w:rsid w:val="00723337"/>
    <w:rsid w:val="00725273"/>
    <w:rsid w:val="00730F7C"/>
    <w:rsid w:val="00732CB5"/>
    <w:rsid w:val="0074075E"/>
    <w:rsid w:val="00742EB3"/>
    <w:rsid w:val="00743110"/>
    <w:rsid w:val="00750F70"/>
    <w:rsid w:val="007624AD"/>
    <w:rsid w:val="0077096F"/>
    <w:rsid w:val="00773BEA"/>
    <w:rsid w:val="007A26CF"/>
    <w:rsid w:val="007A5610"/>
    <w:rsid w:val="007C6C15"/>
    <w:rsid w:val="007D193D"/>
    <w:rsid w:val="007F0B23"/>
    <w:rsid w:val="007F6C0A"/>
    <w:rsid w:val="008039B0"/>
    <w:rsid w:val="00803BF8"/>
    <w:rsid w:val="008043EC"/>
    <w:rsid w:val="008051FF"/>
    <w:rsid w:val="008062A4"/>
    <w:rsid w:val="0081008D"/>
    <w:rsid w:val="00822ADE"/>
    <w:rsid w:val="008435C9"/>
    <w:rsid w:val="00845A39"/>
    <w:rsid w:val="00845F5A"/>
    <w:rsid w:val="00850704"/>
    <w:rsid w:val="00850D17"/>
    <w:rsid w:val="00870214"/>
    <w:rsid w:val="008758DA"/>
    <w:rsid w:val="0088105E"/>
    <w:rsid w:val="008963C9"/>
    <w:rsid w:val="008A1D73"/>
    <w:rsid w:val="008A29F7"/>
    <w:rsid w:val="008A6870"/>
    <w:rsid w:val="008B1355"/>
    <w:rsid w:val="008C45F6"/>
    <w:rsid w:val="008E1461"/>
    <w:rsid w:val="009006F6"/>
    <w:rsid w:val="00913A94"/>
    <w:rsid w:val="0093469B"/>
    <w:rsid w:val="00945D2D"/>
    <w:rsid w:val="00952E34"/>
    <w:rsid w:val="00953EB1"/>
    <w:rsid w:val="00955A6D"/>
    <w:rsid w:val="0096170B"/>
    <w:rsid w:val="0096188B"/>
    <w:rsid w:val="00970A7F"/>
    <w:rsid w:val="00976E1F"/>
    <w:rsid w:val="00976FEC"/>
    <w:rsid w:val="009B6FE9"/>
    <w:rsid w:val="009C4AEA"/>
    <w:rsid w:val="009D1863"/>
    <w:rsid w:val="009D3D90"/>
    <w:rsid w:val="009D5C28"/>
    <w:rsid w:val="00A121C4"/>
    <w:rsid w:val="00A219CA"/>
    <w:rsid w:val="00A304F8"/>
    <w:rsid w:val="00A33D05"/>
    <w:rsid w:val="00A42068"/>
    <w:rsid w:val="00A60A84"/>
    <w:rsid w:val="00A92EF0"/>
    <w:rsid w:val="00A94807"/>
    <w:rsid w:val="00AD127A"/>
    <w:rsid w:val="00AE5488"/>
    <w:rsid w:val="00AF0F5F"/>
    <w:rsid w:val="00AF270F"/>
    <w:rsid w:val="00B1150B"/>
    <w:rsid w:val="00B41526"/>
    <w:rsid w:val="00B52AFE"/>
    <w:rsid w:val="00B61E09"/>
    <w:rsid w:val="00B62DA0"/>
    <w:rsid w:val="00B84937"/>
    <w:rsid w:val="00B94924"/>
    <w:rsid w:val="00B94DEB"/>
    <w:rsid w:val="00BA225B"/>
    <w:rsid w:val="00BA22B6"/>
    <w:rsid w:val="00BA7E09"/>
    <w:rsid w:val="00BD0D80"/>
    <w:rsid w:val="00BD6DD5"/>
    <w:rsid w:val="00C009AF"/>
    <w:rsid w:val="00C03E83"/>
    <w:rsid w:val="00C04AA5"/>
    <w:rsid w:val="00C23DA7"/>
    <w:rsid w:val="00C27C63"/>
    <w:rsid w:val="00C420A0"/>
    <w:rsid w:val="00C50B38"/>
    <w:rsid w:val="00C7574D"/>
    <w:rsid w:val="00C82DDD"/>
    <w:rsid w:val="00C8461A"/>
    <w:rsid w:val="00C8498E"/>
    <w:rsid w:val="00C9401A"/>
    <w:rsid w:val="00CA0601"/>
    <w:rsid w:val="00CA0A9E"/>
    <w:rsid w:val="00CB1ED6"/>
    <w:rsid w:val="00CC21CE"/>
    <w:rsid w:val="00CD0697"/>
    <w:rsid w:val="00CE184C"/>
    <w:rsid w:val="00CF421C"/>
    <w:rsid w:val="00CF5161"/>
    <w:rsid w:val="00CF76B5"/>
    <w:rsid w:val="00CF7CB3"/>
    <w:rsid w:val="00D042A0"/>
    <w:rsid w:val="00D05B52"/>
    <w:rsid w:val="00D26FFF"/>
    <w:rsid w:val="00D72BEB"/>
    <w:rsid w:val="00D86292"/>
    <w:rsid w:val="00D8668E"/>
    <w:rsid w:val="00D87E06"/>
    <w:rsid w:val="00DA6C6B"/>
    <w:rsid w:val="00DB3630"/>
    <w:rsid w:val="00DB6F62"/>
    <w:rsid w:val="00DE2E3E"/>
    <w:rsid w:val="00DF1B51"/>
    <w:rsid w:val="00E02747"/>
    <w:rsid w:val="00E17579"/>
    <w:rsid w:val="00E32C0F"/>
    <w:rsid w:val="00E52195"/>
    <w:rsid w:val="00E5262A"/>
    <w:rsid w:val="00E52E09"/>
    <w:rsid w:val="00E61221"/>
    <w:rsid w:val="00E97859"/>
    <w:rsid w:val="00EA67B0"/>
    <w:rsid w:val="00EA74C5"/>
    <w:rsid w:val="00EB45EB"/>
    <w:rsid w:val="00EB566F"/>
    <w:rsid w:val="00EB78DA"/>
    <w:rsid w:val="00EC0BFB"/>
    <w:rsid w:val="00EC435D"/>
    <w:rsid w:val="00ED08CE"/>
    <w:rsid w:val="00ED238E"/>
    <w:rsid w:val="00EE3F0B"/>
    <w:rsid w:val="00EF4DA7"/>
    <w:rsid w:val="00F10A37"/>
    <w:rsid w:val="00F136D9"/>
    <w:rsid w:val="00F16315"/>
    <w:rsid w:val="00F25EE3"/>
    <w:rsid w:val="00F51039"/>
    <w:rsid w:val="00F564C7"/>
    <w:rsid w:val="00F637CA"/>
    <w:rsid w:val="00F75554"/>
    <w:rsid w:val="00F807F4"/>
    <w:rsid w:val="00FA4BEE"/>
    <w:rsid w:val="00FC3508"/>
    <w:rsid w:val="00FD092A"/>
    <w:rsid w:val="00FD3768"/>
    <w:rsid w:val="00FE25C9"/>
    <w:rsid w:val="00FE370E"/>
    <w:rsid w:val="00FE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05A37"/>
  <w15:docId w15:val="{19628A8C-13E3-4AB4-AD18-453E03B5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rPr>
      <w:rFonts w:ascii="Helvetica" w:hAnsi="Helvetica"/>
      <w:sz w:val="20"/>
    </w:rPr>
  </w:style>
  <w:style w:type="paragraph" w:styleId="Zpat">
    <w:name w:val="footer"/>
    <w:basedOn w:val="Normln"/>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b/>
    </w:rPr>
  </w:style>
  <w:style w:type="paragraph" w:styleId="Zkladntext3">
    <w:name w:val="Body Text 3"/>
    <w:basedOn w:val="Normln"/>
    <w:pPr>
      <w:ind w:right="113"/>
      <w:jc w:val="both"/>
    </w:pPr>
    <w:rPr>
      <w:b/>
    </w:rPr>
  </w:style>
  <w:style w:type="paragraph" w:styleId="Textvysvtlivek">
    <w:name w:val="endnote text"/>
    <w:basedOn w:val="Normln"/>
    <w:semiHidden/>
  </w:style>
  <w:style w:type="character" w:styleId="Odkaznakoment">
    <w:name w:val="annotation reference"/>
    <w:semiHidden/>
    <w:rPr>
      <w:sz w:val="16"/>
    </w:rPr>
  </w:style>
  <w:style w:type="paragraph" w:styleId="Zkladntextodsazen2">
    <w:name w:val="Body Text Indent 2"/>
    <w:basedOn w:val="Normln"/>
    <w:pPr>
      <w:jc w:val="both"/>
    </w:pPr>
    <w:rPr>
      <w:b/>
    </w:rPr>
  </w:style>
  <w:style w:type="paragraph" w:styleId="Textkomente">
    <w:name w:val="annotation text"/>
    <w:basedOn w:val="Normln"/>
    <w:semiHidden/>
    <w:rPr>
      <w:sz w:val="20"/>
    </w:rPr>
  </w:style>
  <w:style w:type="paragraph" w:styleId="Zkladntextodsazen3">
    <w:name w:val="Body Text Indent 3"/>
    <w:basedOn w:val="Normln"/>
  </w:style>
  <w:style w:type="paragraph" w:customStyle="1" w:styleId="Bullet">
    <w:name w:val="Bullet"/>
    <w:basedOn w:val="Normln"/>
    <w:pPr>
      <w:numPr>
        <w:numId w:val="2"/>
      </w:numPr>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AHeader1">
    <w:name w:val="AHeader 1"/>
    <w:basedOn w:val="Normln"/>
    <w:pPr>
      <w:numPr>
        <w:numId w:val="32"/>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paragraph" w:customStyle="1" w:styleId="Textbubliny1">
    <w:name w:val="Text bubliny1"/>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rsid w:val="00155E9D"/>
    <w:pPr>
      <w:spacing w:after="120"/>
      <w:ind w:left="283"/>
    </w:pPr>
  </w:style>
  <w:style w:type="table" w:styleId="Mkatabulky">
    <w:name w:val="Table Grid"/>
    <w:basedOn w:val="Normlntabulka"/>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eastAsia="Verdana" w:hAnsi="Verdana" w:cs="Verdana"/>
      <w:sz w:val="18"/>
      <w:szCs w:val="18"/>
      <w:lang w:val="en-GB" w:eastAsia="en-GB"/>
    </w:rPr>
  </w:style>
  <w:style w:type="numbering" w:customStyle="1" w:styleId="BulletsAgency">
    <w:name w:val="Bullets (Agency)"/>
    <w:basedOn w:val="Bezseznamu"/>
    <w:rsid w:val="00953EB1"/>
    <w:pPr>
      <w:numPr>
        <w:numId w:val="40"/>
      </w:numPr>
    </w:pPr>
  </w:style>
  <w:style w:type="paragraph" w:customStyle="1" w:styleId="NormalAgency">
    <w:name w:val="Normal (Agency)"/>
    <w:link w:val="NormalAgencyChar"/>
    <w:rsid w:val="00953EB1"/>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Italic" w:hAnsi="TimesNewRoman,Italic"/>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rsid w:val="00953EB1"/>
    <w:rPr>
      <w:rFonts w:ascii="Verdana" w:eastAsia="Verdana" w:hAnsi="Verdana" w:cs="Verdana"/>
      <w:sz w:val="18"/>
      <w:szCs w:val="18"/>
      <w:lang w:val="en-GB" w:eastAsia="en-GB" w:bidi="ar-SA"/>
    </w:rPr>
  </w:style>
  <w:style w:type="character" w:customStyle="1" w:styleId="NormalAgencyChar">
    <w:name w:val="Normal (Agency) Char"/>
    <w:link w:val="NormalAgency"/>
    <w:rsid w:val="00953EB1"/>
    <w:rPr>
      <w:rFonts w:ascii="Verdana" w:eastAsia="Verdana" w:hAnsi="Verdana" w:cs="Verdana"/>
      <w:sz w:val="18"/>
      <w:szCs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3084">
      <w:bodyDiv w:val="1"/>
      <w:marLeft w:val="750"/>
      <w:marRight w:val="0"/>
      <w:marTop w:val="0"/>
      <w:marBottom w:val="0"/>
      <w:divBdr>
        <w:top w:val="none" w:sz="0" w:space="0" w:color="auto"/>
        <w:left w:val="none" w:sz="0" w:space="0" w:color="auto"/>
        <w:bottom w:val="none" w:sz="0" w:space="0" w:color="auto"/>
        <w:right w:val="none" w:sz="0" w:space="0" w:color="auto"/>
      </w:divBdr>
    </w:div>
    <w:div w:id="846791162">
      <w:bodyDiv w:val="1"/>
      <w:marLeft w:val="0"/>
      <w:marRight w:val="0"/>
      <w:marTop w:val="0"/>
      <w:marBottom w:val="0"/>
      <w:divBdr>
        <w:top w:val="none" w:sz="0" w:space="0" w:color="auto"/>
        <w:left w:val="none" w:sz="0" w:space="0" w:color="auto"/>
        <w:bottom w:val="none" w:sz="0" w:space="0" w:color="auto"/>
        <w:right w:val="none" w:sz="0" w:space="0" w:color="auto"/>
      </w:divBdr>
    </w:div>
    <w:div w:id="2064059791">
      <w:bodyDiv w:val="1"/>
      <w:marLeft w:val="75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1937</Words>
  <Characters>11433</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CS_qrd_veterinary template_v 8 cs</vt:lpstr>
      <vt:lpstr>CS_qrd_veterinary template_v 8 cs</vt:lpstr>
    </vt:vector>
  </TitlesOfParts>
  <Company>Translation Centre</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 cs</dc:title>
  <dc:subject>General-EMA/201220/2010</dc:subject>
  <dc:creator>Prizzi Monica</dc:creator>
  <cp:lastModifiedBy>Morávková Věra</cp:lastModifiedBy>
  <cp:revision>4</cp:revision>
  <cp:lastPrinted>2021-10-06T11:28:00Z</cp:lastPrinted>
  <dcterms:created xsi:type="dcterms:W3CDTF">2023-10-03T08:28:00Z</dcterms:created>
  <dcterms:modified xsi:type="dcterms:W3CDTF">2023-10-03T09:19:00Z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Prizzi Monica</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201220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General-EMA/201220/2010</vt:lpwstr>
  </property>
  <property fmtid="{D5CDD505-2E9C-101B-9397-08002B2CF9AE}" pid="30" name="DM_Version">
    <vt:lpwstr>CURRENT,2.2</vt:lpwstr>
  </property>
  <property fmtid="{D5CDD505-2E9C-101B-9397-08002B2CF9AE}" pid="31" name="DM_Name">
    <vt:lpwstr>CS_qrd_veterinary template_v 8 cs</vt:lpwstr>
  </property>
  <property fmtid="{D5CDD505-2E9C-101B-9397-08002B2CF9AE}" pid="32" name="DM_Creation_Date">
    <vt:lpwstr>30/10/2012 16:44:41</vt:lpwstr>
  </property>
  <property fmtid="{D5CDD505-2E9C-101B-9397-08002B2CF9AE}" pid="33" name="DM_Modify_Date">
    <vt:lpwstr>30/10/2012 17:00:55</vt:lpwstr>
  </property>
  <property fmtid="{D5CDD505-2E9C-101B-9397-08002B2CF9AE}" pid="34" name="DM_Creator_Name">
    <vt:lpwstr>Prizzi Monica</vt:lpwstr>
  </property>
  <property fmtid="{D5CDD505-2E9C-101B-9397-08002B2CF9AE}" pid="35" name="DM_Modifier_Name">
    <vt:lpwstr>Prizzi Monica</vt:lpwstr>
  </property>
  <property fmtid="{D5CDD505-2E9C-101B-9397-08002B2CF9AE}" pid="36" name="DM_Type">
    <vt:lpwstr>emea_document</vt:lpwstr>
  </property>
  <property fmtid="{D5CDD505-2E9C-101B-9397-08002B2CF9AE}" pid="37" name="DM_DocRefId">
    <vt:lpwstr>EMA/418059/2012</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templates/02 QRD Veterinary templates/06 V-template v.8 - for publication April 2012/03 Templates ready for publication</vt:lpwstr>
  </property>
  <property fmtid="{D5CDD505-2E9C-101B-9397-08002B2CF9AE}" pid="40" name="DM_emea_doc_ref_id">
    <vt:lpwstr>EMA/418059/2012</vt:lpwstr>
  </property>
  <property fmtid="{D5CDD505-2E9C-101B-9397-08002B2CF9AE}" pid="41" name="DM_Modifer_Name">
    <vt:lpwstr>Prizzi Monica</vt:lpwstr>
  </property>
  <property fmtid="{D5CDD505-2E9C-101B-9397-08002B2CF9AE}" pid="42" name="DM_Modified_Date">
    <vt:lpwstr>30/10/2012 17:00:55</vt:lpwstr>
  </property>
</Properties>
</file>