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18472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4F02D936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3B53D79E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1A838A90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436778B3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738E4251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33930EB8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2BA874E6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78995D0A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2E933F65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61F3DBC8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63437C8B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2F0DC820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3EC32F1E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60F37447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76C0B496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59DCD4CD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07DCB57C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392B16EF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451BB434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52DCFF83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03432F84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43829626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03C6F652" w14:textId="77777777" w:rsidR="004A6338" w:rsidRPr="0044563F" w:rsidRDefault="004A6338" w:rsidP="004A6338">
      <w:pPr>
        <w:tabs>
          <w:tab w:val="clear" w:pos="567"/>
        </w:tabs>
        <w:spacing w:line="240" w:lineRule="auto"/>
        <w:rPr>
          <w:szCs w:val="22"/>
        </w:rPr>
      </w:pPr>
    </w:p>
    <w:p w14:paraId="02E448FD" w14:textId="77777777" w:rsidR="004A6338" w:rsidRPr="0044563F" w:rsidRDefault="004A6338" w:rsidP="004A6338">
      <w:pPr>
        <w:pStyle w:val="TITLEA1"/>
      </w:pPr>
      <w:r w:rsidRPr="0044563F">
        <w:t>B. PŘÍBALOVÁ INFORMACE</w:t>
      </w:r>
    </w:p>
    <w:p w14:paraId="0AD0B0EF" w14:textId="77777777" w:rsidR="004A6338" w:rsidRPr="0044563F" w:rsidRDefault="004A6338" w:rsidP="00B20D4E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44563F">
        <w:rPr>
          <w:szCs w:val="22"/>
        </w:rPr>
        <w:br w:type="page"/>
      </w:r>
      <w:r w:rsidRPr="0044563F">
        <w:rPr>
          <w:b/>
          <w:szCs w:val="22"/>
        </w:rPr>
        <w:lastRenderedPageBreak/>
        <w:t>PŘÍBALOVÁ INFORMACE</w:t>
      </w:r>
    </w:p>
    <w:p w14:paraId="03207BF3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szCs w:val="22"/>
        </w:rPr>
      </w:pPr>
    </w:p>
    <w:p w14:paraId="103FC973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szCs w:val="22"/>
        </w:rPr>
      </w:pPr>
    </w:p>
    <w:p w14:paraId="7A20037E" w14:textId="77777777" w:rsidR="004A6338" w:rsidRPr="0044563F" w:rsidRDefault="004A6338" w:rsidP="00B20D4E">
      <w:pPr>
        <w:pStyle w:val="Style1"/>
      </w:pPr>
      <w:r w:rsidRPr="0044563F">
        <w:rPr>
          <w:highlight w:val="lightGray"/>
        </w:rPr>
        <w:t>1.</w:t>
      </w:r>
      <w:r w:rsidRPr="0044563F">
        <w:tab/>
        <w:t>Název veterinárního léčivého přípravku</w:t>
      </w:r>
    </w:p>
    <w:p w14:paraId="3932E3FA" w14:textId="77777777" w:rsidR="004A6338" w:rsidRPr="0044563F" w:rsidRDefault="004A6338" w:rsidP="00B20D4E">
      <w:pPr>
        <w:spacing w:line="240" w:lineRule="auto"/>
        <w:rPr>
          <w:szCs w:val="22"/>
        </w:rPr>
      </w:pPr>
    </w:p>
    <w:p w14:paraId="57E534F6" w14:textId="77777777" w:rsidR="00B76F89" w:rsidRPr="0044563F" w:rsidRDefault="00B76F89" w:rsidP="00B20D4E">
      <w:pPr>
        <w:spacing w:line="240" w:lineRule="auto"/>
        <w:rPr>
          <w:bCs/>
          <w:szCs w:val="22"/>
        </w:rPr>
      </w:pPr>
      <w:r w:rsidRPr="0044563F">
        <w:rPr>
          <w:bCs/>
          <w:szCs w:val="22"/>
        </w:rPr>
        <w:t>Equest 18,92 mg/g perorální gel</w:t>
      </w:r>
    </w:p>
    <w:p w14:paraId="4C9BE746" w14:textId="77777777" w:rsidR="004A6338" w:rsidRPr="0044563F" w:rsidRDefault="004A6338" w:rsidP="00B20D4E">
      <w:pPr>
        <w:spacing w:line="240" w:lineRule="auto"/>
        <w:rPr>
          <w:szCs w:val="22"/>
        </w:rPr>
      </w:pPr>
    </w:p>
    <w:p w14:paraId="00A3376F" w14:textId="77777777" w:rsidR="004A6338" w:rsidRPr="0044563F" w:rsidRDefault="004A6338" w:rsidP="00B20D4E">
      <w:pPr>
        <w:pStyle w:val="Style1"/>
      </w:pPr>
      <w:r w:rsidRPr="0044563F">
        <w:rPr>
          <w:highlight w:val="lightGray"/>
        </w:rPr>
        <w:t>2.</w:t>
      </w:r>
      <w:r w:rsidRPr="0044563F">
        <w:tab/>
        <w:t>Složení</w:t>
      </w:r>
    </w:p>
    <w:p w14:paraId="1092578C" w14:textId="77777777" w:rsidR="004A6338" w:rsidRPr="0044563F" w:rsidRDefault="004A6338" w:rsidP="00B20D4E">
      <w:pPr>
        <w:tabs>
          <w:tab w:val="left" w:pos="851"/>
          <w:tab w:val="left" w:pos="3150"/>
          <w:tab w:val="left" w:pos="5040"/>
          <w:tab w:val="right" w:pos="7230"/>
        </w:tabs>
        <w:spacing w:line="240" w:lineRule="auto"/>
        <w:rPr>
          <w:szCs w:val="22"/>
        </w:rPr>
      </w:pPr>
    </w:p>
    <w:p w14:paraId="13F32F19" w14:textId="2947583B" w:rsidR="00B76F89" w:rsidRPr="0044563F" w:rsidRDefault="00B76F89" w:rsidP="00B20D4E">
      <w:pPr>
        <w:spacing w:line="240" w:lineRule="auto"/>
        <w:rPr>
          <w:szCs w:val="22"/>
        </w:rPr>
      </w:pPr>
      <w:r w:rsidRPr="0044563F">
        <w:rPr>
          <w:szCs w:val="22"/>
        </w:rPr>
        <w:t>1 gram obsahuje:</w:t>
      </w:r>
    </w:p>
    <w:p w14:paraId="73628BA0" w14:textId="77777777" w:rsidR="00B76F89" w:rsidRPr="0044563F" w:rsidRDefault="00B76F89" w:rsidP="00B20D4E">
      <w:pPr>
        <w:spacing w:line="240" w:lineRule="auto"/>
        <w:rPr>
          <w:szCs w:val="22"/>
        </w:rPr>
      </w:pPr>
    </w:p>
    <w:p w14:paraId="26936626" w14:textId="77777777" w:rsidR="00B76F89" w:rsidRPr="0044563F" w:rsidRDefault="00B76F89" w:rsidP="00B20D4E">
      <w:pPr>
        <w:spacing w:line="240" w:lineRule="auto"/>
        <w:rPr>
          <w:b/>
          <w:bCs/>
          <w:szCs w:val="22"/>
        </w:rPr>
      </w:pPr>
      <w:r w:rsidRPr="0044563F">
        <w:rPr>
          <w:b/>
          <w:bCs/>
          <w:szCs w:val="22"/>
        </w:rPr>
        <w:t xml:space="preserve">Léčivá látka: </w:t>
      </w:r>
    </w:p>
    <w:p w14:paraId="7FC27E5E" w14:textId="0EF38090" w:rsidR="00B76F89" w:rsidRPr="0044563F" w:rsidRDefault="00B76F89" w:rsidP="00B20D4E">
      <w:pPr>
        <w:spacing w:line="240" w:lineRule="auto"/>
        <w:rPr>
          <w:szCs w:val="22"/>
        </w:rPr>
      </w:pPr>
      <w:r w:rsidRPr="0044563F">
        <w:rPr>
          <w:szCs w:val="22"/>
        </w:rPr>
        <w:t>Moxidectinum</w:t>
      </w:r>
      <w:r w:rsidRPr="0044563F">
        <w:rPr>
          <w:szCs w:val="22"/>
        </w:rPr>
        <w:tab/>
      </w:r>
      <w:r w:rsidR="00072C25" w:rsidRPr="0044563F">
        <w:rPr>
          <w:szCs w:val="22"/>
        </w:rPr>
        <w:tab/>
      </w:r>
      <w:r w:rsidR="00072C25" w:rsidRPr="0044563F">
        <w:rPr>
          <w:szCs w:val="22"/>
        </w:rPr>
        <w:tab/>
      </w:r>
      <w:r w:rsidRPr="0044563F">
        <w:rPr>
          <w:szCs w:val="22"/>
        </w:rPr>
        <w:t>18,92 mg</w:t>
      </w:r>
    </w:p>
    <w:p w14:paraId="54CC7A26" w14:textId="77777777" w:rsidR="004A6338" w:rsidRPr="0044563F" w:rsidRDefault="004A6338" w:rsidP="00B20D4E">
      <w:pPr>
        <w:tabs>
          <w:tab w:val="left" w:pos="851"/>
          <w:tab w:val="left" w:pos="3150"/>
          <w:tab w:val="left" w:pos="5040"/>
          <w:tab w:val="right" w:pos="7230"/>
        </w:tabs>
        <w:spacing w:line="240" w:lineRule="auto"/>
        <w:rPr>
          <w:szCs w:val="22"/>
        </w:rPr>
      </w:pPr>
    </w:p>
    <w:p w14:paraId="5B94F740" w14:textId="77777777" w:rsidR="006D4F18" w:rsidRPr="0044563F" w:rsidRDefault="006D4F18" w:rsidP="00B20D4E">
      <w:pPr>
        <w:spacing w:line="240" w:lineRule="auto"/>
        <w:rPr>
          <w:b/>
          <w:bCs/>
          <w:szCs w:val="22"/>
        </w:rPr>
      </w:pPr>
      <w:r w:rsidRPr="0044563F">
        <w:rPr>
          <w:b/>
          <w:bCs/>
          <w:szCs w:val="22"/>
        </w:rPr>
        <w:t>Pomocné látky:</w:t>
      </w:r>
    </w:p>
    <w:p w14:paraId="7CDE45B6" w14:textId="77777777" w:rsidR="006D4F18" w:rsidRPr="0044563F" w:rsidRDefault="006D4F18" w:rsidP="00B20D4E">
      <w:pPr>
        <w:spacing w:line="240" w:lineRule="auto"/>
        <w:rPr>
          <w:szCs w:val="22"/>
        </w:rPr>
      </w:pPr>
      <w:r w:rsidRPr="0044563F">
        <w:rPr>
          <w:szCs w:val="22"/>
        </w:rPr>
        <w:t>Benzylalkohol (E 1519)</w:t>
      </w:r>
      <w:r w:rsidRPr="0044563F">
        <w:rPr>
          <w:szCs w:val="22"/>
        </w:rPr>
        <w:tab/>
      </w:r>
      <w:r w:rsidRPr="0044563F">
        <w:rPr>
          <w:szCs w:val="22"/>
        </w:rPr>
        <w:tab/>
        <w:t>37,84 mg</w:t>
      </w:r>
    </w:p>
    <w:p w14:paraId="762553CB" w14:textId="77777777" w:rsidR="006D4F18" w:rsidRPr="0044563F" w:rsidRDefault="006D4F18" w:rsidP="00B20D4E">
      <w:pPr>
        <w:spacing w:line="240" w:lineRule="auto"/>
        <w:rPr>
          <w:szCs w:val="22"/>
        </w:rPr>
      </w:pPr>
      <w:r w:rsidRPr="0044563F">
        <w:rPr>
          <w:szCs w:val="22"/>
        </w:rPr>
        <w:t>Dihydrát dinatrium-edetátu</w:t>
      </w:r>
      <w:r w:rsidRPr="0044563F">
        <w:rPr>
          <w:szCs w:val="22"/>
        </w:rPr>
        <w:tab/>
        <w:t>0,24 mg</w:t>
      </w:r>
    </w:p>
    <w:p w14:paraId="110C9C8B" w14:textId="77777777" w:rsidR="006D4F18" w:rsidRPr="0044563F" w:rsidRDefault="006D4F18" w:rsidP="00B20D4E">
      <w:pPr>
        <w:spacing w:line="240" w:lineRule="auto"/>
        <w:rPr>
          <w:szCs w:val="22"/>
        </w:rPr>
      </w:pPr>
      <w:r w:rsidRPr="0044563F">
        <w:rPr>
          <w:szCs w:val="22"/>
        </w:rPr>
        <w:t>Butylhydroxytoluen</w:t>
      </w:r>
      <w:r w:rsidRPr="0044563F">
        <w:rPr>
          <w:szCs w:val="22"/>
        </w:rPr>
        <w:tab/>
      </w:r>
      <w:r w:rsidRPr="0044563F">
        <w:rPr>
          <w:szCs w:val="22"/>
        </w:rPr>
        <w:tab/>
        <w:t>0,114 mg</w:t>
      </w:r>
    </w:p>
    <w:p w14:paraId="791A7B89" w14:textId="77777777" w:rsidR="006D4F18" w:rsidRPr="0044563F" w:rsidRDefault="006D4F18" w:rsidP="00B20D4E">
      <w:pPr>
        <w:tabs>
          <w:tab w:val="left" w:pos="851"/>
          <w:tab w:val="left" w:pos="3150"/>
          <w:tab w:val="left" w:pos="5040"/>
          <w:tab w:val="right" w:pos="7230"/>
        </w:tabs>
        <w:spacing w:line="240" w:lineRule="auto"/>
        <w:rPr>
          <w:szCs w:val="22"/>
        </w:rPr>
      </w:pPr>
    </w:p>
    <w:p w14:paraId="36E851F6" w14:textId="77777777" w:rsidR="00B76F89" w:rsidRPr="0044563F" w:rsidRDefault="00B76F89" w:rsidP="00B20D4E">
      <w:pPr>
        <w:spacing w:line="240" w:lineRule="auto"/>
        <w:rPr>
          <w:szCs w:val="22"/>
        </w:rPr>
      </w:pPr>
      <w:r w:rsidRPr="0044563F">
        <w:rPr>
          <w:szCs w:val="22"/>
        </w:rPr>
        <w:t>Žlutý gel</w:t>
      </w:r>
    </w:p>
    <w:p w14:paraId="1A842330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szCs w:val="22"/>
        </w:rPr>
      </w:pPr>
    </w:p>
    <w:p w14:paraId="5A46B576" w14:textId="77777777" w:rsidR="004A6338" w:rsidRPr="0044563F" w:rsidRDefault="004A6338" w:rsidP="00B20D4E">
      <w:pPr>
        <w:pStyle w:val="Style1"/>
      </w:pPr>
      <w:r w:rsidRPr="0044563F">
        <w:rPr>
          <w:highlight w:val="lightGray"/>
        </w:rPr>
        <w:t>3.</w:t>
      </w:r>
      <w:r w:rsidRPr="0044563F">
        <w:tab/>
        <w:t>Cílové druhy zvířat</w:t>
      </w:r>
    </w:p>
    <w:p w14:paraId="65AC6594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szCs w:val="22"/>
        </w:rPr>
      </w:pPr>
    </w:p>
    <w:p w14:paraId="21C1C652" w14:textId="77777777" w:rsidR="004A6338" w:rsidRPr="0044563F" w:rsidRDefault="004A6338" w:rsidP="00B20D4E">
      <w:pPr>
        <w:spacing w:line="240" w:lineRule="auto"/>
        <w:rPr>
          <w:szCs w:val="22"/>
        </w:rPr>
      </w:pPr>
      <w:r w:rsidRPr="0044563F">
        <w:rPr>
          <w:szCs w:val="22"/>
        </w:rPr>
        <w:t>Koně a poníci.</w:t>
      </w:r>
    </w:p>
    <w:p w14:paraId="73339F90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szCs w:val="22"/>
        </w:rPr>
      </w:pPr>
    </w:p>
    <w:p w14:paraId="1E7D43BC" w14:textId="77777777" w:rsidR="004A6338" w:rsidRPr="0044563F" w:rsidRDefault="004A6338" w:rsidP="00B20D4E">
      <w:pPr>
        <w:pStyle w:val="Style1"/>
      </w:pPr>
      <w:r w:rsidRPr="0044563F">
        <w:rPr>
          <w:highlight w:val="lightGray"/>
        </w:rPr>
        <w:t>4.</w:t>
      </w:r>
      <w:r w:rsidRPr="0044563F">
        <w:tab/>
        <w:t>Indikace pro použití</w:t>
      </w:r>
    </w:p>
    <w:p w14:paraId="469C56D8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szCs w:val="22"/>
        </w:rPr>
      </w:pPr>
    </w:p>
    <w:p w14:paraId="75FD269B" w14:textId="77777777" w:rsidR="00242EC3" w:rsidRPr="0044563F" w:rsidRDefault="00242EC3" w:rsidP="00B20D4E">
      <w:pPr>
        <w:tabs>
          <w:tab w:val="left" w:pos="851"/>
        </w:tabs>
        <w:spacing w:line="240" w:lineRule="auto"/>
        <w:ind w:left="360" w:hanging="360"/>
        <w:rPr>
          <w:szCs w:val="22"/>
        </w:rPr>
      </w:pPr>
      <w:r w:rsidRPr="0044563F">
        <w:rPr>
          <w:szCs w:val="22"/>
        </w:rPr>
        <w:t>Přípravek je určen k léčbě invazí parazitů citlivých na moxidektin:</w:t>
      </w:r>
    </w:p>
    <w:p w14:paraId="671E5D1B" w14:textId="77777777" w:rsidR="007706A7" w:rsidRPr="0044563F" w:rsidRDefault="007706A7" w:rsidP="00B20D4E">
      <w:pPr>
        <w:tabs>
          <w:tab w:val="left" w:pos="851"/>
        </w:tabs>
        <w:spacing w:line="240" w:lineRule="auto"/>
        <w:rPr>
          <w:b/>
          <w:szCs w:val="22"/>
        </w:rPr>
      </w:pPr>
    </w:p>
    <w:p w14:paraId="0BBF0AFD" w14:textId="2436D88D" w:rsidR="00242EC3" w:rsidRPr="0044563F" w:rsidRDefault="00242EC3" w:rsidP="00B20D4E">
      <w:pPr>
        <w:tabs>
          <w:tab w:val="left" w:pos="851"/>
        </w:tabs>
        <w:spacing w:line="240" w:lineRule="auto"/>
        <w:rPr>
          <w:b/>
          <w:szCs w:val="22"/>
        </w:rPr>
      </w:pPr>
      <w:r w:rsidRPr="0044563F">
        <w:rPr>
          <w:b/>
          <w:szCs w:val="22"/>
        </w:rPr>
        <w:t>Velcí strongyli:</w:t>
      </w:r>
    </w:p>
    <w:p w14:paraId="3B1536FF" w14:textId="77777777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ab/>
      </w:r>
      <w:r w:rsidRPr="0044563F">
        <w:rPr>
          <w:i/>
          <w:szCs w:val="22"/>
        </w:rPr>
        <w:t>Strongylus vulgaris</w:t>
      </w:r>
      <w:r w:rsidRPr="0044563F">
        <w:rPr>
          <w:szCs w:val="22"/>
        </w:rPr>
        <w:t xml:space="preserve"> (dospělci a arteriální stadia)</w:t>
      </w:r>
    </w:p>
    <w:p w14:paraId="37EB991F" w14:textId="77777777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ab/>
      </w:r>
      <w:r w:rsidRPr="0044563F">
        <w:rPr>
          <w:i/>
          <w:szCs w:val="22"/>
        </w:rPr>
        <w:t>Strongylus edenatus</w:t>
      </w:r>
      <w:r w:rsidRPr="0044563F">
        <w:rPr>
          <w:szCs w:val="22"/>
        </w:rPr>
        <w:t xml:space="preserve"> (dospělci a viscerální stadia) </w:t>
      </w:r>
    </w:p>
    <w:p w14:paraId="645E14D9" w14:textId="77777777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i/>
          <w:szCs w:val="22"/>
        </w:rPr>
      </w:pPr>
      <w:r w:rsidRPr="0044563F">
        <w:rPr>
          <w:szCs w:val="22"/>
        </w:rPr>
        <w:tab/>
      </w:r>
      <w:r w:rsidRPr="0044563F">
        <w:rPr>
          <w:i/>
          <w:szCs w:val="22"/>
        </w:rPr>
        <w:t xml:space="preserve">Triodontophorus brevicauda </w:t>
      </w:r>
      <w:r w:rsidRPr="0044563F">
        <w:rPr>
          <w:szCs w:val="22"/>
        </w:rPr>
        <w:t>(dospělci)</w:t>
      </w:r>
    </w:p>
    <w:p w14:paraId="0852B9D4" w14:textId="77777777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i/>
          <w:szCs w:val="22"/>
        </w:rPr>
      </w:pPr>
      <w:r w:rsidRPr="0044563F">
        <w:rPr>
          <w:i/>
          <w:szCs w:val="22"/>
        </w:rPr>
        <w:tab/>
        <w:t xml:space="preserve">Triodontophorus serratus  </w:t>
      </w:r>
      <w:r w:rsidRPr="0044563F">
        <w:rPr>
          <w:szCs w:val="22"/>
        </w:rPr>
        <w:t>(dospělci)</w:t>
      </w:r>
    </w:p>
    <w:p w14:paraId="68AFAA31" w14:textId="77777777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44563F">
        <w:rPr>
          <w:i/>
          <w:szCs w:val="22"/>
        </w:rPr>
        <w:tab/>
        <w:t>Triodontophorus tenuicollis</w:t>
      </w:r>
      <w:r w:rsidRPr="0044563F">
        <w:rPr>
          <w:szCs w:val="22"/>
        </w:rPr>
        <w:t xml:space="preserve"> </w:t>
      </w:r>
      <w:r w:rsidRPr="0044563F">
        <w:rPr>
          <w:i/>
          <w:szCs w:val="22"/>
        </w:rPr>
        <w:t xml:space="preserve"> </w:t>
      </w:r>
      <w:r w:rsidRPr="0044563F">
        <w:rPr>
          <w:szCs w:val="22"/>
        </w:rPr>
        <w:t xml:space="preserve">(dospělci) </w:t>
      </w:r>
    </w:p>
    <w:p w14:paraId="4FECD329" w14:textId="77777777" w:rsidR="007706A7" w:rsidRPr="0044563F" w:rsidRDefault="007706A7" w:rsidP="00B20D4E">
      <w:pPr>
        <w:tabs>
          <w:tab w:val="left" w:pos="851"/>
          <w:tab w:val="left" w:pos="5104"/>
        </w:tabs>
        <w:spacing w:line="240" w:lineRule="auto"/>
        <w:jc w:val="both"/>
        <w:rPr>
          <w:b/>
          <w:szCs w:val="22"/>
        </w:rPr>
      </w:pPr>
    </w:p>
    <w:p w14:paraId="36211223" w14:textId="03E0536B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44563F">
        <w:rPr>
          <w:b/>
          <w:szCs w:val="22"/>
        </w:rPr>
        <w:t xml:space="preserve">Malí strongyli </w:t>
      </w:r>
      <w:r w:rsidRPr="0044563F">
        <w:rPr>
          <w:szCs w:val="22"/>
        </w:rPr>
        <w:t>(dospělci a intraluminální larvální stadia):</w:t>
      </w:r>
    </w:p>
    <w:p w14:paraId="2DC1979E" w14:textId="77777777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i/>
          <w:szCs w:val="22"/>
        </w:rPr>
      </w:pPr>
      <w:r w:rsidRPr="0044563F">
        <w:rPr>
          <w:szCs w:val="22"/>
        </w:rPr>
        <w:tab/>
      </w:r>
      <w:r w:rsidRPr="0044563F">
        <w:rPr>
          <w:i/>
          <w:szCs w:val="22"/>
        </w:rPr>
        <w:t xml:space="preserve">Cyathostomum </w:t>
      </w:r>
      <w:r w:rsidRPr="0044563F">
        <w:rPr>
          <w:szCs w:val="22"/>
        </w:rPr>
        <w:t>spp.</w:t>
      </w:r>
      <w:r w:rsidRPr="0044563F">
        <w:rPr>
          <w:i/>
          <w:szCs w:val="22"/>
        </w:rPr>
        <w:t xml:space="preserve"> </w:t>
      </w:r>
    </w:p>
    <w:p w14:paraId="76E24623" w14:textId="77777777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i/>
          <w:szCs w:val="22"/>
        </w:rPr>
      </w:pPr>
      <w:r w:rsidRPr="0044563F">
        <w:rPr>
          <w:i/>
          <w:szCs w:val="22"/>
        </w:rPr>
        <w:tab/>
        <w:t xml:space="preserve">Cylicocyclus </w:t>
      </w:r>
      <w:r w:rsidRPr="0044563F">
        <w:rPr>
          <w:szCs w:val="22"/>
        </w:rPr>
        <w:t>spp.</w:t>
      </w:r>
      <w:r w:rsidRPr="0044563F">
        <w:rPr>
          <w:i/>
          <w:szCs w:val="22"/>
        </w:rPr>
        <w:t xml:space="preserve"> </w:t>
      </w:r>
    </w:p>
    <w:p w14:paraId="61A9A054" w14:textId="77777777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i/>
          <w:szCs w:val="22"/>
        </w:rPr>
      </w:pPr>
      <w:r w:rsidRPr="0044563F">
        <w:rPr>
          <w:i/>
          <w:szCs w:val="22"/>
        </w:rPr>
        <w:tab/>
        <w:t xml:space="preserve">Cylicostephanus </w:t>
      </w:r>
      <w:r w:rsidRPr="0044563F">
        <w:rPr>
          <w:szCs w:val="22"/>
        </w:rPr>
        <w:t>spp.</w:t>
      </w:r>
    </w:p>
    <w:p w14:paraId="43789AD8" w14:textId="77777777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i/>
          <w:szCs w:val="22"/>
        </w:rPr>
      </w:pPr>
      <w:r w:rsidRPr="0044563F">
        <w:rPr>
          <w:i/>
          <w:szCs w:val="22"/>
        </w:rPr>
        <w:tab/>
        <w:t xml:space="preserve">Cylicodontophorus </w:t>
      </w:r>
      <w:r w:rsidRPr="0044563F">
        <w:rPr>
          <w:szCs w:val="22"/>
        </w:rPr>
        <w:t>spp.</w:t>
      </w:r>
      <w:r w:rsidRPr="0044563F">
        <w:rPr>
          <w:i/>
          <w:szCs w:val="22"/>
        </w:rPr>
        <w:t xml:space="preserve"> </w:t>
      </w:r>
    </w:p>
    <w:p w14:paraId="04D932A1" w14:textId="77777777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44563F">
        <w:rPr>
          <w:i/>
          <w:szCs w:val="22"/>
        </w:rPr>
        <w:tab/>
        <w:t xml:space="preserve">Gyalocephalus </w:t>
      </w:r>
      <w:r w:rsidRPr="0044563F">
        <w:rPr>
          <w:szCs w:val="22"/>
        </w:rPr>
        <w:t>spp.</w:t>
      </w:r>
    </w:p>
    <w:p w14:paraId="02511DB0" w14:textId="77777777" w:rsidR="007706A7" w:rsidRPr="0044563F" w:rsidRDefault="007706A7" w:rsidP="00B20D4E">
      <w:pPr>
        <w:tabs>
          <w:tab w:val="left" w:pos="851"/>
          <w:tab w:val="left" w:pos="5104"/>
        </w:tabs>
        <w:spacing w:line="240" w:lineRule="auto"/>
        <w:jc w:val="both"/>
        <w:rPr>
          <w:b/>
          <w:szCs w:val="22"/>
        </w:rPr>
      </w:pPr>
    </w:p>
    <w:p w14:paraId="1B77FC05" w14:textId="091EEC04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44563F">
        <w:rPr>
          <w:b/>
          <w:szCs w:val="22"/>
        </w:rPr>
        <w:t>Ascaridi:</w:t>
      </w:r>
    </w:p>
    <w:p w14:paraId="650C01C3" w14:textId="77777777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ab/>
      </w:r>
      <w:r w:rsidRPr="0044563F">
        <w:rPr>
          <w:i/>
          <w:szCs w:val="22"/>
        </w:rPr>
        <w:t xml:space="preserve">Parascaris equorum </w:t>
      </w:r>
      <w:r w:rsidRPr="0044563F">
        <w:rPr>
          <w:szCs w:val="22"/>
        </w:rPr>
        <w:t>(dospělci a larvální stadia)</w:t>
      </w:r>
    </w:p>
    <w:p w14:paraId="1D4A9E5E" w14:textId="77777777" w:rsidR="007706A7" w:rsidRPr="0044563F" w:rsidRDefault="007706A7" w:rsidP="00B20D4E">
      <w:pPr>
        <w:tabs>
          <w:tab w:val="left" w:pos="851"/>
          <w:tab w:val="left" w:pos="5104"/>
        </w:tabs>
        <w:spacing w:line="240" w:lineRule="auto"/>
        <w:jc w:val="both"/>
        <w:rPr>
          <w:b/>
          <w:szCs w:val="22"/>
        </w:rPr>
      </w:pPr>
    </w:p>
    <w:p w14:paraId="18AC8DA7" w14:textId="64153978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b/>
          <w:szCs w:val="22"/>
        </w:rPr>
      </w:pPr>
      <w:r w:rsidRPr="0044563F">
        <w:rPr>
          <w:b/>
          <w:szCs w:val="22"/>
        </w:rPr>
        <w:t>Další druhy:</w:t>
      </w:r>
    </w:p>
    <w:p w14:paraId="2EC30427" w14:textId="77777777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44563F">
        <w:rPr>
          <w:i/>
          <w:szCs w:val="22"/>
        </w:rPr>
        <w:tab/>
        <w:t>Oxyuris equi</w:t>
      </w:r>
      <w:r w:rsidRPr="0044563F">
        <w:rPr>
          <w:szCs w:val="22"/>
        </w:rPr>
        <w:t xml:space="preserve"> (dospělci a larvální stadia)</w:t>
      </w:r>
    </w:p>
    <w:p w14:paraId="0A8326C3" w14:textId="77777777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ab/>
      </w:r>
      <w:r w:rsidRPr="0044563F">
        <w:rPr>
          <w:i/>
          <w:szCs w:val="22"/>
        </w:rPr>
        <w:t>Habronema muscae</w:t>
      </w:r>
      <w:r w:rsidRPr="0044563F">
        <w:rPr>
          <w:szCs w:val="22"/>
        </w:rPr>
        <w:t xml:space="preserve"> (dospělci)</w:t>
      </w:r>
    </w:p>
    <w:p w14:paraId="6472AB1A" w14:textId="77777777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44563F">
        <w:rPr>
          <w:i/>
          <w:szCs w:val="22"/>
        </w:rPr>
        <w:tab/>
        <w:t>Gasterophilus intestinalis</w:t>
      </w:r>
      <w:r w:rsidRPr="0044563F">
        <w:rPr>
          <w:szCs w:val="22"/>
        </w:rPr>
        <w:t xml:space="preserve"> (L</w:t>
      </w:r>
      <w:r w:rsidRPr="0044563F">
        <w:rPr>
          <w:szCs w:val="22"/>
          <w:vertAlign w:val="subscript"/>
        </w:rPr>
        <w:t>2</w:t>
      </w:r>
      <w:r w:rsidRPr="0044563F">
        <w:rPr>
          <w:szCs w:val="22"/>
        </w:rPr>
        <w:t>, L</w:t>
      </w:r>
      <w:r w:rsidRPr="0044563F">
        <w:rPr>
          <w:szCs w:val="22"/>
          <w:vertAlign w:val="subscript"/>
        </w:rPr>
        <w:t>3</w:t>
      </w:r>
      <w:r w:rsidRPr="0044563F">
        <w:rPr>
          <w:szCs w:val="22"/>
        </w:rPr>
        <w:t>)</w:t>
      </w:r>
    </w:p>
    <w:p w14:paraId="1E1B015A" w14:textId="77777777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ab/>
      </w:r>
      <w:r w:rsidRPr="0044563F">
        <w:rPr>
          <w:i/>
          <w:szCs w:val="22"/>
        </w:rPr>
        <w:t>Gasterophilus nasalis</w:t>
      </w:r>
      <w:r w:rsidRPr="0044563F">
        <w:rPr>
          <w:szCs w:val="22"/>
        </w:rPr>
        <w:t xml:space="preserve"> (L</w:t>
      </w:r>
      <w:r w:rsidRPr="0044563F">
        <w:rPr>
          <w:szCs w:val="22"/>
          <w:vertAlign w:val="subscript"/>
        </w:rPr>
        <w:t>2</w:t>
      </w:r>
      <w:r w:rsidRPr="0044563F">
        <w:rPr>
          <w:szCs w:val="22"/>
        </w:rPr>
        <w:t>, L</w:t>
      </w:r>
      <w:r w:rsidRPr="0044563F">
        <w:rPr>
          <w:szCs w:val="22"/>
          <w:vertAlign w:val="subscript"/>
        </w:rPr>
        <w:t>3</w:t>
      </w:r>
      <w:r w:rsidRPr="0044563F">
        <w:rPr>
          <w:szCs w:val="22"/>
        </w:rPr>
        <w:t>)</w:t>
      </w:r>
      <w:r w:rsidRPr="0044563F">
        <w:rPr>
          <w:szCs w:val="22"/>
        </w:rPr>
        <w:tab/>
      </w:r>
    </w:p>
    <w:p w14:paraId="0D0FABAC" w14:textId="77777777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i/>
          <w:szCs w:val="22"/>
        </w:rPr>
      </w:pPr>
      <w:r w:rsidRPr="0044563F">
        <w:rPr>
          <w:szCs w:val="22"/>
        </w:rPr>
        <w:tab/>
      </w:r>
      <w:r w:rsidRPr="0044563F">
        <w:rPr>
          <w:i/>
          <w:szCs w:val="22"/>
        </w:rPr>
        <w:t xml:space="preserve">Strongyloides westeri </w:t>
      </w:r>
      <w:r w:rsidRPr="0044563F">
        <w:rPr>
          <w:szCs w:val="22"/>
        </w:rPr>
        <w:t>(dospělci)</w:t>
      </w:r>
    </w:p>
    <w:p w14:paraId="2D398E06" w14:textId="77777777" w:rsidR="00242EC3" w:rsidRPr="0044563F" w:rsidRDefault="00242EC3" w:rsidP="00B20D4E">
      <w:pPr>
        <w:tabs>
          <w:tab w:val="left" w:pos="851"/>
          <w:tab w:val="left" w:pos="5104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ab/>
      </w:r>
      <w:r w:rsidRPr="0044563F">
        <w:rPr>
          <w:i/>
          <w:szCs w:val="22"/>
        </w:rPr>
        <w:t>Trichostrongylus axei</w:t>
      </w:r>
    </w:p>
    <w:p w14:paraId="140A39EC" w14:textId="77777777" w:rsidR="00242EC3" w:rsidRPr="0044563F" w:rsidRDefault="00242EC3" w:rsidP="00B20D4E">
      <w:pPr>
        <w:tabs>
          <w:tab w:val="left" w:pos="851"/>
          <w:tab w:val="left" w:pos="3969"/>
          <w:tab w:val="right" w:pos="7797"/>
        </w:tabs>
        <w:spacing w:line="240" w:lineRule="auto"/>
        <w:ind w:left="708"/>
        <w:rPr>
          <w:szCs w:val="22"/>
        </w:rPr>
      </w:pPr>
    </w:p>
    <w:p w14:paraId="675CDFFC" w14:textId="77777777" w:rsidR="00242EC3" w:rsidRPr="0044563F" w:rsidRDefault="00242EC3" w:rsidP="00B20D4E">
      <w:pPr>
        <w:tabs>
          <w:tab w:val="left" w:pos="851"/>
          <w:tab w:val="left" w:pos="3969"/>
          <w:tab w:val="right" w:pos="7797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>Proti malým strongylům navozuje přípravek persistentní účinnost po dobu dvou týdnů. Exkrece vajíček malých strongylů je potlačena po dobu 90 dní.</w:t>
      </w:r>
    </w:p>
    <w:p w14:paraId="7109AACC" w14:textId="77777777" w:rsidR="00242EC3" w:rsidRPr="0044563F" w:rsidRDefault="00242EC3" w:rsidP="00B20D4E">
      <w:pPr>
        <w:tabs>
          <w:tab w:val="left" w:pos="851"/>
          <w:tab w:val="left" w:pos="3969"/>
          <w:tab w:val="right" w:pos="7797"/>
        </w:tabs>
        <w:spacing w:line="240" w:lineRule="auto"/>
        <w:jc w:val="both"/>
        <w:rPr>
          <w:szCs w:val="22"/>
        </w:rPr>
      </w:pPr>
    </w:p>
    <w:p w14:paraId="1AEA55AA" w14:textId="77777777" w:rsidR="00242EC3" w:rsidRPr="0044563F" w:rsidRDefault="00242EC3" w:rsidP="00B20D4E">
      <w:pPr>
        <w:pStyle w:val="Zkladntextodsazen2"/>
        <w:tabs>
          <w:tab w:val="left" w:pos="0"/>
        </w:tabs>
        <w:spacing w:line="240" w:lineRule="auto"/>
        <w:ind w:left="0" w:firstLine="0"/>
        <w:rPr>
          <w:b w:val="0"/>
          <w:i/>
          <w:szCs w:val="22"/>
        </w:rPr>
      </w:pPr>
      <w:r w:rsidRPr="0044563F">
        <w:rPr>
          <w:b w:val="0"/>
          <w:i/>
          <w:szCs w:val="22"/>
        </w:rPr>
        <w:lastRenderedPageBreak/>
        <w:t>Přípravek je účinný proti (vyvíjejícím se) nitroslizničním stádiím (L</w:t>
      </w:r>
      <w:r w:rsidRPr="0044563F">
        <w:rPr>
          <w:b w:val="0"/>
          <w:i/>
          <w:szCs w:val="22"/>
          <w:vertAlign w:val="subscript"/>
        </w:rPr>
        <w:t>4</w:t>
      </w:r>
      <w:r w:rsidRPr="0044563F">
        <w:rPr>
          <w:b w:val="0"/>
          <w:i/>
          <w:szCs w:val="22"/>
        </w:rPr>
        <w:t>) malých strongylů. Za 8 týdnů po léčbě jsou eliminována časná (hypobiotická) L</w:t>
      </w:r>
      <w:r w:rsidRPr="0044563F">
        <w:rPr>
          <w:b w:val="0"/>
          <w:i/>
          <w:szCs w:val="22"/>
          <w:vertAlign w:val="subscript"/>
        </w:rPr>
        <w:t>3</w:t>
      </w:r>
      <w:r w:rsidRPr="0044563F">
        <w:rPr>
          <w:b w:val="0"/>
          <w:i/>
          <w:szCs w:val="22"/>
        </w:rPr>
        <w:t xml:space="preserve"> stádia malých strongylů.</w:t>
      </w:r>
    </w:p>
    <w:p w14:paraId="777DC3A4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szCs w:val="22"/>
        </w:rPr>
      </w:pPr>
    </w:p>
    <w:p w14:paraId="2EC76769" w14:textId="77777777" w:rsidR="004A6338" w:rsidRPr="0044563F" w:rsidRDefault="004A6338" w:rsidP="00B20D4E">
      <w:pPr>
        <w:pStyle w:val="Style1"/>
      </w:pPr>
      <w:r w:rsidRPr="0044563F">
        <w:rPr>
          <w:highlight w:val="lightGray"/>
        </w:rPr>
        <w:t>5.</w:t>
      </w:r>
      <w:r w:rsidRPr="0044563F">
        <w:tab/>
        <w:t>Kontraindikace</w:t>
      </w:r>
    </w:p>
    <w:p w14:paraId="32D6F24C" w14:textId="77777777" w:rsidR="004A6338" w:rsidRPr="0044563F" w:rsidRDefault="004A6338" w:rsidP="00B20D4E">
      <w:pPr>
        <w:numPr>
          <w:ilvl w:val="12"/>
          <w:numId w:val="0"/>
        </w:numPr>
        <w:tabs>
          <w:tab w:val="left" w:pos="360"/>
        </w:tabs>
        <w:spacing w:line="240" w:lineRule="auto"/>
        <w:rPr>
          <w:szCs w:val="22"/>
        </w:rPr>
      </w:pPr>
    </w:p>
    <w:p w14:paraId="0A06BA0D" w14:textId="6C0CDABB" w:rsidR="00AA17BF" w:rsidRPr="0044563F" w:rsidRDefault="00227B79" w:rsidP="00B20D4E">
      <w:pPr>
        <w:spacing w:line="240" w:lineRule="auto"/>
        <w:rPr>
          <w:b/>
          <w:szCs w:val="22"/>
        </w:rPr>
      </w:pPr>
      <w:r w:rsidRPr="0044563F">
        <w:rPr>
          <w:szCs w:val="22"/>
        </w:rPr>
        <w:t>Nepodávat</w:t>
      </w:r>
      <w:r w:rsidR="00AA17BF" w:rsidRPr="0044563F">
        <w:rPr>
          <w:szCs w:val="22"/>
        </w:rPr>
        <w:t xml:space="preserve"> hříbatům do stáří 4 měsíců.</w:t>
      </w:r>
    </w:p>
    <w:p w14:paraId="3ACA7B58" w14:textId="77777777" w:rsidR="00227B79" w:rsidRPr="0044563F" w:rsidRDefault="00227B79" w:rsidP="00B20D4E">
      <w:pPr>
        <w:pStyle w:val="Textkomente"/>
        <w:spacing w:line="240" w:lineRule="auto"/>
        <w:rPr>
          <w:sz w:val="22"/>
          <w:szCs w:val="22"/>
        </w:rPr>
      </w:pPr>
      <w:r w:rsidRPr="0044563F">
        <w:rPr>
          <w:sz w:val="22"/>
          <w:szCs w:val="22"/>
        </w:rPr>
        <w:t>Nepoužívat v případech přecitlivělosti na léčivou nebo na některou z pomocných látek.</w:t>
      </w:r>
    </w:p>
    <w:p w14:paraId="36794C2A" w14:textId="77777777" w:rsidR="004A6338" w:rsidRPr="0044563F" w:rsidRDefault="004A6338" w:rsidP="00B20D4E">
      <w:pPr>
        <w:spacing w:line="240" w:lineRule="auto"/>
        <w:rPr>
          <w:szCs w:val="22"/>
        </w:rPr>
      </w:pPr>
    </w:p>
    <w:p w14:paraId="4D9F7BFB" w14:textId="77777777" w:rsidR="004A6338" w:rsidRPr="0044563F" w:rsidRDefault="004A6338" w:rsidP="00B20D4E">
      <w:pPr>
        <w:pStyle w:val="Style1"/>
      </w:pPr>
      <w:r w:rsidRPr="0044563F">
        <w:rPr>
          <w:highlight w:val="lightGray"/>
        </w:rPr>
        <w:t>6.</w:t>
      </w:r>
      <w:r w:rsidRPr="0044563F">
        <w:tab/>
        <w:t>Zvláštní upozornění</w:t>
      </w:r>
    </w:p>
    <w:p w14:paraId="7A641E87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szCs w:val="22"/>
        </w:rPr>
      </w:pPr>
    </w:p>
    <w:p w14:paraId="6DF412C8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szCs w:val="22"/>
        </w:rPr>
      </w:pPr>
      <w:r w:rsidRPr="0044563F">
        <w:rPr>
          <w:szCs w:val="22"/>
          <w:u w:val="single"/>
        </w:rPr>
        <w:t>Zvláštní upozornění:</w:t>
      </w:r>
    </w:p>
    <w:p w14:paraId="5BBF2FF1" w14:textId="6EE7233B" w:rsidR="00345564" w:rsidRPr="0044563F" w:rsidRDefault="00B434FC" w:rsidP="00B20D4E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 xml:space="preserve">Tento veterinární léčivý přípravek </w:t>
      </w:r>
      <w:r w:rsidR="00345564" w:rsidRPr="0044563F">
        <w:rPr>
          <w:szCs w:val="22"/>
        </w:rPr>
        <w:t xml:space="preserve">byl vyvinut specificky jen pro použití u koní. Psi a kočky mohou vykazovat nežádoucí vedlejší reakce po požití moxidektinu v koncentraci obsažené v přípravku, a to po požití rozlité pasty nebo při přístupu k  použitému aplikátoru. </w:t>
      </w:r>
    </w:p>
    <w:p w14:paraId="509F0BF6" w14:textId="77777777" w:rsidR="00345564" w:rsidRPr="0044563F" w:rsidRDefault="00345564" w:rsidP="00B20D4E">
      <w:pPr>
        <w:spacing w:line="240" w:lineRule="auto"/>
        <w:jc w:val="both"/>
        <w:rPr>
          <w:szCs w:val="22"/>
        </w:rPr>
      </w:pPr>
    </w:p>
    <w:p w14:paraId="09B32B6A" w14:textId="77777777" w:rsidR="005A2D48" w:rsidRPr="0044563F" w:rsidRDefault="005A2D48" w:rsidP="005A2D48">
      <w:pPr>
        <w:jc w:val="both"/>
      </w:pPr>
      <w:r w:rsidRPr="0044563F">
        <w:t xml:space="preserve">Nadbytečné použití antiparazitik nebo použití v rozporu s pokyny uvedenými v SPC může zvýšit selekčním tlakem rezistenci a vést ke snížení účinnosti. </w:t>
      </w:r>
    </w:p>
    <w:p w14:paraId="590BBC8D" w14:textId="702526A5" w:rsidR="00345564" w:rsidRPr="0044563F" w:rsidRDefault="005A2D48" w:rsidP="003D7B1F">
      <w:pPr>
        <w:spacing w:line="240" w:lineRule="auto"/>
        <w:jc w:val="both"/>
        <w:rPr>
          <w:szCs w:val="22"/>
        </w:rPr>
      </w:pPr>
      <w:r w:rsidRPr="0044563F">
        <w:t>Rozhodnutí o použití veterinárního léčivého přípravku by mělo být pro každé individuální zvíře založeno na potvrzení druhu parazita a s ním spojené zátěže nebo rizika napadení zohledňujícího dostupné epidemiologické údaje.</w:t>
      </w:r>
    </w:p>
    <w:p w14:paraId="324D4CD5" w14:textId="679921F8" w:rsidR="00345564" w:rsidRPr="0044563F" w:rsidRDefault="00345564" w:rsidP="00B20D4E">
      <w:pPr>
        <w:spacing w:line="240" w:lineRule="auto"/>
        <w:jc w:val="both"/>
        <w:rPr>
          <w:szCs w:val="22"/>
        </w:rPr>
      </w:pPr>
      <w:r w:rsidRPr="0044563F">
        <w:rPr>
          <w:szCs w:val="22"/>
        </w:rPr>
        <w:t xml:space="preserve">Podezřelé klinické případy mají být vyšetřeny na rezistenci k anthelmintikům za použití vhodných testů (např. </w:t>
      </w:r>
      <w:r w:rsidR="00E83265" w:rsidRPr="0044563F">
        <w:rPr>
          <w:szCs w:val="22"/>
        </w:rPr>
        <w:t>t</w:t>
      </w:r>
      <w:r w:rsidRPr="0044563F">
        <w:rPr>
          <w:szCs w:val="22"/>
        </w:rPr>
        <w:t>estu redukce počtu vajíček-FECRT). Tam, kde výsledky testu potvrzují rezistenci k určitému anthelmintiku, by mělo být použito anthelmintikum náležející do jiné skupiny a mající jiný způsob účinku.</w:t>
      </w:r>
    </w:p>
    <w:p w14:paraId="4CFF1542" w14:textId="77777777" w:rsidR="004A6338" w:rsidRPr="0044563F" w:rsidRDefault="004A6338" w:rsidP="00B20D4E">
      <w:pPr>
        <w:autoSpaceDE w:val="0"/>
        <w:autoSpaceDN w:val="0"/>
        <w:adjustRightInd w:val="0"/>
        <w:spacing w:line="240" w:lineRule="auto"/>
        <w:ind w:right="-300"/>
        <w:rPr>
          <w:color w:val="000000"/>
          <w:szCs w:val="22"/>
          <w:lang w:eastAsia="cs-CZ"/>
        </w:rPr>
      </w:pPr>
    </w:p>
    <w:p w14:paraId="70DF5659" w14:textId="77777777" w:rsidR="004A6338" w:rsidRPr="0044563F" w:rsidRDefault="004A6338" w:rsidP="00B20D4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4563F">
        <w:rPr>
          <w:szCs w:val="22"/>
          <w:u w:val="single"/>
        </w:rPr>
        <w:t>Zvláštní opatření pro bezpečné použití u cílových druhů zvířat</w:t>
      </w:r>
      <w:r w:rsidRPr="0044563F">
        <w:rPr>
          <w:szCs w:val="22"/>
        </w:rPr>
        <w:t>:</w:t>
      </w:r>
    </w:p>
    <w:p w14:paraId="34B5B18E" w14:textId="5C4871D0" w:rsidR="00345564" w:rsidRPr="0044563F" w:rsidRDefault="00345564" w:rsidP="00B20D4E">
      <w:pPr>
        <w:tabs>
          <w:tab w:val="left" w:pos="0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>Pro zabránění předávkování je nutné věnovat pozornost přesnému dávkování u hříbat, především u</w:t>
      </w:r>
      <w:r w:rsidR="000679F2" w:rsidRPr="0044563F">
        <w:rPr>
          <w:szCs w:val="22"/>
        </w:rPr>
        <w:t> </w:t>
      </w:r>
      <w:r w:rsidRPr="0044563F">
        <w:rPr>
          <w:szCs w:val="22"/>
        </w:rPr>
        <w:t>hříbat s nízkou živou hmotností nebo u hříbat poníků.</w:t>
      </w:r>
    </w:p>
    <w:p w14:paraId="287EE4AF" w14:textId="343F7FF3" w:rsidR="00345564" w:rsidRPr="0044563F" w:rsidRDefault="00FA010E" w:rsidP="00B20D4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>Nepoužívat stejný aplikátor na více než na jedno zvíře, pokud nejde o zvířata, která jsou na jedné pastvě anebo přichází spolu přímo do styku.</w:t>
      </w:r>
    </w:p>
    <w:p w14:paraId="0A33D6A5" w14:textId="77777777" w:rsidR="004A6338" w:rsidRPr="0044563F" w:rsidRDefault="004A6338" w:rsidP="00B20D4E">
      <w:pPr>
        <w:numPr>
          <w:ilvl w:val="12"/>
          <w:numId w:val="0"/>
        </w:numPr>
        <w:tabs>
          <w:tab w:val="left" w:pos="360"/>
        </w:tabs>
        <w:spacing w:line="240" w:lineRule="auto"/>
        <w:jc w:val="both"/>
        <w:rPr>
          <w:szCs w:val="22"/>
        </w:rPr>
      </w:pPr>
    </w:p>
    <w:p w14:paraId="76FF0044" w14:textId="77777777" w:rsidR="004A6338" w:rsidRPr="0044563F" w:rsidRDefault="004A6338" w:rsidP="00B054F3">
      <w:pPr>
        <w:pStyle w:val="BodyText210"/>
        <w:keepNext/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  <w:u w:val="single"/>
          <w:lang w:val="cs-CZ" w:eastAsia="en-US"/>
        </w:rPr>
      </w:pPr>
      <w:r w:rsidRPr="0044563F">
        <w:rPr>
          <w:sz w:val="22"/>
          <w:szCs w:val="22"/>
          <w:u w:val="single"/>
          <w:lang w:val="cs-CZ" w:eastAsia="en-US"/>
        </w:rPr>
        <w:t>Zvláštní opatření pro osobu, která podává veterinární léčivý přípravek zvířatům:</w:t>
      </w:r>
    </w:p>
    <w:p w14:paraId="6DDEAD33" w14:textId="62432BBA" w:rsidR="00B6054E" w:rsidRPr="0044563F" w:rsidRDefault="00FF1B32" w:rsidP="00B20D4E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 xml:space="preserve">Zabraňte </w:t>
      </w:r>
      <w:r w:rsidR="00B6054E" w:rsidRPr="0044563F">
        <w:rPr>
          <w:szCs w:val="22"/>
        </w:rPr>
        <w:t>přímému kontaktu přípravku s pokožkou a s očima.</w:t>
      </w:r>
    </w:p>
    <w:p w14:paraId="12A7611C" w14:textId="45F15F61" w:rsidR="00B6054E" w:rsidRPr="0044563F" w:rsidRDefault="00FF1B32" w:rsidP="00B20D4E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 xml:space="preserve">Při nakládání s veterinárním léčivým přípravkem by se měly používat osobní ochranné prostředky skládající se z </w:t>
      </w:r>
      <w:r w:rsidR="00B6054E" w:rsidRPr="0044563F">
        <w:rPr>
          <w:szCs w:val="22"/>
        </w:rPr>
        <w:t>ochranných rukavic.</w:t>
      </w:r>
    </w:p>
    <w:p w14:paraId="3A453215" w14:textId="0183F427" w:rsidR="00B6054E" w:rsidRPr="0044563F" w:rsidRDefault="00B6054E" w:rsidP="00B20D4E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 xml:space="preserve">Po aplikaci přípravku </w:t>
      </w:r>
      <w:r w:rsidR="00FF1B32" w:rsidRPr="0044563F">
        <w:rPr>
          <w:szCs w:val="22"/>
        </w:rPr>
        <w:t xml:space="preserve">si umyjte </w:t>
      </w:r>
      <w:r w:rsidRPr="0044563F">
        <w:rPr>
          <w:szCs w:val="22"/>
        </w:rPr>
        <w:t xml:space="preserve">ruce a všechna místa, která </w:t>
      </w:r>
      <w:r w:rsidR="00FF1B32" w:rsidRPr="0044563F">
        <w:rPr>
          <w:szCs w:val="22"/>
        </w:rPr>
        <w:t xml:space="preserve">s ním </w:t>
      </w:r>
      <w:r w:rsidRPr="0044563F">
        <w:rPr>
          <w:szCs w:val="22"/>
        </w:rPr>
        <w:t>přišla do styku.</w:t>
      </w:r>
    </w:p>
    <w:p w14:paraId="0B9F3157" w14:textId="6B089513" w:rsidR="00B6054E" w:rsidRPr="0044563F" w:rsidRDefault="00B6054E" w:rsidP="00B20D4E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>Během manipulace s přípravkem nekuřt</w:t>
      </w:r>
      <w:r w:rsidR="00FF1B32" w:rsidRPr="0044563F">
        <w:rPr>
          <w:szCs w:val="22"/>
        </w:rPr>
        <w:t>e</w:t>
      </w:r>
      <w:r w:rsidRPr="0044563F">
        <w:rPr>
          <w:szCs w:val="22"/>
        </w:rPr>
        <w:t>, nep</w:t>
      </w:r>
      <w:r w:rsidR="00FF1B32" w:rsidRPr="0044563F">
        <w:rPr>
          <w:szCs w:val="22"/>
        </w:rPr>
        <w:t>ijte</w:t>
      </w:r>
      <w:r w:rsidRPr="0044563F">
        <w:rPr>
          <w:szCs w:val="22"/>
        </w:rPr>
        <w:t xml:space="preserve"> a nej</w:t>
      </w:r>
      <w:r w:rsidR="00FF1B32" w:rsidRPr="0044563F">
        <w:rPr>
          <w:szCs w:val="22"/>
        </w:rPr>
        <w:t>ezte</w:t>
      </w:r>
      <w:r w:rsidRPr="0044563F">
        <w:rPr>
          <w:szCs w:val="22"/>
        </w:rPr>
        <w:t>.</w:t>
      </w:r>
    </w:p>
    <w:p w14:paraId="753484AF" w14:textId="534860D4" w:rsidR="00B6054E" w:rsidRPr="0044563F" w:rsidRDefault="00B6054E" w:rsidP="00B20D4E">
      <w:pPr>
        <w:spacing w:line="240" w:lineRule="auto"/>
        <w:jc w:val="both"/>
        <w:rPr>
          <w:szCs w:val="22"/>
        </w:rPr>
      </w:pPr>
      <w:r w:rsidRPr="0044563F">
        <w:rPr>
          <w:szCs w:val="22"/>
        </w:rPr>
        <w:t>Při vniknutí přípravku do oka je</w:t>
      </w:r>
      <w:r w:rsidR="00FF1B32" w:rsidRPr="0044563F">
        <w:rPr>
          <w:szCs w:val="22"/>
        </w:rPr>
        <w:t>j</w:t>
      </w:r>
      <w:r w:rsidRPr="0044563F">
        <w:rPr>
          <w:szCs w:val="22"/>
        </w:rPr>
        <w:t xml:space="preserve"> neprodleně propláchn</w:t>
      </w:r>
      <w:r w:rsidR="00FF1B32" w:rsidRPr="0044563F">
        <w:rPr>
          <w:szCs w:val="22"/>
        </w:rPr>
        <w:t>ěte</w:t>
      </w:r>
      <w:r w:rsidRPr="0044563F">
        <w:rPr>
          <w:szCs w:val="22"/>
        </w:rPr>
        <w:t xml:space="preserve"> proudem vody. Při podráždění </w:t>
      </w:r>
    </w:p>
    <w:p w14:paraId="7AD3229C" w14:textId="77777777" w:rsidR="00B6054E" w:rsidRPr="0044563F" w:rsidRDefault="00B6054E" w:rsidP="00B20D4E">
      <w:pPr>
        <w:spacing w:line="240" w:lineRule="auto"/>
        <w:jc w:val="both"/>
        <w:rPr>
          <w:szCs w:val="22"/>
        </w:rPr>
      </w:pPr>
      <w:r w:rsidRPr="0044563F">
        <w:rPr>
          <w:szCs w:val="22"/>
        </w:rPr>
        <w:t>vyhledejte lékařskou pomoc.</w:t>
      </w:r>
    </w:p>
    <w:p w14:paraId="12807927" w14:textId="77777777" w:rsidR="004A6338" w:rsidRPr="0044563F" w:rsidRDefault="004A6338" w:rsidP="00B20D4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65B48729" w14:textId="77777777" w:rsidR="004A6338" w:rsidRPr="0044563F" w:rsidRDefault="004A6338" w:rsidP="00B20D4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44563F">
        <w:rPr>
          <w:szCs w:val="22"/>
          <w:u w:val="single"/>
        </w:rPr>
        <w:t>Zvláštní opatření pro ochranu životního prostředí:</w:t>
      </w:r>
    </w:p>
    <w:p w14:paraId="31086EDD" w14:textId="77777777" w:rsidR="002B7B37" w:rsidRPr="0044563F" w:rsidRDefault="002B7B37" w:rsidP="00B20D4E">
      <w:pPr>
        <w:spacing w:line="240" w:lineRule="auto"/>
        <w:jc w:val="both"/>
        <w:rPr>
          <w:szCs w:val="22"/>
        </w:rPr>
      </w:pPr>
      <w:r w:rsidRPr="0044563F">
        <w:rPr>
          <w:szCs w:val="22"/>
        </w:rPr>
        <w:t>Moxidektin splňuje kritéria pro (velmi) perzistentní, bioakumulativní a toxickou (PBT) látku; z toho důvodu je nutné expozici životního prostředí moxidektinu co možná nejvíce omezit. Léčba by měla být podána pouze tehdy, jestliže je to nezbytné, a měla by být založena na počtu vajíček v trusu nebo na zhodnocení rizika infestace na úrovni zvířete a/nebo stáda. Kvůli omezení průniku moxidektinu do povrchových vod a na základě profilu vylučování moxidektinu při podání ve formě perorální lékové formy koním by léčená zvířata neměla mít během prvního týdne po léčbě přístup k vodním tokům.</w:t>
      </w:r>
    </w:p>
    <w:p w14:paraId="2B91D9BF" w14:textId="77777777" w:rsidR="002B7B37" w:rsidRPr="0044563F" w:rsidRDefault="002B7B37" w:rsidP="00B20D4E">
      <w:pPr>
        <w:spacing w:line="240" w:lineRule="auto"/>
        <w:jc w:val="both"/>
        <w:rPr>
          <w:szCs w:val="22"/>
        </w:rPr>
      </w:pPr>
    </w:p>
    <w:p w14:paraId="155B367A" w14:textId="1AB7975C" w:rsidR="002B7B37" w:rsidRPr="0044563F" w:rsidRDefault="002B7B37" w:rsidP="00B20D4E">
      <w:pPr>
        <w:spacing w:after="120" w:line="240" w:lineRule="auto"/>
        <w:jc w:val="both"/>
        <w:rPr>
          <w:szCs w:val="22"/>
        </w:rPr>
      </w:pPr>
      <w:r w:rsidRPr="0044563F">
        <w:rPr>
          <w:szCs w:val="22"/>
        </w:rPr>
        <w:t>Podobně jako jiné makrocyklické laktony má moxidektin schopnost negativně ovlivňovat i jiné než cílové organismy</w:t>
      </w:r>
      <w:r w:rsidR="00A369FA" w:rsidRPr="0044563F">
        <w:rPr>
          <w:szCs w:val="22"/>
        </w:rPr>
        <w:t>, zejména vodní organismy a faunu trusu.</w:t>
      </w:r>
    </w:p>
    <w:p w14:paraId="6745A1BD" w14:textId="10365EF2" w:rsidR="002B7B37" w:rsidRPr="0044563F" w:rsidRDefault="002B7B37" w:rsidP="00B20D4E">
      <w:pPr>
        <w:spacing w:line="240" w:lineRule="auto"/>
        <w:jc w:val="both"/>
        <w:rPr>
          <w:szCs w:val="22"/>
        </w:rPr>
      </w:pPr>
      <w:r w:rsidRPr="0044563F">
        <w:rPr>
          <w:szCs w:val="22"/>
        </w:rPr>
        <w:t xml:space="preserve">• Výkaly obsahující moxidektin vylučované na pastvě léčenými zvířaty mohou dočasně snižovat množství organismů živících se trusem. U koní se po dobu více než 1 týdne po léčbě přípravkem mohou vylučovat hladiny moxidektinu, které jsou potenciálně toxické pro brouky hnojníky a mouchy žijící </w:t>
      </w:r>
      <w:r w:rsidR="000679F2" w:rsidRPr="0044563F">
        <w:rPr>
          <w:szCs w:val="22"/>
        </w:rPr>
        <w:t>v </w:t>
      </w:r>
      <w:r w:rsidRPr="0044563F">
        <w:rPr>
          <w:szCs w:val="22"/>
        </w:rPr>
        <w:t>trusu, a může docházet k poklesu množství fauny trusu.</w:t>
      </w:r>
    </w:p>
    <w:p w14:paraId="755AAB12" w14:textId="77777777" w:rsidR="002B7B37" w:rsidRPr="0044563F" w:rsidRDefault="002B7B37" w:rsidP="00B20D4E">
      <w:pPr>
        <w:spacing w:line="240" w:lineRule="auto"/>
        <w:jc w:val="both"/>
        <w:rPr>
          <w:szCs w:val="22"/>
        </w:rPr>
      </w:pPr>
    </w:p>
    <w:p w14:paraId="3261C275" w14:textId="77777777" w:rsidR="002B7B37" w:rsidRPr="0044563F" w:rsidRDefault="002B7B37" w:rsidP="00B20D4E">
      <w:pPr>
        <w:spacing w:line="240" w:lineRule="auto"/>
        <w:ind w:left="90" w:hanging="90"/>
        <w:jc w:val="both"/>
        <w:rPr>
          <w:szCs w:val="22"/>
        </w:rPr>
      </w:pPr>
      <w:r w:rsidRPr="0044563F">
        <w:rPr>
          <w:szCs w:val="22"/>
        </w:rPr>
        <w:t>• Moxidektin je svou podstatou toxický pro vodní organismy včetně ryb. Přípravek by se měl používat pouze podle instrukcí na etiketě.</w:t>
      </w:r>
    </w:p>
    <w:p w14:paraId="21905BEA" w14:textId="77777777" w:rsidR="004A6338" w:rsidRPr="0044563F" w:rsidRDefault="004A6338" w:rsidP="00B20D4E">
      <w:pPr>
        <w:spacing w:line="240" w:lineRule="auto"/>
        <w:rPr>
          <w:szCs w:val="22"/>
        </w:rPr>
      </w:pPr>
    </w:p>
    <w:p w14:paraId="3A22E877" w14:textId="77777777" w:rsidR="004A6338" w:rsidRPr="0044563F" w:rsidRDefault="004A6338" w:rsidP="00B20D4E">
      <w:pPr>
        <w:spacing w:line="240" w:lineRule="auto"/>
        <w:rPr>
          <w:szCs w:val="22"/>
          <w:u w:val="single"/>
        </w:rPr>
      </w:pPr>
      <w:r w:rsidRPr="0044563F">
        <w:rPr>
          <w:szCs w:val="22"/>
          <w:u w:val="single"/>
        </w:rPr>
        <w:t>Březost a laktace:</w:t>
      </w:r>
    </w:p>
    <w:p w14:paraId="6B579570" w14:textId="77777777" w:rsidR="00E67A64" w:rsidRPr="0044563F" w:rsidRDefault="00E67A64" w:rsidP="00B20D4E">
      <w:pPr>
        <w:numPr>
          <w:ilvl w:val="12"/>
          <w:numId w:val="0"/>
        </w:numPr>
        <w:tabs>
          <w:tab w:val="left" w:pos="360"/>
        </w:tabs>
        <w:spacing w:line="240" w:lineRule="auto"/>
        <w:rPr>
          <w:szCs w:val="22"/>
        </w:rPr>
      </w:pPr>
      <w:r w:rsidRPr="0044563F">
        <w:rPr>
          <w:szCs w:val="22"/>
        </w:rPr>
        <w:t xml:space="preserve">Lze použít během březosti a laktace. </w:t>
      </w:r>
    </w:p>
    <w:p w14:paraId="03D6F69F" w14:textId="77777777" w:rsidR="004A6338" w:rsidRPr="0044563F" w:rsidRDefault="004A6338" w:rsidP="00B20D4E">
      <w:pPr>
        <w:spacing w:line="240" w:lineRule="auto"/>
        <w:rPr>
          <w:szCs w:val="22"/>
        </w:rPr>
      </w:pPr>
    </w:p>
    <w:p w14:paraId="68BFF5CB" w14:textId="77777777" w:rsidR="004A6338" w:rsidRPr="0044563F" w:rsidRDefault="004A6338" w:rsidP="00B20D4E">
      <w:pPr>
        <w:spacing w:line="240" w:lineRule="auto"/>
        <w:rPr>
          <w:szCs w:val="22"/>
          <w:u w:val="single"/>
        </w:rPr>
      </w:pPr>
      <w:r w:rsidRPr="0044563F">
        <w:rPr>
          <w:szCs w:val="22"/>
          <w:u w:val="single"/>
        </w:rPr>
        <w:t>Interakce s jinými léčivými přípravky a další formy interakce:</w:t>
      </w:r>
    </w:p>
    <w:p w14:paraId="0F3E27DA" w14:textId="77777777" w:rsidR="000D47D6" w:rsidRPr="0044563F" w:rsidRDefault="000D47D6" w:rsidP="00B20D4E">
      <w:pPr>
        <w:spacing w:line="240" w:lineRule="auto"/>
        <w:rPr>
          <w:szCs w:val="22"/>
        </w:rPr>
      </w:pPr>
      <w:r w:rsidRPr="0044563F">
        <w:rPr>
          <w:szCs w:val="22"/>
        </w:rPr>
        <w:t>Nejsou známy.</w:t>
      </w:r>
    </w:p>
    <w:p w14:paraId="732C9A9A" w14:textId="77777777" w:rsidR="004A6338" w:rsidRPr="0044563F" w:rsidRDefault="004A6338" w:rsidP="00B20D4E">
      <w:pPr>
        <w:spacing w:line="240" w:lineRule="auto"/>
        <w:rPr>
          <w:szCs w:val="22"/>
        </w:rPr>
      </w:pPr>
    </w:p>
    <w:p w14:paraId="1133ED0D" w14:textId="77777777" w:rsidR="004A6338" w:rsidRPr="0044563F" w:rsidRDefault="004A6338" w:rsidP="00B20D4E">
      <w:pPr>
        <w:spacing w:line="240" w:lineRule="auto"/>
        <w:rPr>
          <w:szCs w:val="22"/>
          <w:u w:val="single"/>
        </w:rPr>
      </w:pPr>
      <w:r w:rsidRPr="0044563F">
        <w:rPr>
          <w:szCs w:val="22"/>
          <w:u w:val="single"/>
        </w:rPr>
        <w:t>Předávkování:</w:t>
      </w:r>
    </w:p>
    <w:p w14:paraId="3E5E68E1" w14:textId="10E51813" w:rsidR="00BF7021" w:rsidRPr="0044563F" w:rsidRDefault="00BF7021" w:rsidP="00B20D4E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 xml:space="preserve">Přechodné nežádoucí reakce se mohou dostavit po dvojnásobku doporučované dávky u hříbat a po trojnásobné dávce u dospělých zvířat. Příznaky jsou deprese, inapetence, ataxie, dále ochabnutí spodního pysku 8 až 24 hodin po </w:t>
      </w:r>
      <w:r w:rsidR="00227B79" w:rsidRPr="0044563F">
        <w:rPr>
          <w:szCs w:val="22"/>
        </w:rPr>
        <w:t>podání</w:t>
      </w:r>
      <w:r w:rsidRPr="0044563F">
        <w:rPr>
          <w:szCs w:val="22"/>
        </w:rPr>
        <w:t xml:space="preserve">. Symptomatická léčba není obvykle zapotřebí a příznaky odeznívají zcela v průběhu 24 až 72 hodin. Specifické antidotum není známé. </w:t>
      </w:r>
    </w:p>
    <w:p w14:paraId="466CDD56" w14:textId="77777777" w:rsidR="004A6338" w:rsidRPr="0044563F" w:rsidRDefault="004A6338" w:rsidP="00B20D4E">
      <w:pPr>
        <w:spacing w:line="240" w:lineRule="auto"/>
        <w:rPr>
          <w:szCs w:val="22"/>
        </w:rPr>
      </w:pPr>
    </w:p>
    <w:p w14:paraId="5974166A" w14:textId="77777777" w:rsidR="004A6338" w:rsidRPr="0044563F" w:rsidRDefault="004A6338" w:rsidP="00B20D4E">
      <w:pPr>
        <w:spacing w:line="240" w:lineRule="auto"/>
        <w:rPr>
          <w:szCs w:val="22"/>
        </w:rPr>
      </w:pPr>
      <w:r w:rsidRPr="0044563F">
        <w:rPr>
          <w:szCs w:val="22"/>
          <w:u w:val="single"/>
        </w:rPr>
        <w:t>Zvláštní omezení použití a zvláštní podmínky pro použití:</w:t>
      </w:r>
    </w:p>
    <w:p w14:paraId="3F92AE25" w14:textId="77777777" w:rsidR="00082235" w:rsidRPr="0044563F" w:rsidRDefault="00082235" w:rsidP="00B20D4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>Neuplatňuje se.</w:t>
      </w:r>
    </w:p>
    <w:p w14:paraId="150C0088" w14:textId="77777777" w:rsidR="004A6338" w:rsidRPr="0044563F" w:rsidRDefault="004A6338" w:rsidP="00B20D4E">
      <w:pPr>
        <w:spacing w:line="240" w:lineRule="auto"/>
        <w:rPr>
          <w:szCs w:val="22"/>
        </w:rPr>
      </w:pPr>
    </w:p>
    <w:p w14:paraId="087D0E38" w14:textId="77777777" w:rsidR="004A6338" w:rsidRPr="0044563F" w:rsidRDefault="004A6338" w:rsidP="00B20D4E">
      <w:pPr>
        <w:spacing w:line="240" w:lineRule="auto"/>
        <w:rPr>
          <w:szCs w:val="22"/>
          <w:u w:val="single"/>
        </w:rPr>
      </w:pPr>
      <w:r w:rsidRPr="0044563F">
        <w:rPr>
          <w:szCs w:val="22"/>
          <w:u w:val="single"/>
        </w:rPr>
        <w:t>Hlavní inkompatibility:</w:t>
      </w:r>
    </w:p>
    <w:p w14:paraId="59B8A3E9" w14:textId="77777777" w:rsidR="004F08C8" w:rsidRPr="0044563F" w:rsidRDefault="004F08C8" w:rsidP="00B20D4E">
      <w:pPr>
        <w:spacing w:line="240" w:lineRule="auto"/>
        <w:rPr>
          <w:szCs w:val="22"/>
        </w:rPr>
      </w:pPr>
      <w:r w:rsidRPr="0044563F">
        <w:rPr>
          <w:szCs w:val="22"/>
        </w:rPr>
        <w:t>Nejsou známy.</w:t>
      </w:r>
    </w:p>
    <w:p w14:paraId="0097FC0E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szCs w:val="22"/>
        </w:rPr>
      </w:pPr>
    </w:p>
    <w:p w14:paraId="61AD51F7" w14:textId="77777777" w:rsidR="004A6338" w:rsidRPr="0044563F" w:rsidRDefault="004A6338" w:rsidP="00B20D4E">
      <w:pPr>
        <w:pStyle w:val="Style1"/>
      </w:pPr>
      <w:r w:rsidRPr="0044563F">
        <w:rPr>
          <w:highlight w:val="lightGray"/>
        </w:rPr>
        <w:t>7.</w:t>
      </w:r>
      <w:r w:rsidRPr="0044563F">
        <w:tab/>
        <w:t>Nežádoucí účinky</w:t>
      </w:r>
    </w:p>
    <w:p w14:paraId="512E695E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02697AC" w14:textId="77777777" w:rsidR="007966DA" w:rsidRPr="0044563F" w:rsidRDefault="007966DA" w:rsidP="00B20D4E">
      <w:pPr>
        <w:spacing w:line="240" w:lineRule="auto"/>
        <w:rPr>
          <w:szCs w:val="22"/>
        </w:rPr>
      </w:pPr>
      <w:r w:rsidRPr="0044563F">
        <w:rPr>
          <w:szCs w:val="22"/>
        </w:rPr>
        <w:t>Koně a poníci:</w:t>
      </w:r>
    </w:p>
    <w:p w14:paraId="739592C6" w14:textId="77777777" w:rsidR="007966DA" w:rsidRPr="0044563F" w:rsidRDefault="007966DA" w:rsidP="007966DA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80149" w:rsidRPr="0044563F" w14:paraId="16DFF018" w14:textId="77777777" w:rsidTr="007966DA">
        <w:tc>
          <w:tcPr>
            <w:tcW w:w="5000" w:type="pct"/>
          </w:tcPr>
          <w:p w14:paraId="679901F1" w14:textId="429FA358" w:rsidR="007966DA" w:rsidRPr="0044563F" w:rsidRDefault="002F695D" w:rsidP="002F695D">
            <w:pPr>
              <w:spacing w:before="60" w:after="60"/>
              <w:rPr>
                <w:iCs/>
                <w:szCs w:val="22"/>
              </w:rPr>
            </w:pPr>
            <w:r w:rsidRPr="0044563F">
              <w:rPr>
                <w:szCs w:val="22"/>
              </w:rPr>
              <w:t>Velmi vzácné (&lt; 1 zvíře / 10 000 ošetřených zvířat, včetně ojedinělých hlášení):</w:t>
            </w:r>
          </w:p>
        </w:tc>
      </w:tr>
      <w:tr w:rsidR="00E80149" w:rsidRPr="0044563F" w14:paraId="41B5B983" w14:textId="77777777" w:rsidTr="007966DA">
        <w:tc>
          <w:tcPr>
            <w:tcW w:w="5000" w:type="pct"/>
          </w:tcPr>
          <w:p w14:paraId="043CAACD" w14:textId="77777777" w:rsidR="007966DA" w:rsidRPr="0044563F" w:rsidRDefault="007966DA" w:rsidP="007966DA">
            <w:pPr>
              <w:spacing w:before="60" w:after="60"/>
              <w:rPr>
                <w:iCs/>
                <w:szCs w:val="22"/>
              </w:rPr>
            </w:pPr>
            <w:r w:rsidRPr="0044563F">
              <w:rPr>
                <w:iCs/>
                <w:szCs w:val="22"/>
              </w:rPr>
              <w:t>abdominální bolest</w:t>
            </w:r>
            <w:r w:rsidRPr="0044563F">
              <w:rPr>
                <w:iCs/>
                <w:szCs w:val="22"/>
                <w:vertAlign w:val="superscript"/>
              </w:rPr>
              <w:t>1</w:t>
            </w:r>
          </w:p>
          <w:p w14:paraId="267126E8" w14:textId="77777777" w:rsidR="007966DA" w:rsidRPr="0044563F" w:rsidRDefault="007966DA" w:rsidP="007966DA">
            <w:pPr>
              <w:spacing w:before="60" w:after="60"/>
              <w:rPr>
                <w:iCs/>
                <w:szCs w:val="22"/>
              </w:rPr>
            </w:pPr>
            <w:r w:rsidRPr="0044563F">
              <w:rPr>
                <w:iCs/>
                <w:szCs w:val="22"/>
              </w:rPr>
              <w:t>otok pysků</w:t>
            </w:r>
            <w:r w:rsidRPr="0044563F">
              <w:rPr>
                <w:iCs/>
                <w:szCs w:val="22"/>
                <w:vertAlign w:val="superscript"/>
              </w:rPr>
              <w:t>1</w:t>
            </w:r>
          </w:p>
          <w:p w14:paraId="1D1025F2" w14:textId="0C801628" w:rsidR="007966DA" w:rsidRPr="0044563F" w:rsidRDefault="007966DA" w:rsidP="007966DA">
            <w:pPr>
              <w:spacing w:before="60" w:after="60"/>
              <w:rPr>
                <w:iCs/>
                <w:szCs w:val="22"/>
              </w:rPr>
            </w:pPr>
            <w:r w:rsidRPr="0044563F">
              <w:rPr>
                <w:iCs/>
                <w:szCs w:val="22"/>
              </w:rPr>
              <w:t>ataxie</w:t>
            </w:r>
            <w:r w:rsidRPr="0044563F">
              <w:rPr>
                <w:iCs/>
                <w:szCs w:val="22"/>
                <w:vertAlign w:val="superscript"/>
              </w:rPr>
              <w:t>1</w:t>
            </w:r>
            <w:r w:rsidRPr="0044563F">
              <w:rPr>
                <w:iCs/>
                <w:szCs w:val="22"/>
              </w:rPr>
              <w:t xml:space="preserve">, </w:t>
            </w:r>
            <w:r w:rsidR="00B24A27" w:rsidRPr="0044563F">
              <w:rPr>
                <w:iCs/>
                <w:szCs w:val="22"/>
              </w:rPr>
              <w:t>ochablý</w:t>
            </w:r>
            <w:r w:rsidRPr="0044563F">
              <w:rPr>
                <w:iCs/>
                <w:szCs w:val="22"/>
              </w:rPr>
              <w:t xml:space="preserve"> spodní pysk</w:t>
            </w:r>
            <w:r w:rsidRPr="0044563F">
              <w:rPr>
                <w:iCs/>
                <w:szCs w:val="22"/>
                <w:vertAlign w:val="superscript"/>
              </w:rPr>
              <w:t>1</w:t>
            </w:r>
            <w:r w:rsidR="004A71F6" w:rsidRPr="0044563F">
              <w:rPr>
                <w:iCs/>
                <w:szCs w:val="22"/>
              </w:rPr>
              <w:t xml:space="preserve">, </w:t>
            </w:r>
            <w:r w:rsidRPr="0044563F">
              <w:rPr>
                <w:iCs/>
                <w:szCs w:val="22"/>
              </w:rPr>
              <w:t>svalový třes</w:t>
            </w:r>
            <w:r w:rsidRPr="0044563F">
              <w:rPr>
                <w:iCs/>
                <w:szCs w:val="22"/>
                <w:vertAlign w:val="superscript"/>
              </w:rPr>
              <w:t>1</w:t>
            </w:r>
          </w:p>
          <w:p w14:paraId="0169A1E5" w14:textId="0F8C864A" w:rsidR="007966DA" w:rsidRPr="0044563F" w:rsidRDefault="007966DA" w:rsidP="007966DA">
            <w:pPr>
              <w:spacing w:before="60" w:after="60"/>
              <w:rPr>
                <w:iCs/>
                <w:szCs w:val="22"/>
              </w:rPr>
            </w:pPr>
            <w:r w:rsidRPr="0044563F">
              <w:rPr>
                <w:iCs/>
                <w:szCs w:val="22"/>
              </w:rPr>
              <w:t>deprese</w:t>
            </w:r>
            <w:r w:rsidRPr="0044563F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4E93594C" w14:textId="77777777" w:rsidR="007966DA" w:rsidRPr="0044563F" w:rsidRDefault="007966DA" w:rsidP="007966DA">
      <w:pPr>
        <w:tabs>
          <w:tab w:val="clear" w:pos="567"/>
        </w:tabs>
        <w:spacing w:line="240" w:lineRule="auto"/>
        <w:rPr>
          <w:szCs w:val="22"/>
        </w:rPr>
      </w:pPr>
    </w:p>
    <w:p w14:paraId="05D5A496" w14:textId="77777777" w:rsidR="007966DA" w:rsidRPr="0044563F" w:rsidRDefault="007966DA" w:rsidP="00B20D4E">
      <w:pPr>
        <w:tabs>
          <w:tab w:val="clear" w:pos="567"/>
        </w:tabs>
        <w:spacing w:line="240" w:lineRule="auto"/>
        <w:rPr>
          <w:szCs w:val="22"/>
        </w:rPr>
      </w:pPr>
      <w:r w:rsidRPr="0044563F">
        <w:rPr>
          <w:szCs w:val="22"/>
          <w:vertAlign w:val="superscript"/>
        </w:rPr>
        <w:t>1</w:t>
      </w:r>
      <w:r w:rsidRPr="0044563F">
        <w:rPr>
          <w:szCs w:val="22"/>
        </w:rPr>
        <w:t>Obvykle přechodné a ve většině případů spontánně vymizí.</w:t>
      </w:r>
    </w:p>
    <w:p w14:paraId="6702DCB1" w14:textId="77777777" w:rsidR="007966DA" w:rsidRPr="0044563F" w:rsidRDefault="007966DA" w:rsidP="00B20D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D9A7BAA" w14:textId="77777777" w:rsidR="00227B79" w:rsidRPr="0044563F" w:rsidRDefault="00E80149" w:rsidP="00B20D4E">
      <w:pPr>
        <w:tabs>
          <w:tab w:val="left" w:pos="-720"/>
        </w:tabs>
        <w:suppressAutoHyphens/>
        <w:spacing w:line="240" w:lineRule="auto"/>
        <w:jc w:val="both"/>
        <w:rPr>
          <w:szCs w:val="22"/>
        </w:rPr>
      </w:pPr>
      <w:r w:rsidRPr="0044563F">
        <w:rPr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účinků: </w:t>
      </w:r>
    </w:p>
    <w:p w14:paraId="0BA55FA5" w14:textId="77777777" w:rsidR="00B24A27" w:rsidRPr="0044563F" w:rsidRDefault="00B24A27" w:rsidP="00B20D4E">
      <w:pPr>
        <w:tabs>
          <w:tab w:val="left" w:pos="-720"/>
        </w:tabs>
        <w:suppressAutoHyphens/>
        <w:spacing w:line="240" w:lineRule="auto"/>
        <w:rPr>
          <w:szCs w:val="22"/>
        </w:rPr>
      </w:pPr>
    </w:p>
    <w:p w14:paraId="588C6369" w14:textId="19C3E7EE" w:rsidR="00227B79" w:rsidRPr="0044563F" w:rsidRDefault="00227B79" w:rsidP="00B20D4E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44563F">
        <w:rPr>
          <w:szCs w:val="22"/>
        </w:rPr>
        <w:t>Ústav pro státní kontrolu veterinárních biopreparátů a léčiv</w:t>
      </w:r>
    </w:p>
    <w:p w14:paraId="1CCE9694" w14:textId="6252E9AC" w:rsidR="00227B79" w:rsidRPr="0044563F" w:rsidRDefault="00227B79" w:rsidP="00B20D4E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44563F">
        <w:rPr>
          <w:szCs w:val="22"/>
        </w:rPr>
        <w:t>Hudcova 232/56</w:t>
      </w:r>
      <w:r w:rsidR="00B24A27" w:rsidRPr="0044563F">
        <w:rPr>
          <w:szCs w:val="22"/>
        </w:rPr>
        <w:t xml:space="preserve"> </w:t>
      </w:r>
      <w:r w:rsidRPr="0044563F">
        <w:rPr>
          <w:szCs w:val="22"/>
        </w:rPr>
        <w:t>a</w:t>
      </w:r>
    </w:p>
    <w:p w14:paraId="3C7360AA" w14:textId="77777777" w:rsidR="00227B79" w:rsidRPr="0044563F" w:rsidRDefault="00227B79" w:rsidP="00B20D4E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44563F">
        <w:rPr>
          <w:szCs w:val="22"/>
        </w:rPr>
        <w:t>621 00 Brno</w:t>
      </w:r>
    </w:p>
    <w:p w14:paraId="768615B9" w14:textId="28DEB029" w:rsidR="00B24A27" w:rsidRPr="0044563F" w:rsidRDefault="00227B79" w:rsidP="00B20D4E">
      <w:pPr>
        <w:tabs>
          <w:tab w:val="left" w:pos="-720"/>
        </w:tabs>
        <w:suppressAutoHyphens/>
        <w:spacing w:line="240" w:lineRule="auto"/>
        <w:rPr>
          <w:rStyle w:val="Hypertextovodkaz"/>
          <w:szCs w:val="22"/>
        </w:rPr>
      </w:pPr>
      <w:r w:rsidRPr="0044563F">
        <w:rPr>
          <w:szCs w:val="22"/>
        </w:rPr>
        <w:t xml:space="preserve">E-mail: </w:t>
      </w:r>
      <w:hyperlink r:id="rId8" w:history="1">
        <w:r w:rsidRPr="0044563F">
          <w:rPr>
            <w:rStyle w:val="Hypertextovodkaz"/>
            <w:szCs w:val="22"/>
          </w:rPr>
          <w:t>adr@uskvbl.cz</w:t>
        </w:r>
      </w:hyperlink>
    </w:p>
    <w:p w14:paraId="6E36F679" w14:textId="0218CE25" w:rsidR="00227B79" w:rsidRPr="0044563F" w:rsidRDefault="00227B79" w:rsidP="00B20D4E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44563F">
        <w:rPr>
          <w:szCs w:val="22"/>
        </w:rPr>
        <w:t xml:space="preserve">Webové stránky: </w:t>
      </w:r>
      <w:hyperlink r:id="rId9" w:history="1">
        <w:r w:rsidRPr="0044563F">
          <w:rPr>
            <w:rStyle w:val="Hypertextovodkaz"/>
            <w:szCs w:val="22"/>
          </w:rPr>
          <w:t>http://www.uskvbl.cz/cs/farmakovigilance</w:t>
        </w:r>
      </w:hyperlink>
    </w:p>
    <w:p w14:paraId="624B4631" w14:textId="77777777" w:rsidR="004A6338" w:rsidRPr="0044563F" w:rsidRDefault="004A6338" w:rsidP="00B20D4E">
      <w:pPr>
        <w:spacing w:line="240" w:lineRule="auto"/>
        <w:jc w:val="both"/>
        <w:rPr>
          <w:szCs w:val="22"/>
        </w:rPr>
      </w:pPr>
    </w:p>
    <w:p w14:paraId="6CA86FCE" w14:textId="77777777" w:rsidR="004A6338" w:rsidRPr="0044563F" w:rsidRDefault="004A6338" w:rsidP="00B20D4E">
      <w:pPr>
        <w:pStyle w:val="Style1"/>
      </w:pPr>
      <w:r w:rsidRPr="0044563F">
        <w:rPr>
          <w:highlight w:val="lightGray"/>
        </w:rPr>
        <w:t>8.</w:t>
      </w:r>
      <w:r w:rsidRPr="0044563F">
        <w:tab/>
        <w:t>Dávkování pro každý druh, cesty a způsob podání</w:t>
      </w:r>
    </w:p>
    <w:p w14:paraId="182D00AC" w14:textId="77777777" w:rsidR="008F576C" w:rsidRPr="0044563F" w:rsidRDefault="008F576C" w:rsidP="00B20D4E">
      <w:pPr>
        <w:tabs>
          <w:tab w:val="left" w:pos="851"/>
        </w:tabs>
        <w:spacing w:line="240" w:lineRule="auto"/>
        <w:jc w:val="both"/>
        <w:rPr>
          <w:szCs w:val="22"/>
        </w:rPr>
      </w:pPr>
    </w:p>
    <w:p w14:paraId="1FB5E60C" w14:textId="54C156D5" w:rsidR="008F576C" w:rsidRPr="0044563F" w:rsidRDefault="008F576C" w:rsidP="00B20D4E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 xml:space="preserve">Jednorázové perorální podání dávky 400 µg moxidektinu / kg ž.hm. za použití kalibrovaného aplikátoru. </w:t>
      </w:r>
    </w:p>
    <w:p w14:paraId="20472344" w14:textId="77777777" w:rsidR="008F576C" w:rsidRPr="0044563F" w:rsidRDefault="008F576C" w:rsidP="00B20D4E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 xml:space="preserve">Aplikátor se drží zavíčkovaným koncem značkami doleva tak, aby bylo vidět na značkování podle váhy (malé černé linky). Každá značka se vztahuje na </w:t>
      </w:r>
      <w:smartTag w:uri="urn:schemas-microsoft-com:office:smarttags" w:element="metricconverter">
        <w:smartTagPr>
          <w:attr w:name="ProductID" w:val="25 kg"/>
        </w:smartTagPr>
        <w:r w:rsidRPr="0044563F">
          <w:rPr>
            <w:szCs w:val="22"/>
          </w:rPr>
          <w:t>25 kg</w:t>
        </w:r>
      </w:smartTag>
      <w:r w:rsidRPr="0044563F">
        <w:rPr>
          <w:szCs w:val="22"/>
        </w:rPr>
        <w:t xml:space="preserve"> živé hmotnosti. Zelený číselný prstenec se otáčí tak, aby se levá strana prstence kryla s váhou zvířete. </w:t>
      </w:r>
    </w:p>
    <w:p w14:paraId="6420B76D" w14:textId="77777777" w:rsidR="008F576C" w:rsidRPr="0044563F" w:rsidRDefault="008F576C" w:rsidP="00B20D4E">
      <w:pPr>
        <w:tabs>
          <w:tab w:val="left" w:pos="851"/>
        </w:tabs>
        <w:spacing w:line="240" w:lineRule="auto"/>
        <w:jc w:val="both"/>
        <w:rPr>
          <w:szCs w:val="22"/>
        </w:rPr>
      </w:pPr>
    </w:p>
    <w:p w14:paraId="19034AC6" w14:textId="77777777" w:rsidR="008F576C" w:rsidRPr="0044563F" w:rsidRDefault="008F576C" w:rsidP="00B20D4E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>Obsah aplikátoru je určen pro koně o živé hmotnosti 700 kg.</w:t>
      </w:r>
    </w:p>
    <w:p w14:paraId="2E5F24A9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szCs w:val="22"/>
        </w:rPr>
      </w:pPr>
    </w:p>
    <w:p w14:paraId="130E3C84" w14:textId="77777777" w:rsidR="004A6338" w:rsidRPr="0044563F" w:rsidRDefault="004A6338" w:rsidP="00B20D4E">
      <w:pPr>
        <w:pStyle w:val="Style1"/>
        <w:jc w:val="both"/>
      </w:pPr>
      <w:r w:rsidRPr="0044563F">
        <w:rPr>
          <w:highlight w:val="lightGray"/>
        </w:rPr>
        <w:t>9.</w:t>
      </w:r>
      <w:r w:rsidRPr="0044563F">
        <w:tab/>
        <w:t>Informace o správném podávání</w:t>
      </w:r>
    </w:p>
    <w:p w14:paraId="2434549E" w14:textId="77777777" w:rsidR="004A6338" w:rsidRPr="0044563F" w:rsidRDefault="004A6338" w:rsidP="00B20D4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8EA23E" w14:textId="11C5087A" w:rsidR="00DE12AB" w:rsidRPr="0044563F" w:rsidRDefault="00DE12AB" w:rsidP="00B20D4E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lastRenderedPageBreak/>
        <w:t>Pro zajištění přesného dávkování se doporučuje stanovení hmotnosti zvířat páskovou mírou.</w:t>
      </w:r>
    </w:p>
    <w:p w14:paraId="5EDD81A8" w14:textId="77777777" w:rsidR="00227B79" w:rsidRPr="0044563F" w:rsidRDefault="00227B79" w:rsidP="00B20D4E">
      <w:pPr>
        <w:spacing w:line="240" w:lineRule="auto"/>
        <w:jc w:val="both"/>
      </w:pPr>
      <w:r w:rsidRPr="0044563F">
        <w:t xml:space="preserve">Poddávkování by mohlo vést k neúčinnému použití a mohlo by podpořit rozvoj rezistence. </w:t>
      </w:r>
    </w:p>
    <w:p w14:paraId="0748DD61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1617D2D" w14:textId="77777777" w:rsidR="004A6338" w:rsidRPr="0044563F" w:rsidRDefault="004A6338" w:rsidP="00B20D4E">
      <w:pPr>
        <w:pStyle w:val="Style1"/>
      </w:pPr>
      <w:r w:rsidRPr="0044563F">
        <w:rPr>
          <w:highlight w:val="lightGray"/>
        </w:rPr>
        <w:t>10.</w:t>
      </w:r>
      <w:r w:rsidRPr="0044563F">
        <w:tab/>
        <w:t>Ochranné lhůty</w:t>
      </w:r>
    </w:p>
    <w:p w14:paraId="640BDDE5" w14:textId="77777777" w:rsidR="004A6338" w:rsidRPr="0044563F" w:rsidRDefault="004A6338" w:rsidP="00B20D4E">
      <w:pPr>
        <w:spacing w:line="240" w:lineRule="auto"/>
        <w:rPr>
          <w:iCs/>
          <w:szCs w:val="22"/>
        </w:rPr>
      </w:pPr>
    </w:p>
    <w:p w14:paraId="50D1BB23" w14:textId="34C68A7E" w:rsidR="00F774E7" w:rsidRPr="0044563F" w:rsidRDefault="00F774E7" w:rsidP="00B20D4E">
      <w:pPr>
        <w:tabs>
          <w:tab w:val="left" w:pos="851"/>
        </w:tabs>
        <w:spacing w:line="240" w:lineRule="auto"/>
        <w:rPr>
          <w:szCs w:val="22"/>
        </w:rPr>
      </w:pPr>
      <w:r w:rsidRPr="0044563F">
        <w:rPr>
          <w:szCs w:val="22"/>
        </w:rPr>
        <w:t>Maso</w:t>
      </w:r>
      <w:r w:rsidR="004F32B5" w:rsidRPr="0044563F">
        <w:rPr>
          <w:szCs w:val="22"/>
        </w:rPr>
        <w:t>:</w:t>
      </w:r>
      <w:r w:rsidRPr="0044563F">
        <w:rPr>
          <w:szCs w:val="22"/>
        </w:rPr>
        <w:t xml:space="preserve"> 32 dní.</w:t>
      </w:r>
    </w:p>
    <w:p w14:paraId="547F3209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EAF5817" w14:textId="77777777" w:rsidR="004A6338" w:rsidRPr="0044563F" w:rsidRDefault="004A6338" w:rsidP="00B20D4E">
      <w:pPr>
        <w:pStyle w:val="Style1"/>
      </w:pPr>
      <w:r w:rsidRPr="0044563F">
        <w:rPr>
          <w:highlight w:val="lightGray"/>
        </w:rPr>
        <w:t>11.</w:t>
      </w:r>
      <w:r w:rsidRPr="0044563F">
        <w:tab/>
        <w:t>Zvláštní opatření pro uchovávání</w:t>
      </w:r>
    </w:p>
    <w:p w14:paraId="17D33583" w14:textId="77777777" w:rsidR="004A6338" w:rsidRPr="0044563F" w:rsidRDefault="004A6338" w:rsidP="00B20D4E">
      <w:pPr>
        <w:spacing w:line="240" w:lineRule="auto"/>
        <w:rPr>
          <w:szCs w:val="22"/>
        </w:rPr>
      </w:pPr>
    </w:p>
    <w:p w14:paraId="2620E0FD" w14:textId="35D88E14" w:rsidR="001B21C1" w:rsidRPr="0044563F" w:rsidRDefault="001B21C1" w:rsidP="00B20D4E">
      <w:pPr>
        <w:spacing w:line="240" w:lineRule="auto"/>
        <w:rPr>
          <w:szCs w:val="22"/>
        </w:rPr>
      </w:pPr>
      <w:r w:rsidRPr="0044563F">
        <w:rPr>
          <w:szCs w:val="22"/>
        </w:rPr>
        <w:t>Uchováv</w:t>
      </w:r>
      <w:r w:rsidR="00FF1B32" w:rsidRPr="0044563F">
        <w:rPr>
          <w:szCs w:val="22"/>
        </w:rPr>
        <w:t>ejte</w:t>
      </w:r>
      <w:r w:rsidRPr="0044563F">
        <w:rPr>
          <w:szCs w:val="22"/>
        </w:rPr>
        <w:t xml:space="preserve"> mimo dohled a dosah dětí.</w:t>
      </w:r>
    </w:p>
    <w:p w14:paraId="5664082D" w14:textId="77777777" w:rsidR="001B21C1" w:rsidRPr="0044563F" w:rsidRDefault="001B21C1" w:rsidP="00B20D4E">
      <w:pPr>
        <w:spacing w:line="240" w:lineRule="auto"/>
        <w:ind w:right="-318"/>
        <w:rPr>
          <w:szCs w:val="22"/>
        </w:rPr>
      </w:pPr>
      <w:r w:rsidRPr="0044563F">
        <w:rPr>
          <w:szCs w:val="22"/>
        </w:rPr>
        <w:t xml:space="preserve">Uchovávejte při teplotě do 25 </w:t>
      </w:r>
      <w:r w:rsidRPr="0044563F">
        <w:rPr>
          <w:szCs w:val="22"/>
        </w:rPr>
        <w:sym w:font="Symbol" w:char="F0B0"/>
      </w:r>
      <w:r w:rsidRPr="0044563F">
        <w:rPr>
          <w:szCs w:val="22"/>
        </w:rPr>
        <w:t>C.</w:t>
      </w:r>
    </w:p>
    <w:p w14:paraId="569A7E03" w14:textId="77777777" w:rsidR="001B21C1" w:rsidRPr="0044563F" w:rsidRDefault="001B21C1" w:rsidP="00B20D4E">
      <w:pPr>
        <w:spacing w:line="240" w:lineRule="auto"/>
        <w:ind w:right="-318"/>
        <w:rPr>
          <w:szCs w:val="22"/>
        </w:rPr>
      </w:pPr>
      <w:r w:rsidRPr="0044563F">
        <w:rPr>
          <w:szCs w:val="22"/>
        </w:rPr>
        <w:t>Doba použitelnosti po prvním otevření vnitřního obalu: 6 měsíců</w:t>
      </w:r>
    </w:p>
    <w:p w14:paraId="7B9CA3BB" w14:textId="610C1154" w:rsidR="001B21C1" w:rsidRPr="0044563F" w:rsidRDefault="00B14A92" w:rsidP="00A41B21">
      <w:pPr>
        <w:spacing w:line="240" w:lineRule="auto"/>
        <w:ind w:right="-1"/>
        <w:jc w:val="both"/>
        <w:rPr>
          <w:szCs w:val="22"/>
        </w:rPr>
      </w:pPr>
      <w:r w:rsidRPr="0044563F">
        <w:rPr>
          <w:szCs w:val="22"/>
        </w:rPr>
        <w:t>Nepoužívejte tento veterinární léčivý přípravek po uplynutí doby použitelnosti uvedené na etiketě po Exp.</w:t>
      </w:r>
      <w:r w:rsidRPr="0044563F" w:rsidDel="00B14A92">
        <w:rPr>
          <w:szCs w:val="22"/>
        </w:rPr>
        <w:t xml:space="preserve"> </w:t>
      </w:r>
    </w:p>
    <w:p w14:paraId="434226A8" w14:textId="77777777" w:rsidR="001B21C1" w:rsidRPr="0044563F" w:rsidRDefault="001B21C1" w:rsidP="00B20D4E">
      <w:pPr>
        <w:spacing w:line="240" w:lineRule="auto"/>
        <w:ind w:right="-318"/>
        <w:rPr>
          <w:szCs w:val="22"/>
        </w:rPr>
      </w:pPr>
    </w:p>
    <w:p w14:paraId="64659424" w14:textId="77777777" w:rsidR="004A6338" w:rsidRPr="0044563F" w:rsidRDefault="004A6338" w:rsidP="00B20D4E">
      <w:pPr>
        <w:pStyle w:val="Style1"/>
        <w:keepNext/>
        <w:jc w:val="both"/>
      </w:pPr>
      <w:r w:rsidRPr="0044563F">
        <w:rPr>
          <w:highlight w:val="lightGray"/>
        </w:rPr>
        <w:t>12.</w:t>
      </w:r>
      <w:r w:rsidRPr="0044563F">
        <w:tab/>
        <w:t>Zvláštní opatření pro likvidaci</w:t>
      </w:r>
    </w:p>
    <w:p w14:paraId="27F10266" w14:textId="77777777" w:rsidR="004A6338" w:rsidRPr="0044563F" w:rsidRDefault="004A6338" w:rsidP="00B20D4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18FDDA4" w14:textId="7A82A5C4" w:rsidR="00B6764D" w:rsidRPr="0044563F" w:rsidRDefault="00B6764D" w:rsidP="00B20D4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>Léčivé přípravky se nesmí likvidovat prostřednictvím odpadní vody či domovního odpadu.</w:t>
      </w:r>
    </w:p>
    <w:p w14:paraId="475D3C7E" w14:textId="52AD9F35" w:rsidR="00B6764D" w:rsidRPr="0044563F" w:rsidRDefault="00B6764D" w:rsidP="00B20D4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>Tento veterinární léčivý přípravek nesmí kontaminovat vodní toky, protože moxidektin může být nebezpečný pro ryby a další vodní organismy.</w:t>
      </w:r>
    </w:p>
    <w:p w14:paraId="5EE68909" w14:textId="77777777" w:rsidR="00B6764D" w:rsidRPr="0044563F" w:rsidRDefault="00B6764D" w:rsidP="00B20D4E">
      <w:pPr>
        <w:spacing w:line="240" w:lineRule="auto"/>
        <w:jc w:val="both"/>
        <w:rPr>
          <w:szCs w:val="22"/>
        </w:rPr>
      </w:pPr>
      <w:r w:rsidRPr="0044563F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4D240140" w14:textId="77777777" w:rsidR="00B6764D" w:rsidRPr="0044563F" w:rsidRDefault="00B6764D" w:rsidP="00B20D4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50CC10" w14:textId="036DB8BC" w:rsidR="00B6764D" w:rsidRPr="0044563F" w:rsidRDefault="00B6764D" w:rsidP="00B20D4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>O možnostech likvidace nepotřebných léčivých přípravků se poraďte s vaším veterinárním lékařem nebo lékárníkem.</w:t>
      </w:r>
    </w:p>
    <w:p w14:paraId="55428838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21E61C44" w14:textId="77777777" w:rsidR="004A6338" w:rsidRPr="0044563F" w:rsidRDefault="004A6338" w:rsidP="00B20D4E">
      <w:pPr>
        <w:pStyle w:val="Style1"/>
      </w:pPr>
      <w:r w:rsidRPr="0044563F">
        <w:rPr>
          <w:highlight w:val="lightGray"/>
        </w:rPr>
        <w:t>13.</w:t>
      </w:r>
      <w:r w:rsidRPr="0044563F">
        <w:tab/>
        <w:t>Klasifikace veterinárních léčivých přípravků</w:t>
      </w:r>
    </w:p>
    <w:p w14:paraId="13D70EAF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szCs w:val="22"/>
        </w:rPr>
      </w:pPr>
    </w:p>
    <w:p w14:paraId="3C5B08F8" w14:textId="77777777" w:rsidR="004A6338" w:rsidRPr="0044563F" w:rsidRDefault="004A6338" w:rsidP="00B20D4E">
      <w:pPr>
        <w:numPr>
          <w:ilvl w:val="12"/>
          <w:numId w:val="0"/>
        </w:numPr>
        <w:spacing w:line="240" w:lineRule="auto"/>
        <w:rPr>
          <w:szCs w:val="22"/>
        </w:rPr>
      </w:pPr>
      <w:r w:rsidRPr="0044563F">
        <w:rPr>
          <w:szCs w:val="22"/>
        </w:rPr>
        <w:t>Veterinární léčivý přípravek je vydáván pouze na předpis.</w:t>
      </w:r>
    </w:p>
    <w:p w14:paraId="79F83871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szCs w:val="22"/>
        </w:rPr>
      </w:pPr>
    </w:p>
    <w:p w14:paraId="429A32DF" w14:textId="77777777" w:rsidR="004A6338" w:rsidRPr="0044563F" w:rsidRDefault="004A6338" w:rsidP="00B20D4E">
      <w:pPr>
        <w:pStyle w:val="Style1"/>
      </w:pPr>
      <w:r w:rsidRPr="0044563F">
        <w:rPr>
          <w:highlight w:val="lightGray"/>
        </w:rPr>
        <w:t>14.</w:t>
      </w:r>
      <w:r w:rsidRPr="0044563F">
        <w:tab/>
        <w:t>Registrační čísla a velikosti balení</w:t>
      </w:r>
    </w:p>
    <w:p w14:paraId="309E7D8A" w14:textId="77777777" w:rsidR="004A6338" w:rsidRPr="0044563F" w:rsidRDefault="004A6338" w:rsidP="00B20D4E">
      <w:pPr>
        <w:pStyle w:val="Style1"/>
        <w:rPr>
          <w:b w:val="0"/>
          <w:bCs/>
        </w:rPr>
      </w:pPr>
    </w:p>
    <w:p w14:paraId="6E0DA0C4" w14:textId="77777777" w:rsidR="004719B9" w:rsidRPr="0044563F" w:rsidRDefault="004719B9" w:rsidP="00B20D4E">
      <w:pPr>
        <w:pStyle w:val="Zhlav"/>
        <w:tabs>
          <w:tab w:val="left" w:pos="851"/>
        </w:tabs>
        <w:rPr>
          <w:rFonts w:ascii="Times New Roman" w:hAnsi="Times New Roman"/>
          <w:sz w:val="22"/>
          <w:szCs w:val="22"/>
        </w:rPr>
      </w:pPr>
      <w:r w:rsidRPr="0044563F">
        <w:rPr>
          <w:rFonts w:ascii="Times New Roman" w:hAnsi="Times New Roman"/>
          <w:sz w:val="22"/>
          <w:szCs w:val="22"/>
        </w:rPr>
        <w:t>96/1340/97-C</w:t>
      </w:r>
    </w:p>
    <w:p w14:paraId="5E9F9A9B" w14:textId="77777777" w:rsidR="004A6338" w:rsidRPr="0044563F" w:rsidRDefault="004A6338" w:rsidP="00B20D4E">
      <w:pPr>
        <w:pStyle w:val="Style1"/>
        <w:rPr>
          <w:b w:val="0"/>
          <w:bCs/>
        </w:rPr>
      </w:pPr>
    </w:p>
    <w:p w14:paraId="0B64B561" w14:textId="50300D27" w:rsidR="00BB7778" w:rsidRPr="0044563F" w:rsidRDefault="00BB7778" w:rsidP="00B20D4E">
      <w:pPr>
        <w:tabs>
          <w:tab w:val="left" w:pos="851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 xml:space="preserve">Aplikátor z vysokohustotního polyethylenu obsahující </w:t>
      </w:r>
      <w:smartTag w:uri="urn:schemas-microsoft-com:office:smarttags" w:element="metricconverter">
        <w:smartTagPr>
          <w:attr w:name="ProductID" w:val="14,8 g"/>
        </w:smartTagPr>
        <w:r w:rsidRPr="0044563F">
          <w:rPr>
            <w:szCs w:val="22"/>
          </w:rPr>
          <w:t>14,8 g</w:t>
        </w:r>
      </w:smartTag>
      <w:r w:rsidRPr="0044563F">
        <w:rPr>
          <w:szCs w:val="22"/>
        </w:rPr>
        <w:t xml:space="preserve"> gelu, s graduovaným pístem </w:t>
      </w:r>
      <w:r w:rsidRPr="0044563F">
        <w:rPr>
          <w:szCs w:val="22"/>
        </w:rPr>
        <w:br/>
        <w:t>a uzávěrem z nízkohustotního polyethylenu. Baleno jednotlivě v krabičce.</w:t>
      </w:r>
    </w:p>
    <w:p w14:paraId="59E7E67C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szCs w:val="22"/>
        </w:rPr>
      </w:pPr>
    </w:p>
    <w:p w14:paraId="308219CF" w14:textId="77777777" w:rsidR="004A6338" w:rsidRPr="0044563F" w:rsidRDefault="004A6338" w:rsidP="00B20D4E">
      <w:pPr>
        <w:pStyle w:val="Style1"/>
        <w:jc w:val="both"/>
      </w:pPr>
      <w:r w:rsidRPr="0044563F">
        <w:rPr>
          <w:highlight w:val="lightGray"/>
        </w:rPr>
        <w:t>15.</w:t>
      </w:r>
      <w:r w:rsidRPr="0044563F">
        <w:tab/>
        <w:t>Datum poslední revize příbalové informace</w:t>
      </w:r>
    </w:p>
    <w:p w14:paraId="6272724D" w14:textId="77777777" w:rsidR="004A6338" w:rsidRPr="0044563F" w:rsidRDefault="004A6338" w:rsidP="00B20D4E">
      <w:pPr>
        <w:spacing w:line="240" w:lineRule="auto"/>
        <w:jc w:val="both"/>
        <w:rPr>
          <w:szCs w:val="22"/>
        </w:rPr>
      </w:pPr>
    </w:p>
    <w:p w14:paraId="15830345" w14:textId="5E756BC1" w:rsidR="00ED5093" w:rsidRPr="0044563F" w:rsidRDefault="00227B79" w:rsidP="00B20D4E">
      <w:pPr>
        <w:spacing w:line="240" w:lineRule="auto"/>
        <w:jc w:val="both"/>
        <w:rPr>
          <w:szCs w:val="22"/>
        </w:rPr>
      </w:pPr>
      <w:r w:rsidRPr="0044563F">
        <w:rPr>
          <w:szCs w:val="22"/>
        </w:rPr>
        <w:t>Květen 2024</w:t>
      </w:r>
    </w:p>
    <w:p w14:paraId="6BCFDC13" w14:textId="77777777" w:rsidR="00ED5093" w:rsidRPr="0044563F" w:rsidRDefault="00ED5093" w:rsidP="00B20D4E">
      <w:pPr>
        <w:spacing w:line="240" w:lineRule="auto"/>
        <w:jc w:val="both"/>
        <w:rPr>
          <w:szCs w:val="22"/>
        </w:rPr>
      </w:pPr>
    </w:p>
    <w:p w14:paraId="6B6A6D3A" w14:textId="77777777" w:rsidR="005C3276" w:rsidRPr="0044563F" w:rsidRDefault="005C3276" w:rsidP="00B20D4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44563F">
          <w:rPr>
            <w:rStyle w:val="Hypertextovodkaz"/>
            <w:szCs w:val="22"/>
          </w:rPr>
          <w:t>https://medicines.health.europa.eu/veterinary</w:t>
        </w:r>
      </w:hyperlink>
      <w:r w:rsidRPr="0044563F">
        <w:rPr>
          <w:szCs w:val="22"/>
        </w:rPr>
        <w:t>).</w:t>
      </w:r>
    </w:p>
    <w:p w14:paraId="6CED3B22" w14:textId="77777777" w:rsidR="005C3276" w:rsidRPr="0044563F" w:rsidRDefault="005C3276" w:rsidP="00B20D4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028B4C" w14:textId="77777777" w:rsidR="005C3276" w:rsidRPr="0044563F" w:rsidRDefault="005C3276" w:rsidP="00B20D4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4563F">
        <w:rPr>
          <w:szCs w:val="22"/>
        </w:rPr>
        <w:t>Podrobné informace o tomto veterinárním léčivém přípravku naleznete také v národní databázi (</w:t>
      </w:r>
      <w:hyperlink r:id="rId11" w:history="1">
        <w:r w:rsidRPr="0044563F">
          <w:rPr>
            <w:rStyle w:val="Hypertextovodkaz"/>
            <w:szCs w:val="22"/>
          </w:rPr>
          <w:t>https://www.uskvbl.cz</w:t>
        </w:r>
      </w:hyperlink>
      <w:r w:rsidRPr="0044563F">
        <w:rPr>
          <w:szCs w:val="22"/>
        </w:rPr>
        <w:t xml:space="preserve">). </w:t>
      </w:r>
    </w:p>
    <w:p w14:paraId="412AB505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szCs w:val="22"/>
        </w:rPr>
      </w:pPr>
    </w:p>
    <w:p w14:paraId="2F85C142" w14:textId="77777777" w:rsidR="004A6338" w:rsidRPr="0044563F" w:rsidRDefault="004A6338" w:rsidP="00B20D4E">
      <w:pPr>
        <w:pStyle w:val="Style1"/>
      </w:pPr>
      <w:r w:rsidRPr="0044563F">
        <w:rPr>
          <w:highlight w:val="lightGray"/>
        </w:rPr>
        <w:t>16.</w:t>
      </w:r>
      <w:r w:rsidRPr="0044563F">
        <w:tab/>
        <w:t>Kontaktní údaje</w:t>
      </w:r>
    </w:p>
    <w:p w14:paraId="3953D0C7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szCs w:val="22"/>
        </w:rPr>
      </w:pPr>
    </w:p>
    <w:p w14:paraId="5F7D26ED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44563F">
        <w:rPr>
          <w:iCs/>
          <w:szCs w:val="22"/>
          <w:u w:val="single"/>
        </w:rPr>
        <w:t>Držitel rozhodnutí o registraci a kontaktní údaje pro hlášení podezření na nežádoucí účinky:</w:t>
      </w:r>
    </w:p>
    <w:p w14:paraId="5F4B3A9F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iCs/>
          <w:szCs w:val="22"/>
        </w:rPr>
      </w:pPr>
      <w:r w:rsidRPr="0044563F">
        <w:rPr>
          <w:iCs/>
          <w:szCs w:val="22"/>
        </w:rPr>
        <w:t>Zoetis Česká republika, s.r.o.</w:t>
      </w:r>
    </w:p>
    <w:p w14:paraId="6414CE82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iCs/>
          <w:szCs w:val="22"/>
        </w:rPr>
      </w:pPr>
      <w:r w:rsidRPr="0044563F">
        <w:rPr>
          <w:iCs/>
          <w:szCs w:val="22"/>
        </w:rPr>
        <w:t>náměstí 14. října 642/17</w:t>
      </w:r>
    </w:p>
    <w:p w14:paraId="0D434EE2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iCs/>
          <w:szCs w:val="22"/>
        </w:rPr>
      </w:pPr>
      <w:r w:rsidRPr="0044563F">
        <w:rPr>
          <w:iCs/>
          <w:szCs w:val="22"/>
        </w:rPr>
        <w:t>150 00 Praha</w:t>
      </w:r>
    </w:p>
    <w:p w14:paraId="6A35FF07" w14:textId="77777777" w:rsidR="004A6338" w:rsidRPr="0044563F" w:rsidRDefault="004A6338" w:rsidP="00B20D4E">
      <w:pPr>
        <w:tabs>
          <w:tab w:val="clear" w:pos="567"/>
        </w:tabs>
        <w:spacing w:line="240" w:lineRule="auto"/>
        <w:rPr>
          <w:iCs/>
          <w:szCs w:val="22"/>
        </w:rPr>
      </w:pPr>
      <w:r w:rsidRPr="0044563F">
        <w:rPr>
          <w:iCs/>
          <w:szCs w:val="22"/>
        </w:rPr>
        <w:t>Česká republika</w:t>
      </w:r>
    </w:p>
    <w:p w14:paraId="2D116222" w14:textId="29FE8646" w:rsidR="005C3276" w:rsidRPr="0044563F" w:rsidRDefault="005C3276" w:rsidP="00B20D4E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44563F">
        <w:rPr>
          <w:iCs/>
          <w:szCs w:val="22"/>
        </w:rPr>
        <w:t>Tel: +420 257 101 111</w:t>
      </w:r>
    </w:p>
    <w:p w14:paraId="05A31BDC" w14:textId="77777777" w:rsidR="004A6338" w:rsidRPr="0044563F" w:rsidRDefault="004A6338" w:rsidP="00B20D4E">
      <w:pPr>
        <w:spacing w:line="240" w:lineRule="auto"/>
        <w:rPr>
          <w:iCs/>
          <w:szCs w:val="22"/>
          <w:u w:val="single"/>
        </w:rPr>
      </w:pPr>
    </w:p>
    <w:p w14:paraId="5D7070F5" w14:textId="77777777" w:rsidR="004A6338" w:rsidRPr="0044563F" w:rsidRDefault="004A6338" w:rsidP="00B20D4E">
      <w:pPr>
        <w:spacing w:line="240" w:lineRule="auto"/>
        <w:rPr>
          <w:iCs/>
          <w:szCs w:val="22"/>
        </w:rPr>
      </w:pPr>
      <w:r w:rsidRPr="0044563F">
        <w:rPr>
          <w:iCs/>
          <w:szCs w:val="22"/>
          <w:u w:val="single"/>
        </w:rPr>
        <w:lastRenderedPageBreak/>
        <w:t>Výrobce odpovědný za uvolnění šarže</w:t>
      </w:r>
      <w:r w:rsidRPr="0044563F">
        <w:rPr>
          <w:iCs/>
          <w:szCs w:val="22"/>
        </w:rPr>
        <w:t>:</w:t>
      </w:r>
    </w:p>
    <w:p w14:paraId="3DAA3D06" w14:textId="77777777" w:rsidR="004A6338" w:rsidRPr="0044563F" w:rsidRDefault="004A6338" w:rsidP="00B20D4E">
      <w:pPr>
        <w:spacing w:line="240" w:lineRule="auto"/>
        <w:rPr>
          <w:szCs w:val="22"/>
        </w:rPr>
      </w:pPr>
      <w:r w:rsidRPr="0044563F">
        <w:rPr>
          <w:szCs w:val="22"/>
        </w:rPr>
        <w:t>Zoetis Manufacturing &amp; Research Spain, S.L.</w:t>
      </w:r>
    </w:p>
    <w:p w14:paraId="46F3D6BC" w14:textId="77777777" w:rsidR="004A6338" w:rsidRPr="0044563F" w:rsidRDefault="004A6338" w:rsidP="00B20D4E">
      <w:pPr>
        <w:spacing w:line="240" w:lineRule="auto"/>
        <w:rPr>
          <w:szCs w:val="22"/>
        </w:rPr>
      </w:pPr>
      <w:r w:rsidRPr="0044563F">
        <w:rPr>
          <w:szCs w:val="22"/>
        </w:rPr>
        <w:t>Ctra. Camprodón s/n, Finca La Riba</w:t>
      </w:r>
    </w:p>
    <w:p w14:paraId="1381D60C" w14:textId="77777777" w:rsidR="004A6338" w:rsidRPr="0044563F" w:rsidRDefault="004A6338" w:rsidP="00B20D4E">
      <w:pPr>
        <w:spacing w:line="240" w:lineRule="auto"/>
        <w:rPr>
          <w:szCs w:val="22"/>
        </w:rPr>
      </w:pPr>
      <w:r w:rsidRPr="0044563F">
        <w:rPr>
          <w:szCs w:val="22"/>
        </w:rPr>
        <w:t>17813 Vall de Bianya (Gerona)</w:t>
      </w:r>
    </w:p>
    <w:p w14:paraId="76FD457A" w14:textId="77777777" w:rsidR="004A6338" w:rsidRPr="0044563F" w:rsidRDefault="004A6338" w:rsidP="00B20D4E">
      <w:pPr>
        <w:spacing w:line="240" w:lineRule="auto"/>
        <w:rPr>
          <w:szCs w:val="22"/>
        </w:rPr>
      </w:pPr>
      <w:r w:rsidRPr="0044563F">
        <w:rPr>
          <w:szCs w:val="22"/>
        </w:rPr>
        <w:t>Španělsko</w:t>
      </w:r>
      <w:bookmarkStart w:id="0" w:name="_GoBack"/>
      <w:bookmarkEnd w:id="0"/>
    </w:p>
    <w:sectPr w:rsidR="004A6338" w:rsidRPr="0044563F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2341C" w14:textId="77777777" w:rsidR="009E6385" w:rsidRDefault="009E6385">
      <w:pPr>
        <w:spacing w:line="240" w:lineRule="auto"/>
      </w:pPr>
      <w:r>
        <w:separator/>
      </w:r>
    </w:p>
  </w:endnote>
  <w:endnote w:type="continuationSeparator" w:id="0">
    <w:p w14:paraId="7BFD1B9D" w14:textId="77777777" w:rsidR="009E6385" w:rsidRDefault="009E6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823A9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77038B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4BC4D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EDC25" w14:textId="77777777" w:rsidR="009E6385" w:rsidRDefault="009E6385">
      <w:pPr>
        <w:spacing w:line="240" w:lineRule="auto"/>
      </w:pPr>
      <w:r>
        <w:separator/>
      </w:r>
    </w:p>
  </w:footnote>
  <w:footnote w:type="continuationSeparator" w:id="0">
    <w:p w14:paraId="75C7C788" w14:textId="77777777" w:rsidR="009E6385" w:rsidRDefault="009E63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1E5C6FB3"/>
    <w:multiLevelType w:val="multilevel"/>
    <w:tmpl w:val="3234601A"/>
    <w:lvl w:ilvl="0">
      <w:start w:val="1"/>
      <w:numFmt w:val="decimal"/>
      <w:pStyle w:val="SPChead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PCheader2"/>
      <w:isLgl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451B5DE4"/>
    <w:multiLevelType w:val="hybridMultilevel"/>
    <w:tmpl w:val="643CD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67AF1"/>
    <w:multiLevelType w:val="hybridMultilevel"/>
    <w:tmpl w:val="C4C8B306"/>
    <w:lvl w:ilvl="0" w:tplc="E24AC9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70A2F"/>
    <w:multiLevelType w:val="hybridMultilevel"/>
    <w:tmpl w:val="9AE6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7"/>
  </w:num>
  <w:num w:numId="17">
    <w:abstractNumId w:val="16"/>
  </w:num>
  <w:num w:numId="1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4C4408"/>
    <w:rsid w:val="0000238B"/>
    <w:rsid w:val="00005442"/>
    <w:rsid w:val="00005D9A"/>
    <w:rsid w:val="0001401B"/>
    <w:rsid w:val="00015004"/>
    <w:rsid w:val="0001704E"/>
    <w:rsid w:val="000177A5"/>
    <w:rsid w:val="00022C51"/>
    <w:rsid w:val="00025FDD"/>
    <w:rsid w:val="000266E5"/>
    <w:rsid w:val="000266EA"/>
    <w:rsid w:val="000278B5"/>
    <w:rsid w:val="0004389D"/>
    <w:rsid w:val="00045A29"/>
    <w:rsid w:val="00046582"/>
    <w:rsid w:val="00051167"/>
    <w:rsid w:val="000667B6"/>
    <w:rsid w:val="000679F2"/>
    <w:rsid w:val="00072C25"/>
    <w:rsid w:val="00072E4A"/>
    <w:rsid w:val="000743C6"/>
    <w:rsid w:val="00082235"/>
    <w:rsid w:val="00083599"/>
    <w:rsid w:val="00085716"/>
    <w:rsid w:val="0008763F"/>
    <w:rsid w:val="00091A34"/>
    <w:rsid w:val="000978E0"/>
    <w:rsid w:val="000B375F"/>
    <w:rsid w:val="000B5866"/>
    <w:rsid w:val="000C6FDD"/>
    <w:rsid w:val="000D2849"/>
    <w:rsid w:val="000D47D6"/>
    <w:rsid w:val="000D6F89"/>
    <w:rsid w:val="000D76C6"/>
    <w:rsid w:val="000E2206"/>
    <w:rsid w:val="000E2C1B"/>
    <w:rsid w:val="001012A4"/>
    <w:rsid w:val="0010140D"/>
    <w:rsid w:val="00123E59"/>
    <w:rsid w:val="001248D3"/>
    <w:rsid w:val="00126830"/>
    <w:rsid w:val="001412D7"/>
    <w:rsid w:val="00141E04"/>
    <w:rsid w:val="0014493A"/>
    <w:rsid w:val="00145AD5"/>
    <w:rsid w:val="00151A2F"/>
    <w:rsid w:val="00157C1D"/>
    <w:rsid w:val="00161F68"/>
    <w:rsid w:val="00163B3F"/>
    <w:rsid w:val="00174429"/>
    <w:rsid w:val="00174D3D"/>
    <w:rsid w:val="001759B2"/>
    <w:rsid w:val="00180278"/>
    <w:rsid w:val="001804D5"/>
    <w:rsid w:val="00183535"/>
    <w:rsid w:val="0019460A"/>
    <w:rsid w:val="00194742"/>
    <w:rsid w:val="00194C4E"/>
    <w:rsid w:val="001A6324"/>
    <w:rsid w:val="001B21C1"/>
    <w:rsid w:val="001C43EA"/>
    <w:rsid w:val="001C56E8"/>
    <w:rsid w:val="001C666F"/>
    <w:rsid w:val="001D07BE"/>
    <w:rsid w:val="001D1FB5"/>
    <w:rsid w:val="001E1F99"/>
    <w:rsid w:val="001E3C47"/>
    <w:rsid w:val="001E68E3"/>
    <w:rsid w:val="001F0A95"/>
    <w:rsid w:val="001F29BD"/>
    <w:rsid w:val="001F2A8F"/>
    <w:rsid w:val="001F4AA7"/>
    <w:rsid w:val="00204C43"/>
    <w:rsid w:val="00204CA4"/>
    <w:rsid w:val="00206F57"/>
    <w:rsid w:val="00210B3A"/>
    <w:rsid w:val="00212C67"/>
    <w:rsid w:val="00215D38"/>
    <w:rsid w:val="00217FAE"/>
    <w:rsid w:val="002271F9"/>
    <w:rsid w:val="00227B79"/>
    <w:rsid w:val="0023333A"/>
    <w:rsid w:val="002340F0"/>
    <w:rsid w:val="00242EC3"/>
    <w:rsid w:val="002444DB"/>
    <w:rsid w:val="00244919"/>
    <w:rsid w:val="00244D9F"/>
    <w:rsid w:val="0025674D"/>
    <w:rsid w:val="00267799"/>
    <w:rsid w:val="002745E1"/>
    <w:rsid w:val="00276C10"/>
    <w:rsid w:val="00276FBA"/>
    <w:rsid w:val="002836DB"/>
    <w:rsid w:val="00285416"/>
    <w:rsid w:val="00294672"/>
    <w:rsid w:val="002A1B80"/>
    <w:rsid w:val="002A4B61"/>
    <w:rsid w:val="002B0E95"/>
    <w:rsid w:val="002B190F"/>
    <w:rsid w:val="002B1D39"/>
    <w:rsid w:val="002B3464"/>
    <w:rsid w:val="002B4674"/>
    <w:rsid w:val="002B7B37"/>
    <w:rsid w:val="002C7E3A"/>
    <w:rsid w:val="002D27D0"/>
    <w:rsid w:val="002D3EBE"/>
    <w:rsid w:val="002E24FF"/>
    <w:rsid w:val="002E77DD"/>
    <w:rsid w:val="002F478D"/>
    <w:rsid w:val="002F695D"/>
    <w:rsid w:val="002F7EAF"/>
    <w:rsid w:val="002F7EBC"/>
    <w:rsid w:val="00301C4A"/>
    <w:rsid w:val="0030324D"/>
    <w:rsid w:val="00305E09"/>
    <w:rsid w:val="0030610B"/>
    <w:rsid w:val="00306ADE"/>
    <w:rsid w:val="00315730"/>
    <w:rsid w:val="00323D33"/>
    <w:rsid w:val="003374F9"/>
    <w:rsid w:val="00344E44"/>
    <w:rsid w:val="00345564"/>
    <w:rsid w:val="00352CA7"/>
    <w:rsid w:val="00360E3A"/>
    <w:rsid w:val="00366B2C"/>
    <w:rsid w:val="00371AF2"/>
    <w:rsid w:val="00372274"/>
    <w:rsid w:val="00374D98"/>
    <w:rsid w:val="00393B5D"/>
    <w:rsid w:val="00393DC5"/>
    <w:rsid w:val="00396D34"/>
    <w:rsid w:val="003A392C"/>
    <w:rsid w:val="003A4DEA"/>
    <w:rsid w:val="003B3F49"/>
    <w:rsid w:val="003B4FFB"/>
    <w:rsid w:val="003C03D3"/>
    <w:rsid w:val="003C266F"/>
    <w:rsid w:val="003C59C0"/>
    <w:rsid w:val="003D0AE1"/>
    <w:rsid w:val="003D2348"/>
    <w:rsid w:val="003D307F"/>
    <w:rsid w:val="003D4EAF"/>
    <w:rsid w:val="003D7B1F"/>
    <w:rsid w:val="003E414E"/>
    <w:rsid w:val="003F59A3"/>
    <w:rsid w:val="003F5A7A"/>
    <w:rsid w:val="003F5B47"/>
    <w:rsid w:val="00400EE7"/>
    <w:rsid w:val="00401D5F"/>
    <w:rsid w:val="00404401"/>
    <w:rsid w:val="00404702"/>
    <w:rsid w:val="00404B41"/>
    <w:rsid w:val="00410090"/>
    <w:rsid w:val="004108E9"/>
    <w:rsid w:val="00421CF5"/>
    <w:rsid w:val="00427344"/>
    <w:rsid w:val="004279EB"/>
    <w:rsid w:val="00427F9D"/>
    <w:rsid w:val="00431543"/>
    <w:rsid w:val="00431AF2"/>
    <w:rsid w:val="00433BC3"/>
    <w:rsid w:val="0043522E"/>
    <w:rsid w:val="00441B97"/>
    <w:rsid w:val="00441F28"/>
    <w:rsid w:val="0044264F"/>
    <w:rsid w:val="0044563F"/>
    <w:rsid w:val="00445925"/>
    <w:rsid w:val="00446F4D"/>
    <w:rsid w:val="00447BE6"/>
    <w:rsid w:val="00466C6B"/>
    <w:rsid w:val="00470A70"/>
    <w:rsid w:val="00470EC3"/>
    <w:rsid w:val="004719B9"/>
    <w:rsid w:val="00474328"/>
    <w:rsid w:val="0047606E"/>
    <w:rsid w:val="00477C50"/>
    <w:rsid w:val="00490698"/>
    <w:rsid w:val="00490C36"/>
    <w:rsid w:val="00494A80"/>
    <w:rsid w:val="00496455"/>
    <w:rsid w:val="004A618C"/>
    <w:rsid w:val="004A6338"/>
    <w:rsid w:val="004A71F6"/>
    <w:rsid w:val="004A7BED"/>
    <w:rsid w:val="004B3ECE"/>
    <w:rsid w:val="004C1D37"/>
    <w:rsid w:val="004C4408"/>
    <w:rsid w:val="004C5BB4"/>
    <w:rsid w:val="004C6661"/>
    <w:rsid w:val="004E1B27"/>
    <w:rsid w:val="004F08C8"/>
    <w:rsid w:val="004F32B5"/>
    <w:rsid w:val="004F6123"/>
    <w:rsid w:val="004F7ADA"/>
    <w:rsid w:val="00502AFC"/>
    <w:rsid w:val="00503A25"/>
    <w:rsid w:val="0050750F"/>
    <w:rsid w:val="005078A4"/>
    <w:rsid w:val="00510938"/>
    <w:rsid w:val="00515694"/>
    <w:rsid w:val="005202CB"/>
    <w:rsid w:val="00526807"/>
    <w:rsid w:val="005329A1"/>
    <w:rsid w:val="00533C66"/>
    <w:rsid w:val="00535B6E"/>
    <w:rsid w:val="005405AE"/>
    <w:rsid w:val="00550F0A"/>
    <w:rsid w:val="00553456"/>
    <w:rsid w:val="00553E99"/>
    <w:rsid w:val="00554375"/>
    <w:rsid w:val="005550BB"/>
    <w:rsid w:val="0055643A"/>
    <w:rsid w:val="00557C5A"/>
    <w:rsid w:val="00561476"/>
    <w:rsid w:val="00563385"/>
    <w:rsid w:val="005653C3"/>
    <w:rsid w:val="00585453"/>
    <w:rsid w:val="00590760"/>
    <w:rsid w:val="0059152A"/>
    <w:rsid w:val="00594396"/>
    <w:rsid w:val="00595395"/>
    <w:rsid w:val="00595891"/>
    <w:rsid w:val="00597BB1"/>
    <w:rsid w:val="005A1882"/>
    <w:rsid w:val="005A2D48"/>
    <w:rsid w:val="005A5460"/>
    <w:rsid w:val="005B0291"/>
    <w:rsid w:val="005B2F87"/>
    <w:rsid w:val="005B5F75"/>
    <w:rsid w:val="005B7C80"/>
    <w:rsid w:val="005C3276"/>
    <w:rsid w:val="005C34D7"/>
    <w:rsid w:val="005E342F"/>
    <w:rsid w:val="005E7C13"/>
    <w:rsid w:val="005E7C8A"/>
    <w:rsid w:val="005F2B11"/>
    <w:rsid w:val="005F3F71"/>
    <w:rsid w:val="00603D54"/>
    <w:rsid w:val="00616196"/>
    <w:rsid w:val="0062213C"/>
    <w:rsid w:val="00626AAA"/>
    <w:rsid w:val="006301AC"/>
    <w:rsid w:val="00631B6F"/>
    <w:rsid w:val="00631B89"/>
    <w:rsid w:val="00632892"/>
    <w:rsid w:val="00635210"/>
    <w:rsid w:val="00636BAF"/>
    <w:rsid w:val="00637158"/>
    <w:rsid w:val="006374B7"/>
    <w:rsid w:val="006375C3"/>
    <w:rsid w:val="00641DB3"/>
    <w:rsid w:val="0064281E"/>
    <w:rsid w:val="00642CCF"/>
    <w:rsid w:val="00642FC0"/>
    <w:rsid w:val="00644C0C"/>
    <w:rsid w:val="00646800"/>
    <w:rsid w:val="006513C8"/>
    <w:rsid w:val="00651A63"/>
    <w:rsid w:val="00653626"/>
    <w:rsid w:val="00653967"/>
    <w:rsid w:val="00660B86"/>
    <w:rsid w:val="006672D5"/>
    <w:rsid w:val="006736DE"/>
    <w:rsid w:val="00675C08"/>
    <w:rsid w:val="00682CE3"/>
    <w:rsid w:val="00683600"/>
    <w:rsid w:val="00696392"/>
    <w:rsid w:val="006A11AB"/>
    <w:rsid w:val="006A2084"/>
    <w:rsid w:val="006A6744"/>
    <w:rsid w:val="006B023B"/>
    <w:rsid w:val="006B48CA"/>
    <w:rsid w:val="006B575E"/>
    <w:rsid w:val="006C3208"/>
    <w:rsid w:val="006C6478"/>
    <w:rsid w:val="006D4F18"/>
    <w:rsid w:val="006E1C31"/>
    <w:rsid w:val="00704C2A"/>
    <w:rsid w:val="00706D92"/>
    <w:rsid w:val="007113FD"/>
    <w:rsid w:val="00727651"/>
    <w:rsid w:val="00731B32"/>
    <w:rsid w:val="00732ACF"/>
    <w:rsid w:val="0074181C"/>
    <w:rsid w:val="00746FAE"/>
    <w:rsid w:val="00751599"/>
    <w:rsid w:val="007609C1"/>
    <w:rsid w:val="0076526D"/>
    <w:rsid w:val="0077038B"/>
    <w:rsid w:val="007706A7"/>
    <w:rsid w:val="00770B81"/>
    <w:rsid w:val="00777E4E"/>
    <w:rsid w:val="00784564"/>
    <w:rsid w:val="007966DA"/>
    <w:rsid w:val="0079691D"/>
    <w:rsid w:val="007A0D1C"/>
    <w:rsid w:val="007A2E95"/>
    <w:rsid w:val="007A3796"/>
    <w:rsid w:val="007A715B"/>
    <w:rsid w:val="007B21E9"/>
    <w:rsid w:val="007B4202"/>
    <w:rsid w:val="007B77C0"/>
    <w:rsid w:val="007B7DAF"/>
    <w:rsid w:val="007C0C41"/>
    <w:rsid w:val="007C7F93"/>
    <w:rsid w:val="007D219F"/>
    <w:rsid w:val="007F0270"/>
    <w:rsid w:val="007F6839"/>
    <w:rsid w:val="007F7A76"/>
    <w:rsid w:val="0082048E"/>
    <w:rsid w:val="0082126E"/>
    <w:rsid w:val="008219DE"/>
    <w:rsid w:val="008233E0"/>
    <w:rsid w:val="00830F2A"/>
    <w:rsid w:val="00834012"/>
    <w:rsid w:val="008369FF"/>
    <w:rsid w:val="008424A1"/>
    <w:rsid w:val="008500E2"/>
    <w:rsid w:val="008602E0"/>
    <w:rsid w:val="00860B5C"/>
    <w:rsid w:val="008616AE"/>
    <w:rsid w:val="008622DB"/>
    <w:rsid w:val="00866469"/>
    <w:rsid w:val="00871421"/>
    <w:rsid w:val="008743B9"/>
    <w:rsid w:val="00877509"/>
    <w:rsid w:val="00881188"/>
    <w:rsid w:val="00886390"/>
    <w:rsid w:val="008A2836"/>
    <w:rsid w:val="008A3E15"/>
    <w:rsid w:val="008A5D38"/>
    <w:rsid w:val="008A6387"/>
    <w:rsid w:val="008A7561"/>
    <w:rsid w:val="008B080B"/>
    <w:rsid w:val="008C0A68"/>
    <w:rsid w:val="008C4289"/>
    <w:rsid w:val="008C5AD1"/>
    <w:rsid w:val="008D2682"/>
    <w:rsid w:val="008D488C"/>
    <w:rsid w:val="008E0770"/>
    <w:rsid w:val="008E15DF"/>
    <w:rsid w:val="008E7266"/>
    <w:rsid w:val="008F030A"/>
    <w:rsid w:val="008F17A2"/>
    <w:rsid w:val="008F2637"/>
    <w:rsid w:val="008F4544"/>
    <w:rsid w:val="008F576C"/>
    <w:rsid w:val="008F78D3"/>
    <w:rsid w:val="00903154"/>
    <w:rsid w:val="00907451"/>
    <w:rsid w:val="00912D2B"/>
    <w:rsid w:val="009471A8"/>
    <w:rsid w:val="00951247"/>
    <w:rsid w:val="009512C3"/>
    <w:rsid w:val="00951B70"/>
    <w:rsid w:val="00954C90"/>
    <w:rsid w:val="00955596"/>
    <w:rsid w:val="00956F00"/>
    <w:rsid w:val="009617F0"/>
    <w:rsid w:val="0096593E"/>
    <w:rsid w:val="00966061"/>
    <w:rsid w:val="0096711A"/>
    <w:rsid w:val="00972651"/>
    <w:rsid w:val="00973BB4"/>
    <w:rsid w:val="0097519A"/>
    <w:rsid w:val="00975AA5"/>
    <w:rsid w:val="009821EF"/>
    <w:rsid w:val="00991C7D"/>
    <w:rsid w:val="00992AED"/>
    <w:rsid w:val="009A1D10"/>
    <w:rsid w:val="009A6380"/>
    <w:rsid w:val="009B7DCB"/>
    <w:rsid w:val="009C6E7B"/>
    <w:rsid w:val="009D0930"/>
    <w:rsid w:val="009D1266"/>
    <w:rsid w:val="009E6385"/>
    <w:rsid w:val="009F581C"/>
    <w:rsid w:val="00A01D5A"/>
    <w:rsid w:val="00A05FF2"/>
    <w:rsid w:val="00A136E1"/>
    <w:rsid w:val="00A174F2"/>
    <w:rsid w:val="00A2081D"/>
    <w:rsid w:val="00A2172E"/>
    <w:rsid w:val="00A2384A"/>
    <w:rsid w:val="00A25364"/>
    <w:rsid w:val="00A307E2"/>
    <w:rsid w:val="00A31200"/>
    <w:rsid w:val="00A369FA"/>
    <w:rsid w:val="00A41B21"/>
    <w:rsid w:val="00A42E75"/>
    <w:rsid w:val="00A4413E"/>
    <w:rsid w:val="00A458F6"/>
    <w:rsid w:val="00A522F3"/>
    <w:rsid w:val="00A53C62"/>
    <w:rsid w:val="00A640C8"/>
    <w:rsid w:val="00A73936"/>
    <w:rsid w:val="00A73C89"/>
    <w:rsid w:val="00A80612"/>
    <w:rsid w:val="00A80A6D"/>
    <w:rsid w:val="00A94DA0"/>
    <w:rsid w:val="00AA17BF"/>
    <w:rsid w:val="00AA6AA0"/>
    <w:rsid w:val="00AB0F48"/>
    <w:rsid w:val="00AC1191"/>
    <w:rsid w:val="00AC13D1"/>
    <w:rsid w:val="00AC44F6"/>
    <w:rsid w:val="00AC6C7A"/>
    <w:rsid w:val="00AD4032"/>
    <w:rsid w:val="00AE07E7"/>
    <w:rsid w:val="00AE32C4"/>
    <w:rsid w:val="00AE4699"/>
    <w:rsid w:val="00AE5FBE"/>
    <w:rsid w:val="00AE7017"/>
    <w:rsid w:val="00AF1396"/>
    <w:rsid w:val="00AF13A1"/>
    <w:rsid w:val="00AF5B5B"/>
    <w:rsid w:val="00B001A5"/>
    <w:rsid w:val="00B03803"/>
    <w:rsid w:val="00B052D0"/>
    <w:rsid w:val="00B054F3"/>
    <w:rsid w:val="00B141B3"/>
    <w:rsid w:val="00B1435B"/>
    <w:rsid w:val="00B14A92"/>
    <w:rsid w:val="00B20D4E"/>
    <w:rsid w:val="00B22D79"/>
    <w:rsid w:val="00B24162"/>
    <w:rsid w:val="00B24A27"/>
    <w:rsid w:val="00B4064D"/>
    <w:rsid w:val="00B430E0"/>
    <w:rsid w:val="00B434FC"/>
    <w:rsid w:val="00B461C7"/>
    <w:rsid w:val="00B57D8B"/>
    <w:rsid w:val="00B6054E"/>
    <w:rsid w:val="00B62151"/>
    <w:rsid w:val="00B6764D"/>
    <w:rsid w:val="00B737E8"/>
    <w:rsid w:val="00B75C34"/>
    <w:rsid w:val="00B76F89"/>
    <w:rsid w:val="00B77657"/>
    <w:rsid w:val="00B87338"/>
    <w:rsid w:val="00B8741D"/>
    <w:rsid w:val="00B93223"/>
    <w:rsid w:val="00B93E00"/>
    <w:rsid w:val="00BA4541"/>
    <w:rsid w:val="00BA7E6A"/>
    <w:rsid w:val="00BB356D"/>
    <w:rsid w:val="00BB5508"/>
    <w:rsid w:val="00BB76A9"/>
    <w:rsid w:val="00BB7778"/>
    <w:rsid w:val="00BC38CE"/>
    <w:rsid w:val="00BC396E"/>
    <w:rsid w:val="00BC7E0D"/>
    <w:rsid w:val="00BE697C"/>
    <w:rsid w:val="00BF001C"/>
    <w:rsid w:val="00BF3285"/>
    <w:rsid w:val="00BF39BF"/>
    <w:rsid w:val="00BF63B4"/>
    <w:rsid w:val="00BF7021"/>
    <w:rsid w:val="00C033C3"/>
    <w:rsid w:val="00C06953"/>
    <w:rsid w:val="00C0759E"/>
    <w:rsid w:val="00C10971"/>
    <w:rsid w:val="00C131D2"/>
    <w:rsid w:val="00C16220"/>
    <w:rsid w:val="00C17D40"/>
    <w:rsid w:val="00C250C3"/>
    <w:rsid w:val="00C25C16"/>
    <w:rsid w:val="00C25CAC"/>
    <w:rsid w:val="00C35430"/>
    <w:rsid w:val="00C3555E"/>
    <w:rsid w:val="00C35E63"/>
    <w:rsid w:val="00C36DDE"/>
    <w:rsid w:val="00C410CF"/>
    <w:rsid w:val="00C42503"/>
    <w:rsid w:val="00C6139F"/>
    <w:rsid w:val="00C63AF3"/>
    <w:rsid w:val="00C63C78"/>
    <w:rsid w:val="00C709B8"/>
    <w:rsid w:val="00C70CF9"/>
    <w:rsid w:val="00C779A5"/>
    <w:rsid w:val="00C80459"/>
    <w:rsid w:val="00C818D3"/>
    <w:rsid w:val="00C904EF"/>
    <w:rsid w:val="00C9611E"/>
    <w:rsid w:val="00CA3611"/>
    <w:rsid w:val="00CB0B9F"/>
    <w:rsid w:val="00CC1A76"/>
    <w:rsid w:val="00CC1D0B"/>
    <w:rsid w:val="00CC44A9"/>
    <w:rsid w:val="00CE013A"/>
    <w:rsid w:val="00CE0E46"/>
    <w:rsid w:val="00CE62FE"/>
    <w:rsid w:val="00CE634A"/>
    <w:rsid w:val="00CE7855"/>
    <w:rsid w:val="00CF2B5C"/>
    <w:rsid w:val="00CF62E2"/>
    <w:rsid w:val="00D0311E"/>
    <w:rsid w:val="00D126DF"/>
    <w:rsid w:val="00D17A79"/>
    <w:rsid w:val="00D17D70"/>
    <w:rsid w:val="00D23F8B"/>
    <w:rsid w:val="00D24365"/>
    <w:rsid w:val="00D34AE0"/>
    <w:rsid w:val="00D40036"/>
    <w:rsid w:val="00D42333"/>
    <w:rsid w:val="00D42BDB"/>
    <w:rsid w:val="00D436F1"/>
    <w:rsid w:val="00D43FF8"/>
    <w:rsid w:val="00D46513"/>
    <w:rsid w:val="00D54ABE"/>
    <w:rsid w:val="00D80316"/>
    <w:rsid w:val="00D82B40"/>
    <w:rsid w:val="00D87539"/>
    <w:rsid w:val="00D91F85"/>
    <w:rsid w:val="00D92BE0"/>
    <w:rsid w:val="00D95257"/>
    <w:rsid w:val="00DA08AA"/>
    <w:rsid w:val="00DA3D45"/>
    <w:rsid w:val="00DA46A6"/>
    <w:rsid w:val="00DB07FD"/>
    <w:rsid w:val="00DB292A"/>
    <w:rsid w:val="00DC5DF0"/>
    <w:rsid w:val="00DE12AB"/>
    <w:rsid w:val="00DE1C89"/>
    <w:rsid w:val="00DF3656"/>
    <w:rsid w:val="00DF4DE8"/>
    <w:rsid w:val="00DF6A4B"/>
    <w:rsid w:val="00E008B4"/>
    <w:rsid w:val="00E02F0D"/>
    <w:rsid w:val="00E0325D"/>
    <w:rsid w:val="00E0441B"/>
    <w:rsid w:val="00E063CD"/>
    <w:rsid w:val="00E105EA"/>
    <w:rsid w:val="00E14856"/>
    <w:rsid w:val="00E22EBB"/>
    <w:rsid w:val="00E32FC7"/>
    <w:rsid w:val="00E33C5F"/>
    <w:rsid w:val="00E3603D"/>
    <w:rsid w:val="00E45499"/>
    <w:rsid w:val="00E57082"/>
    <w:rsid w:val="00E600A1"/>
    <w:rsid w:val="00E61F52"/>
    <w:rsid w:val="00E641BF"/>
    <w:rsid w:val="00E67A64"/>
    <w:rsid w:val="00E76DFA"/>
    <w:rsid w:val="00E80149"/>
    <w:rsid w:val="00E8155F"/>
    <w:rsid w:val="00E82473"/>
    <w:rsid w:val="00E83265"/>
    <w:rsid w:val="00E97211"/>
    <w:rsid w:val="00EB6720"/>
    <w:rsid w:val="00EB6A11"/>
    <w:rsid w:val="00EC1650"/>
    <w:rsid w:val="00EC4FE4"/>
    <w:rsid w:val="00EC65DD"/>
    <w:rsid w:val="00ED1200"/>
    <w:rsid w:val="00ED46D7"/>
    <w:rsid w:val="00ED5093"/>
    <w:rsid w:val="00EE169C"/>
    <w:rsid w:val="00EE39D6"/>
    <w:rsid w:val="00EE6411"/>
    <w:rsid w:val="00EF0EF2"/>
    <w:rsid w:val="00EF156B"/>
    <w:rsid w:val="00EF3B02"/>
    <w:rsid w:val="00F00CE2"/>
    <w:rsid w:val="00F069F5"/>
    <w:rsid w:val="00F11E03"/>
    <w:rsid w:val="00F21B5D"/>
    <w:rsid w:val="00F32391"/>
    <w:rsid w:val="00F346EB"/>
    <w:rsid w:val="00F41384"/>
    <w:rsid w:val="00F4474B"/>
    <w:rsid w:val="00F46666"/>
    <w:rsid w:val="00F4770E"/>
    <w:rsid w:val="00F53E1E"/>
    <w:rsid w:val="00F57935"/>
    <w:rsid w:val="00F6381D"/>
    <w:rsid w:val="00F640D4"/>
    <w:rsid w:val="00F65DB2"/>
    <w:rsid w:val="00F72401"/>
    <w:rsid w:val="00F724B3"/>
    <w:rsid w:val="00F74E25"/>
    <w:rsid w:val="00F774E7"/>
    <w:rsid w:val="00F8568F"/>
    <w:rsid w:val="00F93FAB"/>
    <w:rsid w:val="00FA010E"/>
    <w:rsid w:val="00FA03F1"/>
    <w:rsid w:val="00FA1293"/>
    <w:rsid w:val="00FB2F61"/>
    <w:rsid w:val="00FB4990"/>
    <w:rsid w:val="00FB6598"/>
    <w:rsid w:val="00FD3300"/>
    <w:rsid w:val="00FD52BC"/>
    <w:rsid w:val="00FD72C9"/>
    <w:rsid w:val="00FE28D1"/>
    <w:rsid w:val="00FE2C9C"/>
    <w:rsid w:val="00FE5629"/>
    <w:rsid w:val="00FE6F4A"/>
    <w:rsid w:val="00FF00D0"/>
    <w:rsid w:val="00FF1B32"/>
    <w:rsid w:val="00FF5E5D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9D228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5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6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7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8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9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11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12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hps">
    <w:name w:val="hps"/>
    <w:basedOn w:val="Standardnpsmoodstavce"/>
  </w:style>
  <w:style w:type="paragraph" w:customStyle="1" w:styleId="SPCheader2">
    <w:name w:val="SPC header 2"/>
    <w:basedOn w:val="Normln"/>
    <w:pPr>
      <w:keepNext/>
      <w:numPr>
        <w:ilvl w:val="1"/>
        <w:numId w:val="15"/>
      </w:numPr>
      <w:tabs>
        <w:tab w:val="clear" w:pos="567"/>
      </w:tabs>
      <w:spacing w:before="240" w:after="240" w:line="240" w:lineRule="auto"/>
      <w:outlineLvl w:val="1"/>
    </w:pPr>
    <w:rPr>
      <w:b/>
      <w:sz w:val="24"/>
      <w:lang w:val="en-GB"/>
    </w:rPr>
  </w:style>
  <w:style w:type="paragraph" w:customStyle="1" w:styleId="SPCheader1">
    <w:name w:val="SPC header 1"/>
    <w:basedOn w:val="Normln"/>
    <w:pPr>
      <w:keepNext/>
      <w:numPr>
        <w:numId w:val="15"/>
      </w:numPr>
      <w:tabs>
        <w:tab w:val="clear" w:pos="567"/>
      </w:tabs>
      <w:spacing w:before="240" w:after="240" w:line="240" w:lineRule="auto"/>
      <w:outlineLvl w:val="0"/>
    </w:pPr>
    <w:rPr>
      <w:b/>
      <w:sz w:val="24"/>
      <w:lang w:val="en-GB"/>
    </w:rPr>
  </w:style>
  <w:style w:type="table" w:customStyle="1" w:styleId="TableGrid1">
    <w:name w:val="Table Grid1"/>
    <w:basedOn w:val="Normlntabulka"/>
    <w:next w:val="Mkatabulky"/>
    <w:uiPriority w:val="39"/>
    <w:rsid w:val="00A23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0">
    <w:name w:val="Body Text 21"/>
    <w:basedOn w:val="Normln"/>
    <w:rsid w:val="003F5B47"/>
    <w:pPr>
      <w:tabs>
        <w:tab w:val="clear" w:pos="567"/>
      </w:tabs>
      <w:spacing w:line="240" w:lineRule="auto"/>
      <w:ind w:left="360"/>
    </w:pPr>
    <w:rPr>
      <w:sz w:val="20"/>
      <w:lang w:val="en-US"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2B190F"/>
    <w:rPr>
      <w:color w:val="605E5C"/>
      <w:shd w:val="clear" w:color="auto" w:fill="E1DFDD"/>
    </w:rPr>
  </w:style>
  <w:style w:type="character" w:customStyle="1" w:styleId="ZhlavChar">
    <w:name w:val="Záhlaví Char"/>
    <w:link w:val="Zhlav"/>
    <w:rsid w:val="00141E04"/>
    <w:rPr>
      <w:rFonts w:ascii="Helvetica" w:hAnsi="Helvetica"/>
      <w:lang w:eastAsia="en-US"/>
    </w:rPr>
  </w:style>
  <w:style w:type="character" w:customStyle="1" w:styleId="markedcontent">
    <w:name w:val="markedcontent"/>
    <w:rsid w:val="0022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6841-54D8-47BF-85BC-E7BC23DF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1345</Words>
  <Characters>7939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Equip WNV</vt:lpstr>
      <vt:lpstr>Equip WNV</vt:lpstr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 WNV</dc:title>
  <dc:subject>CVMP</dc:subject>
  <dc:creator>EPAR</dc:creator>
  <cp:keywords>Equip WNV</cp:keywords>
  <cp:lastModifiedBy>Leona Nepejchalová</cp:lastModifiedBy>
  <cp:revision>20</cp:revision>
  <cp:lastPrinted>2023-09-26T13:34:00Z</cp:lastPrinted>
  <dcterms:created xsi:type="dcterms:W3CDTF">2023-10-18T11:43:00Z</dcterms:created>
  <dcterms:modified xsi:type="dcterms:W3CDTF">2024-05-31T10:58:00Z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