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9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35466C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35466C" w:rsidRDefault="006C6ABC" w:rsidP="00407C22">
      <w:pPr>
        <w:pStyle w:val="Style3"/>
      </w:pPr>
      <w:r w:rsidRPr="0035466C">
        <w:t>PŘÍBALOVÁ INFORMACE</w:t>
      </w:r>
    </w:p>
    <w:p w14:paraId="14C31250" w14:textId="77777777" w:rsidR="00C114FF" w:rsidRPr="0035466C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5466C">
        <w:br w:type="page"/>
      </w:r>
      <w:r w:rsidRPr="0035466C">
        <w:rPr>
          <w:b/>
          <w:szCs w:val="22"/>
        </w:rPr>
        <w:lastRenderedPageBreak/>
        <w:t>PŘÍBALOVÁ INFORMACE</w:t>
      </w:r>
    </w:p>
    <w:p w14:paraId="14C31251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35466C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t>1.</w:t>
      </w:r>
      <w:r w:rsidRPr="0035466C">
        <w:tab/>
        <w:t>Název veterinárního léčivého přípravku</w:t>
      </w:r>
    </w:p>
    <w:p w14:paraId="14C31254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7E602A" w14:textId="77777777" w:rsidR="007D477B" w:rsidRPr="0035466C" w:rsidRDefault="007D477B" w:rsidP="007D477B">
      <w:r w:rsidRPr="0035466C">
        <w:t>Engemycin 100 mg/ml injekční roztok</w:t>
      </w:r>
    </w:p>
    <w:p w14:paraId="2C0DF8A5" w14:textId="77777777" w:rsidR="00165A09" w:rsidRPr="0035466C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35466C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t>2.</w:t>
      </w:r>
      <w:r w:rsidRPr="0035466C">
        <w:tab/>
        <w:t>Složení</w:t>
      </w:r>
    </w:p>
    <w:p w14:paraId="14C31259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789FB21" w14:textId="36A1282B" w:rsidR="007D477B" w:rsidRPr="0035466C" w:rsidRDefault="005D6C3B" w:rsidP="007D477B">
      <w:pPr>
        <w:rPr>
          <w:iCs/>
          <w:szCs w:val="22"/>
        </w:rPr>
      </w:pPr>
      <w:r w:rsidRPr="0035466C">
        <w:rPr>
          <w:iCs/>
          <w:szCs w:val="22"/>
        </w:rPr>
        <w:t>Každ</w:t>
      </w:r>
      <w:r w:rsidR="003544BE" w:rsidRPr="0035466C">
        <w:rPr>
          <w:iCs/>
          <w:szCs w:val="22"/>
        </w:rPr>
        <w:t>ý ml obsahuje:</w:t>
      </w:r>
    </w:p>
    <w:p w14:paraId="5F8ECDEA" w14:textId="047E711D" w:rsidR="00343E80" w:rsidRPr="0035466C" w:rsidRDefault="00343E80" w:rsidP="007D477B">
      <w:pPr>
        <w:rPr>
          <w:iCs/>
          <w:szCs w:val="22"/>
        </w:rPr>
      </w:pPr>
    </w:p>
    <w:p w14:paraId="01C6169E" w14:textId="275E5DE7" w:rsidR="00343E80" w:rsidRPr="0035466C" w:rsidRDefault="00343E80" w:rsidP="007D477B">
      <w:pPr>
        <w:rPr>
          <w:iCs/>
          <w:szCs w:val="22"/>
        </w:rPr>
      </w:pPr>
      <w:r w:rsidRPr="0035466C">
        <w:rPr>
          <w:b/>
        </w:rPr>
        <w:t>Léčivá látka:</w:t>
      </w:r>
    </w:p>
    <w:p w14:paraId="3E3DEA13" w14:textId="77777777" w:rsidR="007D477B" w:rsidRPr="0035466C" w:rsidRDefault="007D477B" w:rsidP="007D477B">
      <w:pPr>
        <w:tabs>
          <w:tab w:val="left" w:pos="4111"/>
        </w:tabs>
      </w:pPr>
      <w:r w:rsidRPr="0035466C">
        <w:t xml:space="preserve">Oxytetracyclinum </w:t>
      </w:r>
      <w:r w:rsidRPr="0035466C">
        <w:tab/>
        <w:t>100 mg</w:t>
      </w:r>
    </w:p>
    <w:p w14:paraId="6849B184" w14:textId="77777777" w:rsidR="007D477B" w:rsidRPr="0035466C" w:rsidRDefault="007D477B" w:rsidP="007D477B">
      <w:pPr>
        <w:tabs>
          <w:tab w:val="left" w:pos="4111"/>
        </w:tabs>
      </w:pPr>
      <w:r w:rsidRPr="0035466C">
        <w:t>(jako oxytetracyclini hydrochloridum)</w:t>
      </w:r>
    </w:p>
    <w:p w14:paraId="6E2C1441" w14:textId="77777777" w:rsidR="007D477B" w:rsidRPr="0035466C" w:rsidRDefault="007D477B" w:rsidP="007D477B">
      <w:pPr>
        <w:rPr>
          <w:b/>
        </w:rPr>
      </w:pPr>
    </w:p>
    <w:p w14:paraId="2C11F2C2" w14:textId="77777777" w:rsidR="007D477B" w:rsidRPr="0035466C" w:rsidRDefault="007D477B" w:rsidP="007D477B">
      <w:pPr>
        <w:rPr>
          <w:b/>
        </w:rPr>
      </w:pPr>
      <w:r w:rsidRPr="0035466C">
        <w:rPr>
          <w:b/>
        </w:rPr>
        <w:t>Pomocné látky</w:t>
      </w:r>
    </w:p>
    <w:p w14:paraId="479ABABE" w14:textId="77777777" w:rsidR="007D477B" w:rsidRPr="0035466C" w:rsidRDefault="007D477B" w:rsidP="007D477B">
      <w:pPr>
        <w:tabs>
          <w:tab w:val="left" w:pos="4111"/>
        </w:tabs>
      </w:pPr>
      <w:r w:rsidRPr="0035466C">
        <w:t>Natrium-hydroxymethansulfinát</w:t>
      </w:r>
      <w:r w:rsidRPr="0035466C">
        <w:tab/>
        <w:t>5 mg</w:t>
      </w:r>
    </w:p>
    <w:p w14:paraId="15FAE2B1" w14:textId="77777777" w:rsidR="007D477B" w:rsidRPr="0035466C" w:rsidRDefault="007D477B" w:rsidP="007D477B"/>
    <w:p w14:paraId="54D767B5" w14:textId="77777777" w:rsidR="007D477B" w:rsidRPr="0035466C" w:rsidRDefault="007D477B" w:rsidP="007D477B">
      <w:r w:rsidRPr="0035466C">
        <w:t>Čirý zelenožlutý injekční roztok.</w:t>
      </w:r>
    </w:p>
    <w:p w14:paraId="66B26890" w14:textId="77777777" w:rsidR="007D477B" w:rsidRPr="0035466C" w:rsidRDefault="007D477B" w:rsidP="007D477B"/>
    <w:p w14:paraId="14C3125A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t>3.</w:t>
      </w:r>
      <w:r w:rsidRPr="0035466C">
        <w:tab/>
        <w:t>Cílové druhy zvířat</w:t>
      </w:r>
    </w:p>
    <w:p w14:paraId="14C3125D" w14:textId="4C9921A3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9097CE" w14:textId="77777777" w:rsidR="007D477B" w:rsidRPr="0035466C" w:rsidRDefault="007D477B" w:rsidP="007D477B">
      <w:r w:rsidRPr="0035466C">
        <w:t>Skot, koně, prasata, ovce, psi, kočky.</w:t>
      </w:r>
    </w:p>
    <w:p w14:paraId="29AC4900" w14:textId="77777777" w:rsidR="007D477B" w:rsidRPr="0035466C" w:rsidRDefault="007D47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77777777" w:rsidR="00E65154" w:rsidRPr="0035466C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t>4.</w:t>
      </w:r>
      <w:r w:rsidRPr="0035466C">
        <w:tab/>
        <w:t>Indikace pro použití</w:t>
      </w:r>
    </w:p>
    <w:p w14:paraId="14C3125F" w14:textId="7A0404B5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04A482" w14:textId="447ED9BE" w:rsidR="007D477B" w:rsidRPr="0035466C" w:rsidRDefault="007D477B" w:rsidP="007D477B">
      <w:pPr>
        <w:jc w:val="both"/>
        <w:rPr>
          <w:szCs w:val="22"/>
        </w:rPr>
      </w:pPr>
      <w:r w:rsidRPr="0035466C">
        <w:t xml:space="preserve">Léčba lokálních a systémových infekcí způsobených mikroorganismy citlivými na oxytetracyklin, jako jsou </w:t>
      </w:r>
      <w:r w:rsidRPr="0035466C">
        <w:rPr>
          <w:i/>
        </w:rPr>
        <w:t>Staphylococcus</w:t>
      </w:r>
      <w:r w:rsidRPr="0035466C">
        <w:t xml:space="preserve"> spp., </w:t>
      </w:r>
      <w:r w:rsidRPr="0035466C">
        <w:rPr>
          <w:i/>
        </w:rPr>
        <w:t>Streptococcus</w:t>
      </w:r>
      <w:r w:rsidRPr="0035466C">
        <w:t xml:space="preserve"> spp., </w:t>
      </w:r>
      <w:r w:rsidRPr="0035466C">
        <w:rPr>
          <w:i/>
        </w:rPr>
        <w:t>Clostridium</w:t>
      </w:r>
      <w:r w:rsidRPr="0035466C">
        <w:t xml:space="preserve"> spp., </w:t>
      </w:r>
      <w:r w:rsidRPr="0035466C">
        <w:rPr>
          <w:i/>
        </w:rPr>
        <w:t>Erysipelothrix</w:t>
      </w:r>
      <w:r w:rsidRPr="0035466C">
        <w:t xml:space="preserve"> spp., </w:t>
      </w:r>
      <w:r w:rsidRPr="0035466C">
        <w:rPr>
          <w:i/>
        </w:rPr>
        <w:t>Bacillus anthracis</w:t>
      </w:r>
      <w:r w:rsidRPr="0035466C">
        <w:t xml:space="preserve">, </w:t>
      </w:r>
      <w:r w:rsidRPr="0035466C">
        <w:rPr>
          <w:i/>
        </w:rPr>
        <w:t>Pasteurella</w:t>
      </w:r>
      <w:r w:rsidRPr="0035466C">
        <w:t xml:space="preserve"> spp., </w:t>
      </w:r>
      <w:r w:rsidRPr="0035466C">
        <w:rPr>
          <w:i/>
        </w:rPr>
        <w:t>Brucella</w:t>
      </w:r>
      <w:r w:rsidRPr="0035466C">
        <w:t xml:space="preserve"> spp.,</w:t>
      </w:r>
      <w:r w:rsidRPr="0035466C">
        <w:rPr>
          <w:i/>
        </w:rPr>
        <w:t xml:space="preserve"> </w:t>
      </w:r>
      <w:r w:rsidRPr="0035466C">
        <w:t>zástupci čeledí</w:t>
      </w:r>
      <w:r w:rsidRPr="0035466C">
        <w:rPr>
          <w:i/>
        </w:rPr>
        <w:t xml:space="preserve"> Actinomycetaceae </w:t>
      </w:r>
      <w:r w:rsidRPr="0035466C">
        <w:t>a</w:t>
      </w:r>
      <w:r w:rsidRPr="0035466C">
        <w:rPr>
          <w:i/>
        </w:rPr>
        <w:t xml:space="preserve"> Corynebacteriacae</w:t>
      </w:r>
      <w:r w:rsidRPr="0035466C">
        <w:t xml:space="preserve">, </w:t>
      </w:r>
      <w:r w:rsidRPr="0035466C">
        <w:rPr>
          <w:i/>
        </w:rPr>
        <w:t>Actinobacillus</w:t>
      </w:r>
      <w:r w:rsidRPr="0035466C">
        <w:t xml:space="preserve"> </w:t>
      </w:r>
      <w:r w:rsidR="007D708D" w:rsidRPr="0035466C">
        <w:t xml:space="preserve">a </w:t>
      </w:r>
      <w:r w:rsidRPr="0035466C">
        <w:rPr>
          <w:i/>
        </w:rPr>
        <w:t>Histophilus</w:t>
      </w:r>
      <w:r w:rsidR="007D708D" w:rsidRPr="0035466C">
        <w:rPr>
          <w:i/>
        </w:rPr>
        <w:t>,</w:t>
      </w:r>
      <w:r w:rsidR="007D708D" w:rsidRPr="0035466C">
        <w:t xml:space="preserve"> </w:t>
      </w:r>
      <w:r w:rsidR="007D708D" w:rsidRPr="0035466C">
        <w:rPr>
          <w:i/>
        </w:rPr>
        <w:t>Glaesserella (dříve Haemophilus</w:t>
      </w:r>
      <w:r w:rsidRPr="0035466C">
        <w:t xml:space="preserve">) spp., </w:t>
      </w:r>
      <w:r w:rsidRPr="0035466C">
        <w:rPr>
          <w:i/>
        </w:rPr>
        <w:t>E. coli</w:t>
      </w:r>
      <w:r w:rsidRPr="0035466C">
        <w:t xml:space="preserve">, </w:t>
      </w:r>
      <w:r w:rsidRPr="0035466C">
        <w:rPr>
          <w:i/>
        </w:rPr>
        <w:t>Salmonella</w:t>
      </w:r>
      <w:r w:rsidR="0035466C" w:rsidRPr="0035466C">
        <w:t xml:space="preserve"> spp., rickettsie, mykoplaz</w:t>
      </w:r>
      <w:r w:rsidRPr="0035466C">
        <w:t>mata, chlamydie a spirochety u koní, skotu, ovcí, prasat, psů a koček. Jedná se zejména o pneumonie a další infekční onemocnění dýchacích cest, metritidy a endometritidy, mastitidy, infekce urogenitálního aparátu, septikémie a sekundární infekce při virových onemocněních.</w:t>
      </w:r>
    </w:p>
    <w:p w14:paraId="07358A85" w14:textId="77777777" w:rsidR="007D477B" w:rsidRPr="0035466C" w:rsidRDefault="007D47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0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t>5.</w:t>
      </w:r>
      <w:r w:rsidRPr="0035466C">
        <w:tab/>
        <w:t>Kontraindikace</w:t>
      </w:r>
    </w:p>
    <w:p w14:paraId="14C31262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537FC9" w14:textId="6337C6CB" w:rsidR="00DF0642" w:rsidRPr="0035466C" w:rsidRDefault="007D477B" w:rsidP="00DF0642">
      <w:r w:rsidRPr="0035466C">
        <w:t>Nepoužívat v případ</w:t>
      </w:r>
      <w:r w:rsidR="0070273D" w:rsidRPr="0035466C">
        <w:t>ech</w:t>
      </w:r>
      <w:r w:rsidRPr="0035466C">
        <w:t xml:space="preserve"> přecitlivělosti na léčivou látku</w:t>
      </w:r>
      <w:r w:rsidR="0070273D" w:rsidRPr="0035466C">
        <w:t xml:space="preserve"> nebo na některou z pomocných látek.</w:t>
      </w:r>
      <w:r w:rsidR="00DF0642" w:rsidRPr="0035466C">
        <w:t xml:space="preserve"> </w:t>
      </w:r>
    </w:p>
    <w:p w14:paraId="45A9F3A0" w14:textId="7B8CB6F3" w:rsidR="00DF0642" w:rsidRPr="0035466C" w:rsidRDefault="00DF0642" w:rsidP="00DF0642">
      <w:pPr>
        <w:rPr>
          <w:sz w:val="20"/>
        </w:rPr>
      </w:pPr>
      <w:r w:rsidRPr="0035466C">
        <w:t>U koní nepodávat současně s kortikosteroidy.</w:t>
      </w:r>
    </w:p>
    <w:p w14:paraId="32DE9C5B" w14:textId="77777777" w:rsidR="007D477B" w:rsidRPr="0035466C" w:rsidRDefault="007D477B" w:rsidP="007D477B">
      <w:r w:rsidRPr="0035466C">
        <w:t xml:space="preserve">Nepoužívat u zvířat s těžkým poškozením jater a ledvin. </w:t>
      </w:r>
    </w:p>
    <w:p w14:paraId="21212095" w14:textId="74AFFF53" w:rsidR="007D477B" w:rsidRPr="0035466C" w:rsidRDefault="007D477B" w:rsidP="007D477B">
      <w:pPr>
        <w:keepNext/>
      </w:pPr>
      <w:r w:rsidRPr="0035466C">
        <w:t>U koní</w:t>
      </w:r>
      <w:r w:rsidR="00265817" w:rsidRPr="0035466C">
        <w:t>, psů a koček</w:t>
      </w:r>
      <w:r w:rsidRPr="0035466C">
        <w:t xml:space="preserve"> nepoužívat v režimu podání vyšší dávky s prodlouženým účinkem.  </w:t>
      </w:r>
    </w:p>
    <w:p w14:paraId="14C31263" w14:textId="1F25CEE4" w:rsidR="00EB457B" w:rsidRPr="0035466C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35466C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t>6.</w:t>
      </w:r>
      <w:r w:rsidRPr="0035466C">
        <w:tab/>
        <w:t>Zvláštní upozornění</w:t>
      </w:r>
    </w:p>
    <w:p w14:paraId="14C31269" w14:textId="77777777" w:rsidR="00F354C5" w:rsidRPr="0035466C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1DA549A4" w:rsidR="00F354C5" w:rsidRPr="0035466C" w:rsidRDefault="006C6ABC" w:rsidP="00F354C5">
      <w:pPr>
        <w:tabs>
          <w:tab w:val="clear" w:pos="567"/>
        </w:tabs>
        <w:spacing w:line="240" w:lineRule="auto"/>
      </w:pPr>
      <w:r w:rsidRPr="0035466C">
        <w:rPr>
          <w:szCs w:val="22"/>
          <w:u w:val="single"/>
        </w:rPr>
        <w:t>Zvláštní opatření pro bezpečné použití u cílových druhů zvířat</w:t>
      </w:r>
      <w:r w:rsidRPr="0035466C">
        <w:t>:</w:t>
      </w:r>
    </w:p>
    <w:p w14:paraId="14D52FB4" w14:textId="71DC4B02" w:rsidR="00AA2587" w:rsidRPr="0035466C" w:rsidRDefault="00DF0642" w:rsidP="00AA2587">
      <w:pPr>
        <w:jc w:val="both"/>
        <w:rPr>
          <w:szCs w:val="22"/>
        </w:rPr>
      </w:pPr>
      <w:r w:rsidRPr="0035466C">
        <w:t xml:space="preserve">Použití přípravku by mělo být založeno na </w:t>
      </w:r>
      <w:r w:rsidR="00AE2BD4" w:rsidRPr="0035466C">
        <w:t>kultivaci a výsledku stanovení citlivosti mikroorganizmů pocházejících z výskytů případů onemocnění</w:t>
      </w:r>
      <w:r w:rsidRPr="0035466C">
        <w:t>. Pokud to není možné, použití přípravku by mělo být založeno na lokálních (regionálních, na úrovni farmy) epi</w:t>
      </w:r>
      <w:r w:rsidR="00AE2BD4" w:rsidRPr="0035466C">
        <w:t>zootologických</w:t>
      </w:r>
      <w:r w:rsidRPr="0035466C">
        <w:t xml:space="preserve"> informacích o citlivosti cílových bakterií</w:t>
      </w:r>
      <w:r w:rsidR="00AE2BD4" w:rsidRPr="0035466C">
        <w:t xml:space="preserve">. Při použití přípravku je nutno vzít v úvahu oficiální a místní pravidla antibiotické politiky. </w:t>
      </w:r>
    </w:p>
    <w:p w14:paraId="14C3126B" w14:textId="77777777" w:rsidR="00F354C5" w:rsidRPr="0035466C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35466C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35466C">
        <w:rPr>
          <w:szCs w:val="22"/>
          <w:u w:val="single"/>
        </w:rPr>
        <w:t>Zvláštní opatření pro osobu, která podává veterinární léčivý přípravek zvířatům</w:t>
      </w:r>
      <w:r w:rsidRPr="0035466C">
        <w:t>:</w:t>
      </w:r>
    </w:p>
    <w:p w14:paraId="54D5E2C5" w14:textId="77777777" w:rsidR="007D477B" w:rsidRPr="0035466C" w:rsidRDefault="007D477B" w:rsidP="007D477B">
      <w:pPr>
        <w:rPr>
          <w:szCs w:val="22"/>
        </w:rPr>
      </w:pPr>
      <w:r w:rsidRPr="0035466C">
        <w:rPr>
          <w:szCs w:val="22"/>
        </w:rPr>
        <w:lastRenderedPageBreak/>
        <w:t>Přípravek může vyvolat přecitlivělost (alergii). Lidé se známou přecitlivělostí na tetracykliny, jako je oxytetracyklin, by se měli vyhnout kontaktu s veterinárním léčivým přípravkem.</w:t>
      </w:r>
    </w:p>
    <w:p w14:paraId="2C698193" w14:textId="77777777" w:rsidR="007D477B" w:rsidRPr="0035466C" w:rsidRDefault="007D477B" w:rsidP="007D477B">
      <w:pPr>
        <w:rPr>
          <w:szCs w:val="22"/>
        </w:rPr>
      </w:pPr>
      <w:r w:rsidRPr="0035466C">
        <w:rPr>
          <w:szCs w:val="22"/>
        </w:rPr>
        <w:t>Přípravek může vyvolat podráždění kůže a očí. Zabraňte kontaktu přípravku s kůží a očima. V případě náhodného potřísnění kůže nebo očí opláchněte ihned velkým množstvím vody.</w:t>
      </w:r>
    </w:p>
    <w:p w14:paraId="2FC0C662" w14:textId="77777777" w:rsidR="005D6C3B" w:rsidRPr="0035466C" w:rsidRDefault="007D477B" w:rsidP="007D477B">
      <w:pPr>
        <w:rPr>
          <w:szCs w:val="22"/>
        </w:rPr>
      </w:pPr>
      <w:r w:rsidRPr="0035466C">
        <w:rPr>
          <w:szCs w:val="22"/>
        </w:rPr>
        <w:t xml:space="preserve">Zabraňte náhodnému samopodání injekce. </w:t>
      </w:r>
    </w:p>
    <w:p w14:paraId="669CAE5B" w14:textId="39C0AD2F" w:rsidR="007D477B" w:rsidRPr="0035466C" w:rsidRDefault="007D477B" w:rsidP="007D477B">
      <w:pPr>
        <w:rPr>
          <w:szCs w:val="22"/>
        </w:rPr>
      </w:pPr>
      <w:r w:rsidRPr="0035466C">
        <w:rPr>
          <w:szCs w:val="22"/>
        </w:rPr>
        <w:t xml:space="preserve">V případě náhodného sebepoškození injekčně aplikovaným přípravkem vyhledejte ihned lékařskou pomoc a ukažte příbalovou informaci nebo etiketu praktickému lékaři. </w:t>
      </w:r>
    </w:p>
    <w:p w14:paraId="23D9BD9D" w14:textId="77777777" w:rsidR="007D477B" w:rsidRPr="0035466C" w:rsidRDefault="007D477B" w:rsidP="007D477B">
      <w:pPr>
        <w:rPr>
          <w:szCs w:val="22"/>
        </w:rPr>
      </w:pPr>
      <w:r w:rsidRPr="0035466C">
        <w:rPr>
          <w:szCs w:val="22"/>
        </w:rPr>
        <w:t>Po použití si umyjte ruce.</w:t>
      </w:r>
    </w:p>
    <w:p w14:paraId="14C3126D" w14:textId="77777777" w:rsidR="002F6DAA" w:rsidRPr="0035466C" w:rsidRDefault="002F6DAA" w:rsidP="005B1FD0">
      <w:pPr>
        <w:rPr>
          <w:szCs w:val="22"/>
          <w:u w:val="single"/>
        </w:rPr>
      </w:pPr>
    </w:p>
    <w:p w14:paraId="14C31276" w14:textId="02E2EA3D" w:rsidR="005B1FD0" w:rsidRPr="0035466C" w:rsidRDefault="006C6ABC" w:rsidP="005B1FD0">
      <w:pPr>
        <w:tabs>
          <w:tab w:val="clear" w:pos="567"/>
        </w:tabs>
        <w:spacing w:line="240" w:lineRule="auto"/>
      </w:pPr>
      <w:r w:rsidRPr="0035466C">
        <w:rPr>
          <w:szCs w:val="22"/>
          <w:u w:val="single"/>
        </w:rPr>
        <w:t>Březost a laktace</w:t>
      </w:r>
      <w:r w:rsidRPr="0035466C">
        <w:t>:</w:t>
      </w:r>
    </w:p>
    <w:p w14:paraId="675731B2" w14:textId="77777777" w:rsidR="007D477B" w:rsidRPr="0035466C" w:rsidRDefault="007D477B" w:rsidP="007D477B">
      <w:pPr>
        <w:jc w:val="both"/>
      </w:pPr>
      <w:r w:rsidRPr="0035466C">
        <w:t>Vysoké dávky mohou u plodu způsobit změnu barvy a hypoplazii zubů a retardaci růstu dlouhých kostí.</w:t>
      </w:r>
    </w:p>
    <w:p w14:paraId="14C3127B" w14:textId="77777777" w:rsidR="005B1FD0" w:rsidRPr="0035466C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35466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35466C">
        <w:rPr>
          <w:szCs w:val="22"/>
          <w:u w:val="single"/>
        </w:rPr>
        <w:t>Interakce s jinými léčivými přípravky a další formy interakce</w:t>
      </w:r>
      <w:r w:rsidRPr="0035466C">
        <w:t>:</w:t>
      </w:r>
    </w:p>
    <w:bookmarkEnd w:id="0"/>
    <w:p w14:paraId="7C5C7B19" w14:textId="77777777" w:rsidR="007D477B" w:rsidRPr="0035466C" w:rsidRDefault="007D477B" w:rsidP="007D477B">
      <w:pPr>
        <w:jc w:val="both"/>
      </w:pPr>
      <w:r w:rsidRPr="0035466C">
        <w:t>Byl popsán synergismus mezi tetracykliny a tylosinem a polymyxiny.</w:t>
      </w:r>
    </w:p>
    <w:p w14:paraId="2FA9C689" w14:textId="77777777" w:rsidR="00B3238D" w:rsidRPr="0035466C" w:rsidRDefault="00B3238D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35466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35466C">
        <w:rPr>
          <w:szCs w:val="22"/>
          <w:u w:val="single"/>
        </w:rPr>
        <w:t>Předávkování</w:t>
      </w:r>
      <w:r w:rsidRPr="0035466C">
        <w:t>:</w:t>
      </w:r>
    </w:p>
    <w:p w14:paraId="38867BA1" w14:textId="77777777" w:rsidR="007D477B" w:rsidRPr="0035466C" w:rsidRDefault="007D477B" w:rsidP="007D477B">
      <w:pPr>
        <w:jc w:val="both"/>
      </w:pPr>
      <w:r w:rsidRPr="0035466C">
        <w:t xml:space="preserve">Opakované intramuskulární podání 2-3 násobku doporučené vysoké dávky cílovým druhům a </w:t>
      </w:r>
    </w:p>
    <w:p w14:paraId="1A41A2F6" w14:textId="77777777" w:rsidR="007D477B" w:rsidRPr="0035466C" w:rsidRDefault="007D477B" w:rsidP="007D477B">
      <w:pPr>
        <w:jc w:val="both"/>
      </w:pPr>
      <w:r w:rsidRPr="0035466C">
        <w:t>dvojnásobné překročení doporučené maximální doby podávání byly u cílových zvířat tolerovány; pozorována byla bolest a přechodný déle trvající otok v místě podání.</w:t>
      </w:r>
    </w:p>
    <w:p w14:paraId="4BEB2E39" w14:textId="77777777" w:rsidR="00585343" w:rsidRPr="0035466C" w:rsidRDefault="0058534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35466C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35466C">
        <w:rPr>
          <w:szCs w:val="22"/>
          <w:u w:val="single"/>
        </w:rPr>
        <w:t>Hlavní inkompatibility</w:t>
      </w:r>
      <w:r w:rsidRPr="0035466C">
        <w:t>:</w:t>
      </w:r>
    </w:p>
    <w:p w14:paraId="4157CA79" w14:textId="77777777" w:rsidR="007D477B" w:rsidRPr="0035466C" w:rsidRDefault="007D477B" w:rsidP="007D477B">
      <w:pPr>
        <w:jc w:val="both"/>
      </w:pPr>
      <w:r w:rsidRPr="0035466C">
        <w:t>Studie kompatibility nejsou k dispozici, a proto tento veterinární léčivý přípravek nesmí být mísen s žádnými dalšími veterinárními léčivými přípravky.</w:t>
      </w:r>
    </w:p>
    <w:p w14:paraId="14C31283" w14:textId="77777777" w:rsidR="005B1FD0" w:rsidRPr="0035466C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35466C" w:rsidRDefault="006C6ABC" w:rsidP="00B13B6D">
      <w:pPr>
        <w:pStyle w:val="Style1"/>
      </w:pPr>
      <w:bookmarkStart w:id="1" w:name="_Hlk105754214"/>
      <w:r w:rsidRPr="0035466C">
        <w:rPr>
          <w:highlight w:val="lightGray"/>
        </w:rPr>
        <w:t>7.</w:t>
      </w:r>
      <w:r w:rsidRPr="0035466C">
        <w:tab/>
        <w:t>Nežádoucí účinky</w:t>
      </w:r>
    </w:p>
    <w:p w14:paraId="14C31286" w14:textId="110167A0" w:rsidR="00C114FF" w:rsidRPr="0035466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4EE0D5" w14:textId="77777777" w:rsidR="00601C65" w:rsidRPr="0035466C" w:rsidRDefault="00601C65" w:rsidP="00601C65">
      <w:pPr>
        <w:rPr>
          <w:szCs w:val="22"/>
        </w:rPr>
      </w:pPr>
      <w:r w:rsidRPr="0035466C">
        <w:rPr>
          <w:szCs w:val="22"/>
        </w:rPr>
        <w:t>Prasata, ovce, kočky:</w:t>
      </w:r>
    </w:p>
    <w:p w14:paraId="551408E5" w14:textId="77777777" w:rsidR="00601C65" w:rsidRPr="0035466C" w:rsidRDefault="00601C65" w:rsidP="00601C6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01C65" w:rsidRPr="0035466C" w14:paraId="6A4517CE" w14:textId="77777777" w:rsidTr="008A23CE">
        <w:tc>
          <w:tcPr>
            <w:tcW w:w="1957" w:type="pct"/>
          </w:tcPr>
          <w:p w14:paraId="7CA617E6" w14:textId="77777777" w:rsidR="00601C65" w:rsidRPr="0035466C" w:rsidRDefault="00601C65" w:rsidP="008A23CE">
            <w:pPr>
              <w:spacing w:before="60" w:after="60"/>
              <w:rPr>
                <w:szCs w:val="22"/>
              </w:rPr>
            </w:pPr>
            <w:r w:rsidRPr="0035466C">
              <w:t>Velmi vzácné</w:t>
            </w:r>
          </w:p>
          <w:p w14:paraId="0AEFC32D" w14:textId="77777777" w:rsidR="00601C65" w:rsidRPr="0035466C" w:rsidRDefault="00601C65" w:rsidP="008A23CE">
            <w:pPr>
              <w:spacing w:before="60" w:after="60"/>
              <w:rPr>
                <w:szCs w:val="22"/>
              </w:rPr>
            </w:pPr>
            <w:r w:rsidRPr="0035466C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2B1F4920" w14:textId="37D0A30C" w:rsidR="00601C65" w:rsidRPr="0035466C" w:rsidRDefault="00601C65" w:rsidP="008A23CE">
            <w:pPr>
              <w:spacing w:before="60" w:after="60"/>
              <w:rPr>
                <w:iCs/>
                <w:szCs w:val="22"/>
              </w:rPr>
            </w:pPr>
            <w:r w:rsidRPr="0035466C">
              <w:rPr>
                <w:rFonts w:cstheme="minorHAnsi"/>
              </w:rPr>
              <w:t>Iritace v místě injekčního podání</w:t>
            </w:r>
            <w:r w:rsidRPr="0035466C">
              <w:rPr>
                <w:rFonts w:cstheme="minorHAnsi"/>
              </w:rPr>
              <w:br/>
              <w:t>Fotosenzitivita</w:t>
            </w:r>
            <w:r w:rsidRPr="0035466C">
              <w:rPr>
                <w:rFonts w:cstheme="minorHAnsi"/>
                <w:vertAlign w:val="superscript"/>
              </w:rPr>
              <w:t>1</w:t>
            </w:r>
          </w:p>
        </w:tc>
      </w:tr>
    </w:tbl>
    <w:p w14:paraId="77AF291A" w14:textId="77777777" w:rsidR="00601C65" w:rsidRPr="0035466C" w:rsidRDefault="00601C65" w:rsidP="00601C65">
      <w:pPr>
        <w:rPr>
          <w:rFonts w:cstheme="minorHAnsi"/>
          <w:sz w:val="20"/>
        </w:rPr>
      </w:pPr>
      <w:r w:rsidRPr="0035466C">
        <w:rPr>
          <w:rFonts w:cstheme="minorHAnsi"/>
          <w:sz w:val="20"/>
          <w:vertAlign w:val="superscript"/>
        </w:rPr>
        <w:t>1</w:t>
      </w:r>
      <w:r w:rsidRPr="0035466C">
        <w:rPr>
          <w:rFonts w:cstheme="minorHAnsi"/>
          <w:sz w:val="20"/>
        </w:rPr>
        <w:t xml:space="preserve"> V případě vystavení intenzivnímu slunečnímu záření.</w:t>
      </w:r>
    </w:p>
    <w:p w14:paraId="15C8C089" w14:textId="4159FCF2" w:rsidR="00601C65" w:rsidRPr="0035466C" w:rsidRDefault="00601C65" w:rsidP="00601C65">
      <w:pPr>
        <w:rPr>
          <w:szCs w:val="22"/>
        </w:rPr>
      </w:pPr>
    </w:p>
    <w:p w14:paraId="3449B405" w14:textId="2D9B3A9C" w:rsidR="0062319F" w:rsidRPr="0035466C" w:rsidRDefault="0062319F" w:rsidP="00601C65">
      <w:pPr>
        <w:rPr>
          <w:szCs w:val="22"/>
        </w:rPr>
      </w:pPr>
      <w:r w:rsidRPr="0035466C">
        <w:rPr>
          <w:szCs w:val="22"/>
        </w:rPr>
        <w:t>Skot:</w:t>
      </w:r>
    </w:p>
    <w:p w14:paraId="37242BD8" w14:textId="77777777" w:rsidR="0062319F" w:rsidRPr="0035466C" w:rsidRDefault="0062319F" w:rsidP="00601C6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2319F" w:rsidRPr="0035466C" w14:paraId="4D86A626" w14:textId="77777777" w:rsidTr="008A23CE">
        <w:tc>
          <w:tcPr>
            <w:tcW w:w="1957" w:type="pct"/>
          </w:tcPr>
          <w:p w14:paraId="71DC73B2" w14:textId="77777777" w:rsidR="0062319F" w:rsidRPr="0035466C" w:rsidRDefault="0062319F" w:rsidP="008A23CE">
            <w:pPr>
              <w:spacing w:before="60" w:after="60"/>
              <w:rPr>
                <w:szCs w:val="22"/>
              </w:rPr>
            </w:pPr>
            <w:r w:rsidRPr="0035466C">
              <w:t>Velmi vzácné</w:t>
            </w:r>
          </w:p>
          <w:p w14:paraId="314F6602" w14:textId="77777777" w:rsidR="0062319F" w:rsidRPr="0035466C" w:rsidRDefault="0062319F" w:rsidP="008A23CE">
            <w:pPr>
              <w:spacing w:before="60" w:after="60"/>
              <w:rPr>
                <w:szCs w:val="22"/>
              </w:rPr>
            </w:pPr>
            <w:r w:rsidRPr="0035466C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E091565" w14:textId="7D624D39" w:rsidR="0062319F" w:rsidRPr="0035466C" w:rsidRDefault="0062319F" w:rsidP="008A23CE">
            <w:pPr>
              <w:spacing w:before="60" w:after="60"/>
              <w:rPr>
                <w:iCs/>
                <w:szCs w:val="22"/>
              </w:rPr>
            </w:pPr>
            <w:r w:rsidRPr="0035466C">
              <w:rPr>
                <w:rFonts w:cstheme="minorHAnsi"/>
              </w:rPr>
              <w:t>Hypersenzitivní reakce</w:t>
            </w:r>
            <w:r w:rsidRPr="0035466C">
              <w:rPr>
                <w:rFonts w:cstheme="minorHAnsi"/>
                <w:vertAlign w:val="superscript"/>
              </w:rPr>
              <w:t>1</w:t>
            </w:r>
            <w:r w:rsidR="00031E35" w:rsidRPr="0035466C">
              <w:rPr>
                <w:rFonts w:cstheme="minorHAnsi"/>
              </w:rPr>
              <w:t>, a</w:t>
            </w:r>
            <w:r w:rsidRPr="0035466C">
              <w:rPr>
                <w:rFonts w:cstheme="minorHAnsi"/>
              </w:rPr>
              <w:t>nafylaxe</w:t>
            </w:r>
            <w:r w:rsidRPr="0035466C">
              <w:rPr>
                <w:rFonts w:cstheme="minorHAnsi"/>
                <w:vertAlign w:val="superscript"/>
              </w:rPr>
              <w:t>1</w:t>
            </w:r>
            <w:r w:rsidRPr="0035466C">
              <w:rPr>
                <w:rFonts w:cstheme="minorHAnsi"/>
              </w:rPr>
              <w:br/>
              <w:t>Iritace v místě injekčního podání</w:t>
            </w:r>
            <w:r w:rsidRPr="0035466C">
              <w:rPr>
                <w:rFonts w:cstheme="minorHAnsi"/>
              </w:rPr>
              <w:br/>
              <w:t>Fotosenzitivita</w:t>
            </w:r>
            <w:r w:rsidRPr="0035466C">
              <w:rPr>
                <w:rFonts w:cstheme="minorHAnsi"/>
                <w:vertAlign w:val="superscript"/>
              </w:rPr>
              <w:t>2</w:t>
            </w:r>
          </w:p>
        </w:tc>
      </w:tr>
    </w:tbl>
    <w:p w14:paraId="4D5CEE91" w14:textId="77777777" w:rsidR="0062319F" w:rsidRPr="0035466C" w:rsidRDefault="0062319F" w:rsidP="0062319F">
      <w:pPr>
        <w:rPr>
          <w:rFonts w:cstheme="minorHAnsi"/>
          <w:sz w:val="20"/>
        </w:rPr>
      </w:pPr>
      <w:r w:rsidRPr="0035466C">
        <w:rPr>
          <w:rFonts w:cstheme="minorHAnsi"/>
          <w:sz w:val="20"/>
          <w:vertAlign w:val="superscript"/>
        </w:rPr>
        <w:t xml:space="preserve">1 </w:t>
      </w:r>
      <w:r w:rsidRPr="0035466C">
        <w:rPr>
          <w:rFonts w:cstheme="minorHAnsi"/>
          <w:sz w:val="20"/>
        </w:rPr>
        <w:t>Je třeba okamžitě vyhledat veterinárního lékaře a zahájit vhodnou léčbu.</w:t>
      </w:r>
    </w:p>
    <w:p w14:paraId="79BA1693" w14:textId="2F1733CF" w:rsidR="0062319F" w:rsidRPr="0035466C" w:rsidRDefault="0062319F" w:rsidP="0062319F">
      <w:pPr>
        <w:rPr>
          <w:rFonts w:cstheme="minorHAnsi"/>
          <w:sz w:val="20"/>
        </w:rPr>
      </w:pPr>
      <w:r w:rsidRPr="0035466C">
        <w:rPr>
          <w:rFonts w:cstheme="minorHAnsi"/>
          <w:sz w:val="20"/>
          <w:vertAlign w:val="superscript"/>
        </w:rPr>
        <w:t>2</w:t>
      </w:r>
      <w:r w:rsidRPr="0035466C">
        <w:rPr>
          <w:rFonts w:cstheme="minorHAnsi"/>
          <w:sz w:val="20"/>
        </w:rPr>
        <w:t xml:space="preserve"> V případě vystavení intenzivnímu slunečnímu záření.</w:t>
      </w:r>
    </w:p>
    <w:p w14:paraId="286F8527" w14:textId="77777777" w:rsidR="0062319F" w:rsidRPr="0035466C" w:rsidRDefault="0062319F" w:rsidP="00601C65">
      <w:pPr>
        <w:rPr>
          <w:szCs w:val="22"/>
        </w:rPr>
      </w:pPr>
    </w:p>
    <w:p w14:paraId="518F056F" w14:textId="77777777" w:rsidR="00601C65" w:rsidRPr="0035466C" w:rsidRDefault="00601C65" w:rsidP="00601C65">
      <w:pPr>
        <w:rPr>
          <w:szCs w:val="22"/>
        </w:rPr>
      </w:pPr>
      <w:r w:rsidRPr="0035466C">
        <w:rPr>
          <w:szCs w:val="22"/>
        </w:rPr>
        <w:t>Psi:</w:t>
      </w:r>
    </w:p>
    <w:p w14:paraId="76D05FF8" w14:textId="77777777" w:rsidR="00601C65" w:rsidRPr="0035466C" w:rsidRDefault="00601C65" w:rsidP="00601C6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01C65" w:rsidRPr="0035466C" w14:paraId="07A8C780" w14:textId="77777777" w:rsidTr="008A23CE">
        <w:tc>
          <w:tcPr>
            <w:tcW w:w="1957" w:type="pct"/>
          </w:tcPr>
          <w:p w14:paraId="32FE9578" w14:textId="77777777" w:rsidR="00601C65" w:rsidRPr="0035466C" w:rsidRDefault="00601C65" w:rsidP="008A23CE">
            <w:pPr>
              <w:spacing w:before="60" w:after="60"/>
              <w:rPr>
                <w:szCs w:val="22"/>
              </w:rPr>
            </w:pPr>
            <w:r w:rsidRPr="0035466C">
              <w:t>Velmi vzácné</w:t>
            </w:r>
          </w:p>
          <w:p w14:paraId="6BB8F77B" w14:textId="77777777" w:rsidR="00601C65" w:rsidRPr="0035466C" w:rsidRDefault="00601C65" w:rsidP="008A23CE">
            <w:pPr>
              <w:spacing w:before="60" w:after="60"/>
              <w:rPr>
                <w:szCs w:val="22"/>
              </w:rPr>
            </w:pPr>
            <w:r w:rsidRPr="0035466C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31FB1030" w14:textId="1D66894E" w:rsidR="00601C65" w:rsidRPr="0035466C" w:rsidRDefault="00601C65" w:rsidP="008A23CE">
            <w:pPr>
              <w:spacing w:before="60" w:after="60"/>
              <w:rPr>
                <w:iCs/>
                <w:szCs w:val="22"/>
              </w:rPr>
            </w:pPr>
            <w:r w:rsidRPr="0035466C">
              <w:rPr>
                <w:rFonts w:cstheme="minorHAnsi"/>
              </w:rPr>
              <w:t>Otok v místě injekčního podání</w:t>
            </w:r>
            <w:r w:rsidRPr="0035466C">
              <w:rPr>
                <w:rFonts w:cstheme="minorHAnsi"/>
                <w:vertAlign w:val="superscript"/>
              </w:rPr>
              <w:t>1</w:t>
            </w:r>
            <w:r w:rsidRPr="0035466C">
              <w:rPr>
                <w:rFonts w:cstheme="minorHAnsi"/>
              </w:rPr>
              <w:t xml:space="preserve">, </w:t>
            </w:r>
            <w:r w:rsidR="00031E35" w:rsidRPr="0035466C">
              <w:rPr>
                <w:rFonts w:cstheme="minorHAnsi"/>
              </w:rPr>
              <w:t>i</w:t>
            </w:r>
            <w:r w:rsidRPr="0035466C">
              <w:rPr>
                <w:rFonts w:cstheme="minorHAnsi"/>
              </w:rPr>
              <w:t>ritace v místě injekčního podání</w:t>
            </w:r>
            <w:r w:rsidRPr="0035466C">
              <w:rPr>
                <w:rFonts w:cstheme="minorHAnsi"/>
              </w:rPr>
              <w:br/>
              <w:t>Fotosenzitivita</w:t>
            </w:r>
            <w:r w:rsidRPr="0035466C">
              <w:rPr>
                <w:rFonts w:cstheme="minorHAnsi"/>
                <w:vertAlign w:val="superscript"/>
              </w:rPr>
              <w:t>2</w:t>
            </w:r>
          </w:p>
        </w:tc>
      </w:tr>
    </w:tbl>
    <w:p w14:paraId="70FA269B" w14:textId="426CCD70" w:rsidR="00601C65" w:rsidRPr="0035466C" w:rsidRDefault="00601C65" w:rsidP="00601C65">
      <w:pPr>
        <w:rPr>
          <w:rFonts w:cstheme="minorHAnsi"/>
          <w:sz w:val="20"/>
        </w:rPr>
      </w:pPr>
      <w:r w:rsidRPr="0035466C">
        <w:rPr>
          <w:rFonts w:cstheme="minorHAnsi"/>
          <w:sz w:val="20"/>
          <w:vertAlign w:val="superscript"/>
        </w:rPr>
        <w:t>1</w:t>
      </w:r>
      <w:r w:rsidRPr="0035466C">
        <w:rPr>
          <w:rFonts w:cstheme="minorHAnsi"/>
          <w:sz w:val="20"/>
        </w:rPr>
        <w:t xml:space="preserve"> Po</w:t>
      </w:r>
      <w:r w:rsidR="0062319F" w:rsidRPr="0035466C">
        <w:rPr>
          <w:rFonts w:cstheme="minorHAnsi"/>
          <w:sz w:val="20"/>
        </w:rPr>
        <w:t xml:space="preserve"> subkutánním</w:t>
      </w:r>
      <w:r w:rsidRPr="0035466C">
        <w:rPr>
          <w:rFonts w:cstheme="minorHAnsi"/>
          <w:sz w:val="20"/>
        </w:rPr>
        <w:t xml:space="preserve"> podání přechodné.</w:t>
      </w:r>
    </w:p>
    <w:p w14:paraId="47A7EF7C" w14:textId="77777777" w:rsidR="00601C65" w:rsidRPr="0035466C" w:rsidRDefault="00601C65" w:rsidP="00601C65">
      <w:pPr>
        <w:rPr>
          <w:rFonts w:cstheme="minorHAnsi"/>
          <w:sz w:val="20"/>
        </w:rPr>
      </w:pPr>
      <w:r w:rsidRPr="0035466C">
        <w:rPr>
          <w:rFonts w:cstheme="minorHAnsi"/>
          <w:sz w:val="20"/>
          <w:vertAlign w:val="superscript"/>
        </w:rPr>
        <w:t xml:space="preserve">2 </w:t>
      </w:r>
      <w:r w:rsidRPr="0035466C">
        <w:rPr>
          <w:rFonts w:cstheme="minorHAnsi"/>
          <w:sz w:val="20"/>
        </w:rPr>
        <w:t>V případě vystavení intenzivnímu slunečnímu záření.</w:t>
      </w:r>
    </w:p>
    <w:p w14:paraId="109B4689" w14:textId="77777777" w:rsidR="00601C65" w:rsidRPr="0035466C" w:rsidRDefault="00601C65" w:rsidP="00601C65">
      <w:pPr>
        <w:rPr>
          <w:szCs w:val="22"/>
        </w:rPr>
      </w:pPr>
    </w:p>
    <w:p w14:paraId="2FEDAB1F" w14:textId="77777777" w:rsidR="00601C65" w:rsidRPr="0035466C" w:rsidRDefault="00601C65" w:rsidP="00601C65">
      <w:pPr>
        <w:rPr>
          <w:szCs w:val="22"/>
        </w:rPr>
      </w:pPr>
      <w:r w:rsidRPr="0035466C">
        <w:rPr>
          <w:szCs w:val="22"/>
        </w:rPr>
        <w:t>Koně:</w:t>
      </w:r>
    </w:p>
    <w:p w14:paraId="4BCA8453" w14:textId="77777777" w:rsidR="00601C65" w:rsidRPr="0035466C" w:rsidRDefault="00601C65" w:rsidP="00601C6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01C65" w:rsidRPr="0035466C" w14:paraId="5E7A70FD" w14:textId="77777777" w:rsidTr="008A23CE">
        <w:tc>
          <w:tcPr>
            <w:tcW w:w="1957" w:type="pct"/>
          </w:tcPr>
          <w:p w14:paraId="3343499B" w14:textId="77777777" w:rsidR="00601C65" w:rsidRPr="0035466C" w:rsidRDefault="00601C65" w:rsidP="008A23CE">
            <w:pPr>
              <w:spacing w:before="60" w:after="60"/>
              <w:rPr>
                <w:szCs w:val="22"/>
              </w:rPr>
            </w:pPr>
            <w:r w:rsidRPr="0035466C">
              <w:lastRenderedPageBreak/>
              <w:t>Vzácné</w:t>
            </w:r>
          </w:p>
          <w:p w14:paraId="376B96E7" w14:textId="77777777" w:rsidR="00601C65" w:rsidRPr="0035466C" w:rsidRDefault="00601C65" w:rsidP="008A23CE">
            <w:pPr>
              <w:spacing w:before="60" w:after="60"/>
              <w:rPr>
                <w:szCs w:val="22"/>
              </w:rPr>
            </w:pPr>
            <w:r w:rsidRPr="0035466C">
              <w:t>(1 až 10 zvířat / 10 000 ošetřených zvířat):</w:t>
            </w:r>
          </w:p>
        </w:tc>
        <w:tc>
          <w:tcPr>
            <w:tcW w:w="3043" w:type="pct"/>
          </w:tcPr>
          <w:p w14:paraId="3588DC5B" w14:textId="01AE4729" w:rsidR="00601C65" w:rsidRPr="0035466C" w:rsidRDefault="00601C65" w:rsidP="008A23CE">
            <w:pPr>
              <w:spacing w:before="60" w:after="60"/>
              <w:rPr>
                <w:iCs/>
                <w:szCs w:val="22"/>
              </w:rPr>
            </w:pPr>
            <w:r w:rsidRPr="0035466C">
              <w:rPr>
                <w:rFonts w:cstheme="minorHAnsi"/>
              </w:rPr>
              <w:t>Hypersenzitivní reakce</w:t>
            </w:r>
            <w:r w:rsidRPr="0035466C">
              <w:rPr>
                <w:rFonts w:cstheme="minorHAnsi"/>
                <w:vertAlign w:val="superscript"/>
              </w:rPr>
              <w:t>1</w:t>
            </w:r>
          </w:p>
        </w:tc>
      </w:tr>
      <w:tr w:rsidR="00601C65" w:rsidRPr="0035466C" w14:paraId="6E135852" w14:textId="77777777" w:rsidTr="008A23CE">
        <w:tc>
          <w:tcPr>
            <w:tcW w:w="1957" w:type="pct"/>
          </w:tcPr>
          <w:p w14:paraId="1A4D8343" w14:textId="77777777" w:rsidR="00601C65" w:rsidRPr="0035466C" w:rsidRDefault="00601C65" w:rsidP="008A23CE">
            <w:pPr>
              <w:spacing w:before="60" w:after="60"/>
              <w:rPr>
                <w:szCs w:val="22"/>
              </w:rPr>
            </w:pPr>
            <w:r w:rsidRPr="0035466C">
              <w:t>Velmi vzácné</w:t>
            </w:r>
          </w:p>
          <w:p w14:paraId="2AB163A7" w14:textId="77777777" w:rsidR="00601C65" w:rsidRPr="0035466C" w:rsidRDefault="00601C65" w:rsidP="008A23CE">
            <w:pPr>
              <w:spacing w:before="60" w:after="60"/>
              <w:rPr>
                <w:szCs w:val="22"/>
              </w:rPr>
            </w:pPr>
            <w:r w:rsidRPr="0035466C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7248CDFD" w14:textId="13D68141" w:rsidR="00601C65" w:rsidRPr="0035466C" w:rsidRDefault="00601C65" w:rsidP="008A23CE">
            <w:pPr>
              <w:spacing w:before="60" w:after="60"/>
              <w:rPr>
                <w:iCs/>
                <w:szCs w:val="22"/>
              </w:rPr>
            </w:pPr>
            <w:r w:rsidRPr="0035466C">
              <w:rPr>
                <w:rFonts w:cstheme="minorHAnsi"/>
              </w:rPr>
              <w:t>Anafylaxe</w:t>
            </w:r>
            <w:r w:rsidRPr="0035466C">
              <w:rPr>
                <w:rFonts w:cstheme="minorHAnsi"/>
                <w:vertAlign w:val="superscript"/>
              </w:rPr>
              <w:t>1</w:t>
            </w:r>
            <w:r w:rsidRPr="0035466C">
              <w:rPr>
                <w:rFonts w:cstheme="minorHAnsi"/>
              </w:rPr>
              <w:br/>
              <w:t>Průjem</w:t>
            </w:r>
            <w:r w:rsidRPr="0035466C">
              <w:rPr>
                <w:rFonts w:cstheme="minorHAnsi"/>
                <w:vertAlign w:val="superscript"/>
              </w:rPr>
              <w:t>2</w:t>
            </w:r>
            <w:r w:rsidRPr="0035466C">
              <w:rPr>
                <w:rFonts w:cstheme="minorHAnsi"/>
              </w:rPr>
              <w:br/>
              <w:t>Otok v místě injekčního podání</w:t>
            </w:r>
            <w:r w:rsidRPr="0035466C">
              <w:rPr>
                <w:rFonts w:cstheme="minorHAnsi"/>
                <w:vertAlign w:val="superscript"/>
              </w:rPr>
              <w:t>3</w:t>
            </w:r>
            <w:r w:rsidRPr="0035466C">
              <w:rPr>
                <w:rFonts w:cstheme="minorHAnsi"/>
              </w:rPr>
              <w:t xml:space="preserve">, </w:t>
            </w:r>
            <w:r w:rsidR="00031E35" w:rsidRPr="0035466C">
              <w:rPr>
                <w:rFonts w:cstheme="minorHAnsi"/>
              </w:rPr>
              <w:t>i</w:t>
            </w:r>
            <w:r w:rsidRPr="0035466C">
              <w:rPr>
                <w:rFonts w:cstheme="minorHAnsi"/>
              </w:rPr>
              <w:t>ritace v místě injekčního podání</w:t>
            </w:r>
            <w:r w:rsidRPr="0035466C">
              <w:rPr>
                <w:rFonts w:cstheme="minorHAnsi"/>
              </w:rPr>
              <w:br/>
              <w:t>Fotosenzitivita</w:t>
            </w:r>
            <w:r w:rsidRPr="0035466C">
              <w:rPr>
                <w:rFonts w:cstheme="minorHAnsi"/>
                <w:vertAlign w:val="superscript"/>
              </w:rPr>
              <w:t>4</w:t>
            </w:r>
          </w:p>
        </w:tc>
      </w:tr>
    </w:tbl>
    <w:p w14:paraId="773033E7" w14:textId="77777777" w:rsidR="00601C65" w:rsidRPr="0035466C" w:rsidRDefault="00601C65" w:rsidP="00601C65">
      <w:pPr>
        <w:rPr>
          <w:rFonts w:cstheme="minorHAnsi"/>
          <w:sz w:val="20"/>
        </w:rPr>
      </w:pPr>
      <w:r w:rsidRPr="0035466C">
        <w:rPr>
          <w:rFonts w:cstheme="minorHAnsi"/>
          <w:sz w:val="20"/>
          <w:vertAlign w:val="superscript"/>
        </w:rPr>
        <w:t xml:space="preserve">1 </w:t>
      </w:r>
      <w:r w:rsidRPr="0035466C">
        <w:rPr>
          <w:rFonts w:cstheme="minorHAnsi"/>
          <w:sz w:val="20"/>
        </w:rPr>
        <w:t>Je třeba okamžitě vyhledat veterinárního lékaře a zahájit vhodnou léčbu.</w:t>
      </w:r>
    </w:p>
    <w:p w14:paraId="0F441756" w14:textId="77777777" w:rsidR="00601C65" w:rsidRPr="0035466C" w:rsidRDefault="00601C65" w:rsidP="00601C65">
      <w:pPr>
        <w:rPr>
          <w:rFonts w:cstheme="minorHAnsi"/>
          <w:sz w:val="20"/>
        </w:rPr>
      </w:pPr>
      <w:r w:rsidRPr="0035466C">
        <w:rPr>
          <w:rFonts w:cstheme="minorHAnsi"/>
          <w:sz w:val="20"/>
          <w:vertAlign w:val="superscript"/>
        </w:rPr>
        <w:t>2</w:t>
      </w:r>
      <w:r w:rsidRPr="0035466C">
        <w:rPr>
          <w:rFonts w:cstheme="minorHAnsi"/>
          <w:sz w:val="20"/>
        </w:rPr>
        <w:t xml:space="preserve"> V důsledku poškození střevní mikroflóry po podání vysokých dávek.</w:t>
      </w:r>
      <w:r w:rsidRPr="0035466C">
        <w:rPr>
          <w:rFonts w:cstheme="minorHAnsi"/>
          <w:sz w:val="20"/>
        </w:rPr>
        <w:br/>
      </w:r>
      <w:r w:rsidRPr="0035466C">
        <w:rPr>
          <w:rFonts w:cstheme="minorHAnsi"/>
          <w:sz w:val="20"/>
          <w:vertAlign w:val="superscript"/>
        </w:rPr>
        <w:t>3</w:t>
      </w:r>
      <w:r w:rsidRPr="0035466C">
        <w:rPr>
          <w:rFonts w:cstheme="minorHAnsi"/>
          <w:sz w:val="20"/>
        </w:rPr>
        <w:t xml:space="preserve"> Po intramuskulárním podání přechodné.</w:t>
      </w:r>
    </w:p>
    <w:p w14:paraId="423FFFCE" w14:textId="77777777" w:rsidR="00601C65" w:rsidRPr="0035466C" w:rsidRDefault="00601C65" w:rsidP="00601C65">
      <w:pPr>
        <w:rPr>
          <w:rFonts w:cstheme="minorHAnsi"/>
          <w:sz w:val="20"/>
        </w:rPr>
      </w:pPr>
      <w:r w:rsidRPr="0035466C">
        <w:rPr>
          <w:rFonts w:cstheme="minorHAnsi"/>
          <w:sz w:val="20"/>
          <w:vertAlign w:val="superscript"/>
        </w:rPr>
        <w:t xml:space="preserve">4 </w:t>
      </w:r>
      <w:r w:rsidRPr="0035466C">
        <w:rPr>
          <w:rFonts w:cstheme="minorHAnsi"/>
          <w:sz w:val="20"/>
        </w:rPr>
        <w:t>V případě vystavení intenzivnímu slunečnímu záření.</w:t>
      </w:r>
    </w:p>
    <w:p w14:paraId="14C31288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2CEBB7A3" w:rsidR="0064285A" w:rsidRPr="0035466C" w:rsidRDefault="0064285A" w:rsidP="0064285A">
      <w:pPr>
        <w:rPr>
          <w:szCs w:val="22"/>
        </w:rPr>
      </w:pPr>
      <w:r w:rsidRPr="0035466C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 </w:t>
      </w:r>
    </w:p>
    <w:p w14:paraId="60EA2A2A" w14:textId="7CDC51F9" w:rsidR="00671F8D" w:rsidRPr="0035466C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35466C">
        <w:rPr>
          <w:szCs w:val="22"/>
        </w:rPr>
        <w:t>Ústav pro státní kontrolu veterinárních biopreparátů a léčiv</w:t>
      </w:r>
      <w:r w:rsidR="000909C3" w:rsidRPr="0035466C">
        <w:rPr>
          <w:szCs w:val="22"/>
        </w:rPr>
        <w:t xml:space="preserve">, </w:t>
      </w:r>
      <w:r w:rsidRPr="0035466C">
        <w:rPr>
          <w:szCs w:val="22"/>
        </w:rPr>
        <w:t xml:space="preserve">Hudcova </w:t>
      </w:r>
      <w:r w:rsidR="000909C3" w:rsidRPr="0035466C">
        <w:rPr>
          <w:szCs w:val="22"/>
        </w:rPr>
        <w:t>232/</w:t>
      </w:r>
      <w:r w:rsidRPr="0035466C">
        <w:rPr>
          <w:szCs w:val="22"/>
        </w:rPr>
        <w:t>56a</w:t>
      </w:r>
      <w:r w:rsidR="000909C3" w:rsidRPr="0035466C">
        <w:rPr>
          <w:szCs w:val="22"/>
        </w:rPr>
        <w:t xml:space="preserve">, </w:t>
      </w:r>
      <w:r w:rsidRPr="0035466C">
        <w:rPr>
          <w:szCs w:val="22"/>
        </w:rPr>
        <w:t>621 00 Brno</w:t>
      </w:r>
    </w:p>
    <w:p w14:paraId="19CCDFD2" w14:textId="6156C854" w:rsidR="00671F8D" w:rsidRPr="0035466C" w:rsidRDefault="00217431" w:rsidP="00671F8D">
      <w:pPr>
        <w:tabs>
          <w:tab w:val="left" w:pos="-720"/>
        </w:tabs>
        <w:suppressAutoHyphens/>
        <w:rPr>
          <w:szCs w:val="22"/>
        </w:rPr>
      </w:pPr>
      <w:r w:rsidRPr="0035466C">
        <w:rPr>
          <w:szCs w:val="22"/>
        </w:rPr>
        <w:t>e-m</w:t>
      </w:r>
      <w:r w:rsidR="00671F8D" w:rsidRPr="0035466C">
        <w:rPr>
          <w:szCs w:val="22"/>
        </w:rPr>
        <w:t xml:space="preserve">ail: </w:t>
      </w:r>
      <w:hyperlink r:id="rId8" w:history="1">
        <w:r w:rsidR="00671F8D" w:rsidRPr="0035466C">
          <w:rPr>
            <w:rStyle w:val="Hypertextovodkaz"/>
            <w:szCs w:val="22"/>
          </w:rPr>
          <w:t>adr@uskvbl.cz</w:t>
        </w:r>
      </w:hyperlink>
      <w:r w:rsidR="000909C3" w:rsidRPr="0035466C">
        <w:rPr>
          <w:rStyle w:val="Hypertextovodkaz"/>
          <w:szCs w:val="22"/>
        </w:rPr>
        <w:t xml:space="preserve">, </w:t>
      </w:r>
      <w:r w:rsidR="00671F8D" w:rsidRPr="0035466C">
        <w:rPr>
          <w:szCs w:val="22"/>
        </w:rPr>
        <w:t xml:space="preserve">Webové stránky: </w:t>
      </w:r>
      <w:hyperlink r:id="rId9" w:history="1">
        <w:r w:rsidR="00671F8D" w:rsidRPr="0035466C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35466C" w:rsidRDefault="00671F8D" w:rsidP="00515FDE">
      <w:pPr>
        <w:rPr>
          <w:szCs w:val="22"/>
        </w:rPr>
      </w:pPr>
    </w:p>
    <w:p w14:paraId="14C3128B" w14:textId="77777777" w:rsidR="00F520FE" w:rsidRPr="0035466C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t>8.</w:t>
      </w:r>
      <w:r w:rsidRPr="0035466C">
        <w:tab/>
        <w:t>Dávkování pro každý druh, cesty a způsob podání</w:t>
      </w:r>
    </w:p>
    <w:p w14:paraId="14C3128D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EAA7CB" w14:textId="77777777" w:rsidR="000909C3" w:rsidRPr="0035466C" w:rsidRDefault="007D477B" w:rsidP="007D477B">
      <w:pPr>
        <w:pStyle w:val="Zkladntext"/>
      </w:pPr>
      <w:r w:rsidRPr="0035466C">
        <w:t xml:space="preserve">Intramuskulární, subkutánní nebo intravenózní podání. </w:t>
      </w:r>
    </w:p>
    <w:p w14:paraId="37C724F3" w14:textId="32CC72AF" w:rsidR="000909C3" w:rsidRPr="0035466C" w:rsidRDefault="00171701" w:rsidP="000909C3">
      <w:pPr>
        <w:tabs>
          <w:tab w:val="left" w:pos="0"/>
        </w:tabs>
        <w:jc w:val="both"/>
      </w:pPr>
      <w:r w:rsidRPr="0035466C">
        <w:t xml:space="preserve">Veterinární léčivý přípravek </w:t>
      </w:r>
      <w:r w:rsidR="000909C3" w:rsidRPr="0035466C">
        <w:t xml:space="preserve">lze </w:t>
      </w:r>
      <w:r w:rsidRPr="0035466C">
        <w:t>podávat</w:t>
      </w:r>
      <w:r w:rsidR="000909C3" w:rsidRPr="0035466C">
        <w:t xml:space="preserve"> </w:t>
      </w:r>
      <w:r w:rsidRPr="0035466C">
        <w:t>ve</w:t>
      </w:r>
      <w:r w:rsidR="000909C3" w:rsidRPr="0035466C">
        <w:t xml:space="preserve"> dvou režim</w:t>
      </w:r>
      <w:r w:rsidRPr="0035466C">
        <w:t>ech</w:t>
      </w:r>
      <w:r w:rsidR="000909C3" w:rsidRPr="0035466C">
        <w:t>:</w:t>
      </w:r>
    </w:p>
    <w:p w14:paraId="46285634" w14:textId="77777777" w:rsidR="000909C3" w:rsidRPr="0035466C" w:rsidRDefault="000909C3" w:rsidP="007D477B">
      <w:pPr>
        <w:pStyle w:val="Zkladntext"/>
        <w:rPr>
          <w:b/>
        </w:rPr>
      </w:pPr>
    </w:p>
    <w:p w14:paraId="48CCE9CC" w14:textId="6A868850" w:rsidR="007D477B" w:rsidRPr="0035466C" w:rsidRDefault="007D477B" w:rsidP="007D477B">
      <w:pPr>
        <w:pStyle w:val="Zkladntext"/>
        <w:rPr>
          <w:b/>
        </w:rPr>
      </w:pPr>
      <w:r w:rsidRPr="0035466C">
        <w:rPr>
          <w:b/>
        </w:rPr>
        <w:t xml:space="preserve">24 hodinový režim: </w:t>
      </w:r>
    </w:p>
    <w:p w14:paraId="783201CF" w14:textId="517431E7" w:rsidR="007D477B" w:rsidRPr="0035466C" w:rsidRDefault="007D477B" w:rsidP="007D477B">
      <w:pPr>
        <w:pStyle w:val="Zkladntext"/>
      </w:pPr>
      <w:r w:rsidRPr="0035466C">
        <w:t xml:space="preserve">Opakované podání doporučené dávky v rozmezí 3 – 10 mg oxytetracyklinu/kg ž.hm. (dle věku a druhu zvířat – viz tabulka níže) po 24 hodinách, celkově 3-5 dnů (tj. iniciální dávka a 4 opakování, celkem 5 dávek) </w:t>
      </w:r>
    </w:p>
    <w:p w14:paraId="0C64B4C2" w14:textId="22E4BECE" w:rsidR="007D477B" w:rsidRPr="0035466C" w:rsidRDefault="00CF5234" w:rsidP="007D477B">
      <w:pPr>
        <w:pStyle w:val="Zkladntext"/>
        <w:rPr>
          <w:b/>
        </w:rPr>
      </w:pPr>
      <w:r w:rsidRPr="0035466C">
        <w:rPr>
          <w:b/>
        </w:rPr>
        <w:t>R</w:t>
      </w:r>
      <w:r w:rsidR="007D477B" w:rsidRPr="0035466C">
        <w:rPr>
          <w:b/>
        </w:rPr>
        <w:t>ežim s prodlouženým účinkem:</w:t>
      </w:r>
    </w:p>
    <w:p w14:paraId="0E771F64" w14:textId="3C78BB87" w:rsidR="007D477B" w:rsidRPr="0035466C" w:rsidRDefault="007D477B" w:rsidP="007D477B">
      <w:pPr>
        <w:pStyle w:val="Zkladntext"/>
      </w:pPr>
      <w:r w:rsidRPr="0035466C">
        <w:t>Dávky 10 nebo 20 mg oxytetracyklinu/kg ž.hm (dle věku a druhu zvířat – viz tabulka níže) aplikovat pouze intramuskulární injekcí. Dávku s prodlouženým účinkem lze opakovat jednou po 48-60 hodinách (viz tabulka níže). Tento režim není doporučen pro koně, psy a kočky.</w:t>
      </w:r>
    </w:p>
    <w:p w14:paraId="0AFBF98D" w14:textId="77777777" w:rsidR="007D477B" w:rsidRPr="0035466C" w:rsidRDefault="007D477B" w:rsidP="007D477B">
      <w:pPr>
        <w:pStyle w:val="Zkladntext"/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1134"/>
        <w:gridCol w:w="1559"/>
        <w:gridCol w:w="1843"/>
        <w:gridCol w:w="929"/>
        <w:gridCol w:w="1481"/>
      </w:tblGrid>
      <w:tr w:rsidR="007D477B" w:rsidRPr="0035466C" w14:paraId="53681BF2" w14:textId="77777777" w:rsidTr="007D477B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4EDD" w14:textId="77777777" w:rsidR="007D477B" w:rsidRPr="0035466C" w:rsidRDefault="007D477B">
            <w:pPr>
              <w:pStyle w:val="Zkladntext"/>
              <w:jc w:val="center"/>
              <w:rPr>
                <w:b/>
              </w:rPr>
            </w:pPr>
            <w:r w:rsidRPr="0035466C">
              <w:rPr>
                <w:b/>
              </w:rPr>
              <w:t>Druh zvířat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80C6" w14:textId="77777777" w:rsidR="007D477B" w:rsidRPr="0035466C" w:rsidRDefault="007D477B">
            <w:pPr>
              <w:pStyle w:val="Zkladntext"/>
              <w:jc w:val="center"/>
              <w:rPr>
                <w:b/>
              </w:rPr>
            </w:pPr>
            <w:r w:rsidRPr="0035466C">
              <w:rPr>
                <w:b/>
              </w:rPr>
              <w:t>Režim podávání</w:t>
            </w:r>
          </w:p>
        </w:tc>
      </w:tr>
      <w:tr w:rsidR="007D477B" w:rsidRPr="0035466C" w14:paraId="4FAC4CC0" w14:textId="77777777" w:rsidTr="007D477B">
        <w:trPr>
          <w:cantSplit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01F5" w14:textId="77777777" w:rsidR="007D477B" w:rsidRPr="0035466C" w:rsidRDefault="007D477B">
            <w:pPr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F530" w14:textId="77777777" w:rsidR="007D477B" w:rsidRPr="0035466C" w:rsidRDefault="007D477B">
            <w:pPr>
              <w:pStyle w:val="Zkladntext"/>
              <w:jc w:val="center"/>
              <w:rPr>
                <w:b/>
              </w:rPr>
            </w:pPr>
            <w:r w:rsidRPr="0035466C">
              <w:rPr>
                <w:b/>
              </w:rPr>
              <w:t>opakovaně ve 24 hod. intervalu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FC78" w14:textId="7EBF09F3" w:rsidR="007D477B" w:rsidRPr="0035466C" w:rsidRDefault="007D477B">
            <w:pPr>
              <w:pStyle w:val="Zkladntext"/>
              <w:jc w:val="center"/>
              <w:rPr>
                <w:b/>
              </w:rPr>
            </w:pPr>
            <w:r w:rsidRPr="0035466C">
              <w:rPr>
                <w:b/>
              </w:rPr>
              <w:t xml:space="preserve">s prodlouženým účinkem </w:t>
            </w:r>
          </w:p>
        </w:tc>
      </w:tr>
      <w:tr w:rsidR="007D477B" w:rsidRPr="0035466C" w14:paraId="0B3A50E9" w14:textId="77777777" w:rsidTr="007D477B">
        <w:trPr>
          <w:cantSplit/>
          <w:trHeight w:val="86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54B1" w14:textId="77777777" w:rsidR="007D477B" w:rsidRPr="0035466C" w:rsidRDefault="007D477B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D635" w14:textId="77777777" w:rsidR="007D477B" w:rsidRPr="0035466C" w:rsidRDefault="007D477B">
            <w:pPr>
              <w:pStyle w:val="Zkladntext"/>
              <w:jc w:val="left"/>
            </w:pPr>
            <w:r w:rsidRPr="0035466C">
              <w:t>způsob</w:t>
            </w:r>
          </w:p>
          <w:p w14:paraId="04E062CF" w14:textId="77777777" w:rsidR="007D477B" w:rsidRPr="0035466C" w:rsidRDefault="007D477B">
            <w:pPr>
              <w:pStyle w:val="Zkladntext"/>
              <w:jc w:val="left"/>
            </w:pPr>
            <w:r w:rsidRPr="0035466C">
              <w:t>aplikace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17A" w14:textId="77777777" w:rsidR="007D477B" w:rsidRPr="0035466C" w:rsidRDefault="007D477B">
            <w:pPr>
              <w:pStyle w:val="Zkladntext"/>
            </w:pPr>
            <w:r w:rsidRPr="0035466C">
              <w:t>dávka v</w:t>
            </w:r>
          </w:p>
          <w:p w14:paraId="11B18A98" w14:textId="77777777" w:rsidR="007D477B" w:rsidRPr="0035466C" w:rsidRDefault="007D477B">
            <w:pPr>
              <w:pStyle w:val="Zkladntext"/>
            </w:pPr>
            <w:r w:rsidRPr="0035466C">
              <w:t>mg/kg</w:t>
            </w:r>
          </w:p>
          <w:p w14:paraId="631E9174" w14:textId="77777777" w:rsidR="007D477B" w:rsidRPr="0035466C" w:rsidRDefault="007D477B">
            <w:pPr>
              <w:pStyle w:val="Zkladntext"/>
            </w:pPr>
            <w:r w:rsidRPr="0035466C">
              <w:t>ž. hm.</w:t>
            </w:r>
          </w:p>
          <w:p w14:paraId="26BEFDBD" w14:textId="77777777" w:rsidR="007D477B" w:rsidRPr="0035466C" w:rsidRDefault="007D477B">
            <w:pPr>
              <w:pStyle w:val="Zkladntex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F309" w14:textId="77777777" w:rsidR="007D477B" w:rsidRPr="0035466C" w:rsidRDefault="007D477B">
            <w:pPr>
              <w:pStyle w:val="Zkladntext"/>
            </w:pPr>
            <w:r w:rsidRPr="0035466C">
              <w:t>dávka v</w:t>
            </w:r>
          </w:p>
          <w:p w14:paraId="40305CA9" w14:textId="77777777" w:rsidR="007D477B" w:rsidRPr="0035466C" w:rsidRDefault="007D477B">
            <w:pPr>
              <w:pStyle w:val="Zkladntext"/>
            </w:pPr>
            <w:r w:rsidRPr="0035466C">
              <w:t>ml přípravku</w:t>
            </w:r>
          </w:p>
          <w:p w14:paraId="1A5FA8AC" w14:textId="77777777" w:rsidR="007D477B" w:rsidRPr="0035466C" w:rsidRDefault="007D477B">
            <w:pPr>
              <w:pStyle w:val="Zkladntext"/>
            </w:pPr>
            <w:r w:rsidRPr="0035466C">
              <w:t>/ kg ž. hm.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89D3" w14:textId="77777777" w:rsidR="007D477B" w:rsidRPr="0035466C" w:rsidRDefault="007D477B">
            <w:pPr>
              <w:pStyle w:val="Zkladntext"/>
            </w:pPr>
            <w:r w:rsidRPr="0035466C">
              <w:t xml:space="preserve">způsob aplikace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E75" w14:textId="77777777" w:rsidR="007D477B" w:rsidRPr="0035466C" w:rsidRDefault="007D477B">
            <w:pPr>
              <w:pStyle w:val="Zkladntext"/>
            </w:pPr>
            <w:r w:rsidRPr="0035466C">
              <w:t>dávka v</w:t>
            </w:r>
          </w:p>
          <w:p w14:paraId="4D9EA38B" w14:textId="77777777" w:rsidR="007D477B" w:rsidRPr="0035466C" w:rsidRDefault="007D477B">
            <w:pPr>
              <w:pStyle w:val="Zkladntext"/>
            </w:pPr>
            <w:r w:rsidRPr="0035466C">
              <w:t xml:space="preserve">mg/kg </w:t>
            </w:r>
          </w:p>
          <w:p w14:paraId="59F4DAB2" w14:textId="77777777" w:rsidR="007D477B" w:rsidRPr="0035466C" w:rsidRDefault="007D477B">
            <w:r w:rsidRPr="0035466C">
              <w:t>ž. hm.</w:t>
            </w:r>
          </w:p>
          <w:p w14:paraId="2176B848" w14:textId="77777777" w:rsidR="007D477B" w:rsidRPr="0035466C" w:rsidRDefault="007D477B">
            <w:pPr>
              <w:pStyle w:val="Zkladntex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5EEC" w14:textId="77777777" w:rsidR="007D477B" w:rsidRPr="0035466C" w:rsidRDefault="007D477B">
            <w:pPr>
              <w:pStyle w:val="Zkladntext"/>
            </w:pPr>
            <w:r w:rsidRPr="0035466C">
              <w:t>dávka v</w:t>
            </w:r>
          </w:p>
          <w:p w14:paraId="24AE697D" w14:textId="77777777" w:rsidR="007D477B" w:rsidRPr="0035466C" w:rsidRDefault="007D477B">
            <w:pPr>
              <w:pStyle w:val="Zkladntext"/>
            </w:pPr>
            <w:r w:rsidRPr="0035466C">
              <w:t>ml přípravku</w:t>
            </w:r>
          </w:p>
          <w:p w14:paraId="5211AD83" w14:textId="77777777" w:rsidR="007D477B" w:rsidRPr="0035466C" w:rsidRDefault="007D477B">
            <w:pPr>
              <w:pStyle w:val="Zkladntext"/>
            </w:pPr>
            <w:r w:rsidRPr="0035466C">
              <w:t>/ kg ž. hm.</w:t>
            </w:r>
          </w:p>
        </w:tc>
      </w:tr>
      <w:tr w:rsidR="007D477B" w:rsidRPr="0035466C" w14:paraId="68267D1B" w14:textId="77777777" w:rsidTr="007D477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B7B6" w14:textId="77777777" w:rsidR="007D477B" w:rsidRPr="0035466C" w:rsidRDefault="007D477B">
            <w:pPr>
              <w:pStyle w:val="Zkladntext"/>
            </w:pPr>
            <w:r w:rsidRPr="0035466C">
              <w:t>Dospělý skot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9C62" w14:textId="77777777" w:rsidR="007D477B" w:rsidRPr="0035466C" w:rsidRDefault="007D477B">
            <w:pPr>
              <w:pStyle w:val="Zkladntext"/>
            </w:pPr>
            <w:r w:rsidRPr="0035466C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838" w14:textId="77777777" w:rsidR="007D477B" w:rsidRPr="0035466C" w:rsidRDefault="007D477B">
            <w:pPr>
              <w:pStyle w:val="Zkladntext"/>
              <w:jc w:val="center"/>
            </w:pPr>
            <w:r w:rsidRPr="0035466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F429" w14:textId="77777777" w:rsidR="007D477B" w:rsidRPr="0035466C" w:rsidRDefault="007D477B">
            <w:pPr>
              <w:pStyle w:val="Zkladntext"/>
              <w:jc w:val="center"/>
            </w:pPr>
            <w:r w:rsidRPr="0035466C"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E3E" w14:textId="77777777" w:rsidR="007D477B" w:rsidRPr="0035466C" w:rsidRDefault="007D477B">
            <w:pPr>
              <w:pStyle w:val="Zkladntext"/>
              <w:jc w:val="center"/>
            </w:pPr>
            <w:r w:rsidRPr="0035466C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5FBB" w14:textId="77777777" w:rsidR="007D477B" w:rsidRPr="0035466C" w:rsidRDefault="007D477B">
            <w:pPr>
              <w:pStyle w:val="Zkladntext"/>
              <w:jc w:val="center"/>
            </w:pPr>
            <w:r w:rsidRPr="0035466C"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4D0B" w14:textId="77777777" w:rsidR="007D477B" w:rsidRPr="0035466C" w:rsidRDefault="007D477B">
            <w:pPr>
              <w:pStyle w:val="Zkladntext"/>
              <w:jc w:val="center"/>
            </w:pPr>
            <w:r w:rsidRPr="0035466C">
              <w:t>0,10</w:t>
            </w:r>
          </w:p>
        </w:tc>
      </w:tr>
      <w:tr w:rsidR="007D477B" w:rsidRPr="0035466C" w14:paraId="3D467D7D" w14:textId="77777777" w:rsidTr="007D477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540B" w14:textId="77777777" w:rsidR="007D477B" w:rsidRPr="0035466C" w:rsidRDefault="007D477B">
            <w:pPr>
              <w:pStyle w:val="Zkladntext"/>
            </w:pPr>
            <w:r w:rsidRPr="0035466C">
              <w:t>Telata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FEAA" w14:textId="77777777" w:rsidR="007D477B" w:rsidRPr="0035466C" w:rsidRDefault="007D477B">
            <w:pPr>
              <w:pStyle w:val="Zkladntext"/>
            </w:pPr>
            <w:r w:rsidRPr="0035466C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A356" w14:textId="77777777" w:rsidR="007D477B" w:rsidRPr="0035466C" w:rsidRDefault="007D477B">
            <w:pPr>
              <w:pStyle w:val="Zkladntext"/>
              <w:jc w:val="center"/>
            </w:pPr>
            <w:r w:rsidRPr="0035466C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0371" w14:textId="77777777" w:rsidR="007D477B" w:rsidRPr="0035466C" w:rsidRDefault="007D477B">
            <w:pPr>
              <w:pStyle w:val="Zkladntext"/>
              <w:jc w:val="center"/>
            </w:pPr>
            <w:r w:rsidRPr="0035466C"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E0CB" w14:textId="77777777" w:rsidR="007D477B" w:rsidRPr="0035466C" w:rsidRDefault="007D477B">
            <w:pPr>
              <w:pStyle w:val="Zkladntext"/>
              <w:jc w:val="center"/>
            </w:pPr>
            <w:r w:rsidRPr="0035466C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DF3" w14:textId="77777777" w:rsidR="007D477B" w:rsidRPr="0035466C" w:rsidRDefault="007D477B">
            <w:pPr>
              <w:pStyle w:val="Zkladntext"/>
              <w:jc w:val="center"/>
            </w:pPr>
            <w:r w:rsidRPr="0035466C"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A194" w14:textId="77777777" w:rsidR="007D477B" w:rsidRPr="0035466C" w:rsidRDefault="007D477B">
            <w:pPr>
              <w:pStyle w:val="Zkladntext"/>
              <w:jc w:val="center"/>
            </w:pPr>
            <w:r w:rsidRPr="0035466C">
              <w:t>0,20</w:t>
            </w:r>
          </w:p>
        </w:tc>
      </w:tr>
      <w:tr w:rsidR="007D477B" w:rsidRPr="0035466C" w14:paraId="2F479CC9" w14:textId="77777777" w:rsidTr="007D477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EC44" w14:textId="77777777" w:rsidR="007D477B" w:rsidRPr="0035466C" w:rsidRDefault="007D477B">
            <w:pPr>
              <w:pStyle w:val="Zkladntext"/>
            </w:pPr>
            <w:r w:rsidRPr="0035466C">
              <w:t>Dospělí koně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CDF7" w14:textId="77777777" w:rsidR="007D477B" w:rsidRPr="0035466C" w:rsidRDefault="007D477B">
            <w:pPr>
              <w:pStyle w:val="Zkladntext"/>
            </w:pPr>
            <w:r w:rsidRPr="0035466C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275D" w14:textId="77777777" w:rsidR="007D477B" w:rsidRPr="0035466C" w:rsidRDefault="007D477B">
            <w:pPr>
              <w:pStyle w:val="Zkladntext"/>
              <w:jc w:val="center"/>
            </w:pPr>
            <w:r w:rsidRPr="0035466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022F" w14:textId="77777777" w:rsidR="007D477B" w:rsidRPr="0035466C" w:rsidRDefault="007D477B">
            <w:pPr>
              <w:pStyle w:val="Zkladntext"/>
              <w:jc w:val="center"/>
            </w:pPr>
            <w:r w:rsidRPr="0035466C">
              <w:t>0,05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B863" w14:textId="77777777" w:rsidR="007D477B" w:rsidRPr="0035466C" w:rsidRDefault="007D477B">
            <w:pPr>
              <w:pStyle w:val="Zkladntext"/>
            </w:pPr>
            <w:r w:rsidRPr="0035466C">
              <w:t xml:space="preserve">                    nedoporučuje se</w:t>
            </w:r>
          </w:p>
        </w:tc>
      </w:tr>
      <w:tr w:rsidR="007D477B" w:rsidRPr="0035466C" w14:paraId="05451999" w14:textId="77777777" w:rsidTr="007D477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75F" w14:textId="77777777" w:rsidR="007D477B" w:rsidRPr="0035466C" w:rsidRDefault="007D477B">
            <w:pPr>
              <w:pStyle w:val="Zkladntext"/>
            </w:pPr>
            <w:r w:rsidRPr="0035466C">
              <w:t>Hříbata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F4E0" w14:textId="77777777" w:rsidR="007D477B" w:rsidRPr="0035466C" w:rsidRDefault="007D477B">
            <w:pPr>
              <w:pStyle w:val="Zkladntext"/>
            </w:pPr>
            <w:r w:rsidRPr="0035466C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F54A" w14:textId="77777777" w:rsidR="007D477B" w:rsidRPr="0035466C" w:rsidRDefault="007D477B">
            <w:pPr>
              <w:pStyle w:val="Zkladntext"/>
              <w:jc w:val="center"/>
            </w:pPr>
            <w:r w:rsidRPr="0035466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EF65" w14:textId="77777777" w:rsidR="007D477B" w:rsidRPr="0035466C" w:rsidRDefault="007D477B">
            <w:pPr>
              <w:pStyle w:val="Zkladntext"/>
              <w:jc w:val="center"/>
            </w:pPr>
            <w:r w:rsidRPr="0035466C">
              <w:t>0,10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FBE2" w14:textId="77777777" w:rsidR="007D477B" w:rsidRPr="0035466C" w:rsidRDefault="007D477B">
            <w:pPr>
              <w:pStyle w:val="Zkladntext"/>
            </w:pPr>
            <w:r w:rsidRPr="0035466C">
              <w:t xml:space="preserve">                    nedoporučuje se</w:t>
            </w:r>
          </w:p>
        </w:tc>
      </w:tr>
      <w:tr w:rsidR="007D477B" w:rsidRPr="0035466C" w14:paraId="7A62D651" w14:textId="77777777" w:rsidTr="007D477B">
        <w:trPr>
          <w:cantSplit/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A5E0" w14:textId="77777777" w:rsidR="007D477B" w:rsidRPr="0035466C" w:rsidRDefault="007D477B">
            <w:pPr>
              <w:pStyle w:val="Zkladntext"/>
            </w:pPr>
            <w:r w:rsidRPr="0035466C">
              <w:t>Dospělá prasata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4B0F" w14:textId="77777777" w:rsidR="007D477B" w:rsidRPr="0035466C" w:rsidRDefault="007D477B">
            <w:pPr>
              <w:pStyle w:val="Zkladntext"/>
            </w:pPr>
            <w:r w:rsidRPr="0035466C">
              <w:t>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3945" w14:textId="77777777" w:rsidR="007D477B" w:rsidRPr="0035466C" w:rsidRDefault="007D477B">
            <w:pPr>
              <w:pStyle w:val="Zkladntext"/>
              <w:jc w:val="center"/>
            </w:pPr>
            <w:r w:rsidRPr="0035466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D619" w14:textId="77777777" w:rsidR="007D477B" w:rsidRPr="0035466C" w:rsidRDefault="007D477B">
            <w:pPr>
              <w:pStyle w:val="Zkladntext"/>
              <w:jc w:val="center"/>
            </w:pPr>
            <w:r w:rsidRPr="0035466C"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423E" w14:textId="77777777" w:rsidR="007D477B" w:rsidRPr="0035466C" w:rsidRDefault="007D477B">
            <w:pPr>
              <w:pStyle w:val="Zkladntext"/>
              <w:jc w:val="center"/>
            </w:pPr>
            <w:r w:rsidRPr="0035466C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1119" w14:textId="77777777" w:rsidR="007D477B" w:rsidRPr="0035466C" w:rsidRDefault="007D477B">
            <w:pPr>
              <w:pStyle w:val="Zkladntext"/>
              <w:jc w:val="center"/>
            </w:pPr>
            <w:r w:rsidRPr="0035466C"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DE59" w14:textId="77777777" w:rsidR="007D477B" w:rsidRPr="0035466C" w:rsidRDefault="007D477B">
            <w:pPr>
              <w:pStyle w:val="Zkladntext"/>
              <w:jc w:val="center"/>
            </w:pPr>
            <w:r w:rsidRPr="0035466C">
              <w:t>0,10</w:t>
            </w:r>
          </w:p>
        </w:tc>
      </w:tr>
      <w:tr w:rsidR="007D477B" w:rsidRPr="0035466C" w14:paraId="44EE61B1" w14:textId="77777777" w:rsidTr="007D477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E766" w14:textId="77777777" w:rsidR="007D477B" w:rsidRPr="0035466C" w:rsidRDefault="007D477B">
            <w:pPr>
              <w:pStyle w:val="Zkladntext"/>
            </w:pPr>
            <w:r w:rsidRPr="0035466C">
              <w:t>Selata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0533" w14:textId="77777777" w:rsidR="007D477B" w:rsidRPr="0035466C" w:rsidRDefault="007D477B">
            <w:pPr>
              <w:pStyle w:val="Zkladntext"/>
            </w:pPr>
            <w:r w:rsidRPr="0035466C">
              <w:t>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6ADE" w14:textId="77777777" w:rsidR="007D477B" w:rsidRPr="0035466C" w:rsidRDefault="007D477B">
            <w:pPr>
              <w:pStyle w:val="Zkladntext"/>
              <w:jc w:val="center"/>
            </w:pPr>
            <w:r w:rsidRPr="0035466C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8B5B" w14:textId="77777777" w:rsidR="007D477B" w:rsidRPr="0035466C" w:rsidRDefault="007D477B">
            <w:pPr>
              <w:pStyle w:val="Zkladntext"/>
              <w:jc w:val="center"/>
            </w:pPr>
            <w:r w:rsidRPr="0035466C"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118E" w14:textId="77777777" w:rsidR="007D477B" w:rsidRPr="0035466C" w:rsidRDefault="007D477B">
            <w:pPr>
              <w:pStyle w:val="Zkladntext"/>
              <w:jc w:val="center"/>
            </w:pPr>
            <w:r w:rsidRPr="0035466C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32DA" w14:textId="77777777" w:rsidR="007D477B" w:rsidRPr="0035466C" w:rsidRDefault="007D477B">
            <w:pPr>
              <w:pStyle w:val="Zkladntext"/>
              <w:jc w:val="center"/>
            </w:pPr>
            <w:r w:rsidRPr="0035466C"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ACDD" w14:textId="77777777" w:rsidR="007D477B" w:rsidRPr="0035466C" w:rsidRDefault="007D477B">
            <w:pPr>
              <w:pStyle w:val="Zkladntext"/>
              <w:jc w:val="center"/>
            </w:pPr>
            <w:r w:rsidRPr="0035466C">
              <w:t>0,20</w:t>
            </w:r>
          </w:p>
        </w:tc>
      </w:tr>
      <w:tr w:rsidR="007D477B" w:rsidRPr="0035466C" w14:paraId="4FD7FA48" w14:textId="77777777" w:rsidTr="007D477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A11D" w14:textId="77777777" w:rsidR="007D477B" w:rsidRPr="0035466C" w:rsidRDefault="007D477B">
            <w:pPr>
              <w:pStyle w:val="Zkladntext"/>
            </w:pPr>
            <w:r w:rsidRPr="0035466C">
              <w:t>Ovce a jehňata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98E5" w14:textId="77777777" w:rsidR="007D477B" w:rsidRPr="0035466C" w:rsidRDefault="007D477B">
            <w:pPr>
              <w:pStyle w:val="Zkladntext"/>
            </w:pPr>
            <w:r w:rsidRPr="0035466C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6E59" w14:textId="77777777" w:rsidR="007D477B" w:rsidRPr="0035466C" w:rsidRDefault="007D477B">
            <w:pPr>
              <w:pStyle w:val="Zkladntext"/>
              <w:jc w:val="center"/>
            </w:pPr>
            <w:r w:rsidRPr="0035466C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080E" w14:textId="77777777" w:rsidR="007D477B" w:rsidRPr="0035466C" w:rsidRDefault="007D477B">
            <w:pPr>
              <w:pStyle w:val="Zkladntext"/>
              <w:jc w:val="center"/>
            </w:pPr>
            <w:r w:rsidRPr="0035466C"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ABA5" w14:textId="77777777" w:rsidR="007D477B" w:rsidRPr="0035466C" w:rsidRDefault="007D477B">
            <w:pPr>
              <w:pStyle w:val="Zkladntext"/>
              <w:jc w:val="center"/>
            </w:pPr>
            <w:r w:rsidRPr="0035466C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B960" w14:textId="77777777" w:rsidR="007D477B" w:rsidRPr="0035466C" w:rsidRDefault="007D477B">
            <w:pPr>
              <w:pStyle w:val="Zkladntext"/>
              <w:jc w:val="center"/>
            </w:pPr>
            <w:r w:rsidRPr="0035466C"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68F3" w14:textId="77777777" w:rsidR="007D477B" w:rsidRPr="0035466C" w:rsidRDefault="007D477B">
            <w:pPr>
              <w:pStyle w:val="Zkladntext"/>
              <w:jc w:val="center"/>
            </w:pPr>
            <w:r w:rsidRPr="0035466C">
              <w:t>0,20</w:t>
            </w:r>
          </w:p>
        </w:tc>
      </w:tr>
      <w:tr w:rsidR="007D477B" w:rsidRPr="0035466C" w14:paraId="4810097E" w14:textId="77777777" w:rsidTr="007D477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8B5A" w14:textId="77777777" w:rsidR="007D477B" w:rsidRPr="0035466C" w:rsidRDefault="007D477B">
            <w:pPr>
              <w:pStyle w:val="Zkladntext"/>
            </w:pPr>
            <w:r w:rsidRPr="0035466C">
              <w:t xml:space="preserve">Psi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C474" w14:textId="77777777" w:rsidR="007D477B" w:rsidRPr="0035466C" w:rsidRDefault="007D477B">
            <w:pPr>
              <w:pStyle w:val="Zkladntext"/>
            </w:pPr>
            <w:r w:rsidRPr="0035466C">
              <w:t>s.c./i.m.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57EF" w14:textId="77777777" w:rsidR="007D477B" w:rsidRPr="0035466C" w:rsidRDefault="007D477B">
            <w:pPr>
              <w:pStyle w:val="Zkladntext"/>
              <w:jc w:val="center"/>
            </w:pPr>
            <w:r w:rsidRPr="0035466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0B5E" w14:textId="77777777" w:rsidR="007D477B" w:rsidRPr="0035466C" w:rsidRDefault="007D477B">
            <w:pPr>
              <w:pStyle w:val="Zkladntext"/>
              <w:jc w:val="center"/>
            </w:pPr>
            <w:r w:rsidRPr="0035466C">
              <w:t>0,10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010B" w14:textId="77777777" w:rsidR="007D477B" w:rsidRPr="0035466C" w:rsidRDefault="007D477B">
            <w:pPr>
              <w:pStyle w:val="Zkladntext"/>
            </w:pPr>
            <w:r w:rsidRPr="0035466C">
              <w:t xml:space="preserve">                    nedoporučuje se</w:t>
            </w:r>
          </w:p>
        </w:tc>
      </w:tr>
      <w:tr w:rsidR="007D477B" w:rsidRPr="0035466C" w14:paraId="30B1181C" w14:textId="77777777" w:rsidTr="007D477B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026A" w14:textId="77777777" w:rsidR="007D477B" w:rsidRPr="0035466C" w:rsidRDefault="007D477B">
            <w:pPr>
              <w:pStyle w:val="Zkladntext"/>
            </w:pPr>
            <w:r w:rsidRPr="0035466C">
              <w:t>Kočky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559A" w14:textId="77777777" w:rsidR="007D477B" w:rsidRPr="0035466C" w:rsidRDefault="007D477B">
            <w:pPr>
              <w:pStyle w:val="Zkladntext"/>
            </w:pPr>
            <w:r w:rsidRPr="0035466C">
              <w:t>s.c.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DE85" w14:textId="77777777" w:rsidR="007D477B" w:rsidRPr="0035466C" w:rsidRDefault="007D477B">
            <w:pPr>
              <w:pStyle w:val="Zkladntext"/>
              <w:jc w:val="center"/>
            </w:pPr>
            <w:r w:rsidRPr="0035466C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6B88" w14:textId="77777777" w:rsidR="007D477B" w:rsidRPr="0035466C" w:rsidRDefault="007D477B">
            <w:pPr>
              <w:pStyle w:val="Zkladntext"/>
              <w:jc w:val="center"/>
            </w:pPr>
            <w:r w:rsidRPr="0035466C">
              <w:t>0,10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ABB" w14:textId="77777777" w:rsidR="007D477B" w:rsidRPr="0035466C" w:rsidRDefault="007D477B">
            <w:pPr>
              <w:pStyle w:val="Zkladntext"/>
            </w:pPr>
            <w:r w:rsidRPr="0035466C">
              <w:t xml:space="preserve">                    nedoporučuje se</w:t>
            </w:r>
          </w:p>
        </w:tc>
      </w:tr>
    </w:tbl>
    <w:p w14:paraId="14F6AB4A" w14:textId="77777777" w:rsidR="007D477B" w:rsidRPr="0035466C" w:rsidRDefault="007D477B" w:rsidP="007D477B">
      <w:pPr>
        <w:pStyle w:val="Zkladntext"/>
      </w:pPr>
    </w:p>
    <w:p w14:paraId="14C3128E" w14:textId="77777777" w:rsidR="00C80401" w:rsidRPr="0035466C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lastRenderedPageBreak/>
        <w:t>9.</w:t>
      </w:r>
      <w:r w:rsidRPr="0035466C">
        <w:tab/>
        <w:t>Informace o správném podávání</w:t>
      </w:r>
    </w:p>
    <w:p w14:paraId="14C31290" w14:textId="77777777" w:rsidR="00F520FE" w:rsidRPr="0035466C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C3F968C" w14:textId="77777777" w:rsidR="007D477B" w:rsidRPr="0035466C" w:rsidRDefault="007D477B" w:rsidP="007D477B">
      <w:pPr>
        <w:tabs>
          <w:tab w:val="clear" w:pos="567"/>
        </w:tabs>
        <w:spacing w:line="240" w:lineRule="auto"/>
      </w:pPr>
      <w:r w:rsidRPr="0035466C">
        <w:t xml:space="preserve">Na jedno místo lze aplikovat nejvíce 20 ml přípravku u skotu, 10 ml u ovcí a prasat. Opakované intramuskulární nebo subkutánní injekce je třeba aplikovat na různá místa. </w:t>
      </w:r>
    </w:p>
    <w:p w14:paraId="2FFA6903" w14:textId="77777777" w:rsidR="00DF0642" w:rsidRPr="0035466C" w:rsidRDefault="00DF0642" w:rsidP="00DF0642">
      <w:pPr>
        <w:pStyle w:val="Zkladntext"/>
      </w:pPr>
      <w:r w:rsidRPr="0035466C">
        <w:t>Intravenózně je třeba podávat pomalu, nejméně po dobu jedné minuty.</w:t>
      </w:r>
    </w:p>
    <w:p w14:paraId="6E7F3CBE" w14:textId="77777777" w:rsidR="007D477B" w:rsidRPr="0035466C" w:rsidRDefault="007D477B" w:rsidP="007D477B">
      <w:pPr>
        <w:tabs>
          <w:tab w:val="clear" w:pos="567"/>
        </w:tabs>
        <w:spacing w:line="240" w:lineRule="auto"/>
      </w:pPr>
    </w:p>
    <w:p w14:paraId="13D07088" w14:textId="19410DFE" w:rsidR="007D477B" w:rsidRPr="0035466C" w:rsidRDefault="007D477B" w:rsidP="007D477B">
      <w:pPr>
        <w:tabs>
          <w:tab w:val="clear" w:pos="567"/>
        </w:tabs>
        <w:spacing w:line="240" w:lineRule="auto"/>
      </w:pPr>
      <w:r w:rsidRPr="0035466C">
        <w:t>Pro zajištění správného dávkování je třeba stanovit co nejpřesněji živou hmotnost, aby se předešlo poddávkování.</w:t>
      </w:r>
    </w:p>
    <w:p w14:paraId="14C31292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35466C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35466C" w:rsidRDefault="006C6ABC" w:rsidP="00B13B6D">
      <w:pPr>
        <w:pStyle w:val="Style1"/>
      </w:pPr>
      <w:r w:rsidRPr="0035466C">
        <w:rPr>
          <w:highlight w:val="lightGray"/>
        </w:rPr>
        <w:t>10.</w:t>
      </w:r>
      <w:r w:rsidRPr="0035466C">
        <w:tab/>
        <w:t>Ochranné lhůty</w:t>
      </w:r>
    </w:p>
    <w:p w14:paraId="14C31295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530737" w14:textId="77777777" w:rsidR="00895216" w:rsidRPr="0035466C" w:rsidRDefault="00895216" w:rsidP="00895216">
      <w:r w:rsidRPr="0035466C">
        <w:t>Opakované podání po 24 hodinách po dobu 3-5 dnů:</w:t>
      </w:r>
    </w:p>
    <w:p w14:paraId="2648A7EB" w14:textId="77777777" w:rsidR="00895216" w:rsidRPr="0035466C" w:rsidRDefault="00895216" w:rsidP="00895216">
      <w:r w:rsidRPr="0035466C">
        <w:t>Skot: maso: 35 dnů, mléko: 96 hodin</w:t>
      </w:r>
    </w:p>
    <w:p w14:paraId="4C5E9B2B" w14:textId="77777777" w:rsidR="00895216" w:rsidRPr="0035466C" w:rsidRDefault="00895216" w:rsidP="00895216">
      <w:r w:rsidRPr="0035466C">
        <w:t>Prasata: maso: 14 dnů</w:t>
      </w:r>
    </w:p>
    <w:p w14:paraId="64738E52" w14:textId="77777777" w:rsidR="00895216" w:rsidRPr="0035466C" w:rsidRDefault="00895216" w:rsidP="00895216">
      <w:r w:rsidRPr="0035466C">
        <w:t>Ovce: maso: 18 dnů, mléko: 96 hodin</w:t>
      </w:r>
    </w:p>
    <w:p w14:paraId="4027C77D" w14:textId="77777777" w:rsidR="00895216" w:rsidRPr="0035466C" w:rsidRDefault="00895216" w:rsidP="00895216">
      <w:r w:rsidRPr="0035466C">
        <w:t>Nepoužívat u koní, jejichž maso je určeno pro lidskou spotřebu.</w:t>
      </w:r>
    </w:p>
    <w:p w14:paraId="511CEF3C" w14:textId="77777777" w:rsidR="00895216" w:rsidRPr="0035466C" w:rsidRDefault="00895216" w:rsidP="00895216"/>
    <w:p w14:paraId="5E12AF0E" w14:textId="51AE6505" w:rsidR="00895216" w:rsidRPr="0035466C" w:rsidRDefault="003F1AAA" w:rsidP="00895216">
      <w:r w:rsidRPr="0035466C">
        <w:t>P</w:t>
      </w:r>
      <w:r w:rsidR="00895216" w:rsidRPr="0035466C">
        <w:t>odávání s prodlouženým účinkem:</w:t>
      </w:r>
    </w:p>
    <w:p w14:paraId="0DD29943" w14:textId="77777777" w:rsidR="00895216" w:rsidRPr="0035466C" w:rsidRDefault="00895216" w:rsidP="00895216">
      <w:r w:rsidRPr="0035466C">
        <w:t>Skot: maso: 21 dnů</w:t>
      </w:r>
    </w:p>
    <w:p w14:paraId="634E4567" w14:textId="77777777" w:rsidR="00895216" w:rsidRPr="0035466C" w:rsidRDefault="00895216" w:rsidP="00895216">
      <w:r w:rsidRPr="0035466C">
        <w:t xml:space="preserve">Prasata: maso: 10 dnů </w:t>
      </w:r>
    </w:p>
    <w:p w14:paraId="4CC964BF" w14:textId="77777777" w:rsidR="00895216" w:rsidRPr="0035466C" w:rsidRDefault="00895216" w:rsidP="00895216">
      <w:pPr>
        <w:tabs>
          <w:tab w:val="left" w:pos="2385"/>
        </w:tabs>
      </w:pPr>
      <w:r w:rsidRPr="0035466C">
        <w:t>Ovce: maso: 18 dnů</w:t>
      </w:r>
      <w:r w:rsidRPr="0035466C">
        <w:tab/>
      </w:r>
    </w:p>
    <w:p w14:paraId="652AD58A" w14:textId="77777777" w:rsidR="00895216" w:rsidRPr="0035466C" w:rsidRDefault="00895216" w:rsidP="00895216">
      <w:pPr>
        <w:rPr>
          <w:szCs w:val="22"/>
        </w:rPr>
      </w:pPr>
      <w:r w:rsidRPr="0035466C">
        <w:rPr>
          <w:szCs w:val="22"/>
        </w:rPr>
        <w:t xml:space="preserve">Nepoužívat u skotu, jehož mléko je určeno pro lidskou spotřebu.  </w:t>
      </w:r>
    </w:p>
    <w:p w14:paraId="374F0D63" w14:textId="77777777" w:rsidR="00895216" w:rsidRPr="0035466C" w:rsidRDefault="00895216" w:rsidP="00895216">
      <w:pPr>
        <w:rPr>
          <w:szCs w:val="22"/>
        </w:rPr>
      </w:pPr>
      <w:r w:rsidRPr="0035466C">
        <w:rPr>
          <w:szCs w:val="22"/>
        </w:rPr>
        <w:t xml:space="preserve">Nepoužívat u ovcí, jejichž mléko je určeno pro lidskou spotřebu.  </w:t>
      </w:r>
    </w:p>
    <w:p w14:paraId="14C31296" w14:textId="692FE46A" w:rsidR="00DB468A" w:rsidRPr="0035466C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35466C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35466C" w:rsidRDefault="006C6ABC" w:rsidP="00B13B6D">
      <w:pPr>
        <w:pStyle w:val="Style1"/>
      </w:pPr>
      <w:r w:rsidRPr="0035466C">
        <w:rPr>
          <w:highlight w:val="lightGray"/>
        </w:rPr>
        <w:t>11.</w:t>
      </w:r>
      <w:r w:rsidRPr="0035466C">
        <w:tab/>
        <w:t>Zvláštní opatření pro uchovávání</w:t>
      </w:r>
    </w:p>
    <w:p w14:paraId="14C31298" w14:textId="77777777" w:rsidR="00C114FF" w:rsidRPr="0035466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35466C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35466C">
        <w:t>Uchovávejte mimo dohled a dosah dětí.</w:t>
      </w:r>
    </w:p>
    <w:bookmarkEnd w:id="3"/>
    <w:p w14:paraId="14C3129A" w14:textId="410F4E16" w:rsidR="00C114FF" w:rsidRPr="0035466C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8A6D19C" w14:textId="72A3ACEB" w:rsidR="003C426E" w:rsidRPr="0035466C" w:rsidRDefault="003C426E" w:rsidP="003C426E">
      <w:pPr>
        <w:pStyle w:val="Style5"/>
      </w:pPr>
      <w:r w:rsidRPr="0035466C">
        <w:t xml:space="preserve">Uchovávejte při teplotě do 25 °C. </w:t>
      </w:r>
    </w:p>
    <w:p w14:paraId="37BD6606" w14:textId="77777777" w:rsidR="003C426E" w:rsidRPr="0035466C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35466C">
        <w:t>Chraňte před světlem.</w:t>
      </w:r>
    </w:p>
    <w:p w14:paraId="0333789D" w14:textId="2A2817A8" w:rsidR="003C426E" w:rsidRPr="0035466C" w:rsidRDefault="003C426E" w:rsidP="00734C07">
      <w:pPr>
        <w:tabs>
          <w:tab w:val="clear" w:pos="567"/>
        </w:tabs>
        <w:spacing w:line="240" w:lineRule="auto"/>
        <w:rPr>
          <w:szCs w:val="22"/>
        </w:rPr>
      </w:pPr>
    </w:p>
    <w:p w14:paraId="463D009B" w14:textId="16F826AD" w:rsidR="003C426E" w:rsidRPr="0035466C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35466C">
        <w:t xml:space="preserve">Nepoužívejte tento veterinární léčivý přípravek po uplynutí doby použitelnosti uvedené na etiketě </w:t>
      </w:r>
      <w:r w:rsidR="004556B8" w:rsidRPr="0035466C">
        <w:t xml:space="preserve">a krabičce </w:t>
      </w:r>
      <w:r w:rsidRPr="0035466C">
        <w:t>po Exp. Doba použitelnosti končí posledním dnem v uvedeném měsíci.</w:t>
      </w:r>
    </w:p>
    <w:p w14:paraId="5329A81B" w14:textId="77777777" w:rsidR="00895216" w:rsidRPr="0035466C" w:rsidRDefault="00895216" w:rsidP="003C426E">
      <w:pPr>
        <w:tabs>
          <w:tab w:val="clear" w:pos="567"/>
        </w:tabs>
        <w:spacing w:line="240" w:lineRule="auto"/>
      </w:pPr>
    </w:p>
    <w:p w14:paraId="6C78EC75" w14:textId="708DE16A" w:rsidR="003C426E" w:rsidRPr="0035466C" w:rsidRDefault="003C426E" w:rsidP="003C426E">
      <w:pPr>
        <w:tabs>
          <w:tab w:val="clear" w:pos="567"/>
        </w:tabs>
        <w:spacing w:line="240" w:lineRule="auto"/>
      </w:pPr>
      <w:r w:rsidRPr="0035466C">
        <w:t>Doba použitelnosti po prvním otevření vnitřního obalu:</w:t>
      </w:r>
      <w:r w:rsidR="00895216" w:rsidRPr="0035466C">
        <w:t xml:space="preserve"> 28 dnů.</w:t>
      </w:r>
    </w:p>
    <w:p w14:paraId="0E0D9107" w14:textId="18520DB8" w:rsidR="00305C7D" w:rsidRPr="0035466C" w:rsidRDefault="00305C7D" w:rsidP="003C426E">
      <w:pPr>
        <w:tabs>
          <w:tab w:val="clear" w:pos="567"/>
        </w:tabs>
        <w:spacing w:line="240" w:lineRule="auto"/>
        <w:rPr>
          <w:szCs w:val="22"/>
        </w:rPr>
      </w:pPr>
    </w:p>
    <w:p w14:paraId="1EE512CE" w14:textId="55A8426A" w:rsidR="00305C7D" w:rsidRPr="0035466C" w:rsidRDefault="00305C7D" w:rsidP="003C426E">
      <w:pPr>
        <w:tabs>
          <w:tab w:val="clear" w:pos="567"/>
        </w:tabs>
        <w:spacing w:line="240" w:lineRule="auto"/>
        <w:rPr>
          <w:szCs w:val="22"/>
        </w:rPr>
      </w:pPr>
      <w:r w:rsidRPr="0035466C">
        <w:rPr>
          <w:szCs w:val="22"/>
        </w:rPr>
        <w:t>Po prvním otevření vnitřního obalu stanovte datum likvidace zbylého množství přípravku v tomto obalu, a to na základě doby použitelnosti po prvním otevření uvedené v této příbalové informaci. Toto datum napište na místo k tomu určené na etiketě.</w:t>
      </w:r>
    </w:p>
    <w:p w14:paraId="14C312BA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35466C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35466C" w:rsidRDefault="006C6ABC" w:rsidP="00386FD5">
      <w:pPr>
        <w:pStyle w:val="Style1"/>
        <w:keepNext/>
        <w:jc w:val="both"/>
      </w:pPr>
      <w:r w:rsidRPr="0035466C">
        <w:rPr>
          <w:highlight w:val="lightGray"/>
        </w:rPr>
        <w:t>12.</w:t>
      </w:r>
      <w:r w:rsidRPr="0035466C">
        <w:tab/>
        <w:t xml:space="preserve">Zvláštní opatření pro </w:t>
      </w:r>
      <w:r w:rsidR="00CF069C" w:rsidRPr="0035466C">
        <w:t>likvidaci</w:t>
      </w:r>
    </w:p>
    <w:p w14:paraId="14C312BD" w14:textId="6DBC9EDC" w:rsidR="00C114FF" w:rsidRPr="0035466C" w:rsidRDefault="00C114FF" w:rsidP="00386FD5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35466C" w:rsidRDefault="00515FDE" w:rsidP="00386FD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5466C">
        <w:t>Léčivé přípravky se nesmí likvidovat prostřednictvím odpadní vody či domovního odpadu.</w:t>
      </w:r>
    </w:p>
    <w:p w14:paraId="782749E4" w14:textId="77777777" w:rsidR="00515FDE" w:rsidRPr="0035466C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35466C" w:rsidRDefault="00D774A4" w:rsidP="00386FD5">
      <w:pPr>
        <w:spacing w:line="240" w:lineRule="auto"/>
        <w:jc w:val="both"/>
        <w:rPr>
          <w:szCs w:val="22"/>
        </w:rPr>
      </w:pPr>
      <w:r w:rsidRPr="0035466C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35466C">
        <w:t xml:space="preserve"> </w:t>
      </w:r>
      <w:r w:rsidRPr="0035466C">
        <w:t>Tato opatření napomáhají chránit životní prostředí.</w:t>
      </w:r>
    </w:p>
    <w:p w14:paraId="61125DC4" w14:textId="77777777" w:rsidR="00381AFD" w:rsidRPr="0035466C" w:rsidRDefault="00381AFD" w:rsidP="00386FD5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35466C" w:rsidRDefault="00381AFD" w:rsidP="00386FD5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25636917"/>
      <w:r w:rsidRPr="0035466C">
        <w:t>O možnostech likvidace nepotřebných léčivých přípravků se poraďte s vaším veterinárním lékařem nebo lékárníkem.</w:t>
      </w:r>
    </w:p>
    <w:bookmarkEnd w:id="4"/>
    <w:p w14:paraId="14C312C3" w14:textId="21F441C9" w:rsidR="00DB468A" w:rsidRPr="0035466C" w:rsidRDefault="00DE377E" w:rsidP="00734C07">
      <w:pPr>
        <w:tabs>
          <w:tab w:val="clear" w:pos="567"/>
          <w:tab w:val="left" w:pos="1038"/>
        </w:tabs>
        <w:spacing w:line="240" w:lineRule="auto"/>
        <w:jc w:val="both"/>
        <w:rPr>
          <w:szCs w:val="22"/>
        </w:rPr>
      </w:pPr>
      <w:r w:rsidRPr="0035466C">
        <w:rPr>
          <w:szCs w:val="22"/>
        </w:rPr>
        <w:tab/>
      </w:r>
    </w:p>
    <w:p w14:paraId="789896CD" w14:textId="77777777" w:rsidR="00895216" w:rsidRPr="0035466C" w:rsidRDefault="00895216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35466C" w:rsidRDefault="006C6ABC" w:rsidP="00B13B6D">
      <w:pPr>
        <w:pStyle w:val="Style1"/>
      </w:pPr>
      <w:r w:rsidRPr="0035466C">
        <w:rPr>
          <w:highlight w:val="lightGray"/>
        </w:rPr>
        <w:t>13.</w:t>
      </w:r>
      <w:r w:rsidRPr="0035466C">
        <w:tab/>
        <w:t>Klasifikace veterinárních léčivých přípravků</w:t>
      </w:r>
    </w:p>
    <w:p w14:paraId="14C312C8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35466C" w:rsidRDefault="007264EA" w:rsidP="007264EA">
      <w:pPr>
        <w:numPr>
          <w:ilvl w:val="12"/>
          <w:numId w:val="0"/>
        </w:numPr>
      </w:pPr>
      <w:r w:rsidRPr="0035466C">
        <w:lastRenderedPageBreak/>
        <w:t>Veterinární léčivý přípravek je vydáván pouze na předpis.</w:t>
      </w:r>
    </w:p>
    <w:p w14:paraId="14C312C9" w14:textId="4CB1DAEB" w:rsidR="00DB468A" w:rsidRPr="0035466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35466C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35466C" w:rsidRDefault="006C6ABC" w:rsidP="00B13B6D">
      <w:pPr>
        <w:pStyle w:val="Style1"/>
      </w:pPr>
      <w:r w:rsidRPr="0035466C">
        <w:rPr>
          <w:highlight w:val="lightGray"/>
        </w:rPr>
        <w:t>14.</w:t>
      </w:r>
      <w:r w:rsidRPr="0035466C">
        <w:tab/>
        <w:t>Registrační čísla a velikosti balení</w:t>
      </w:r>
    </w:p>
    <w:p w14:paraId="14C312CB" w14:textId="2269ACC4" w:rsidR="00DB468A" w:rsidRPr="0035466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F29959" w14:textId="77777777" w:rsidR="007D477B" w:rsidRPr="0035466C" w:rsidRDefault="007D477B" w:rsidP="007D477B">
      <w:pPr>
        <w:ind w:right="-318"/>
        <w:rPr>
          <w:caps/>
          <w:sz w:val="20"/>
        </w:rPr>
      </w:pPr>
      <w:r w:rsidRPr="0035466C">
        <w:t>96/517/92-S/C</w:t>
      </w:r>
    </w:p>
    <w:p w14:paraId="4B15AEBF" w14:textId="1BADC7B8" w:rsidR="007D477B" w:rsidRPr="0035466C" w:rsidRDefault="007D477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D3A77F" w14:textId="268BE0F6" w:rsidR="00E17024" w:rsidRPr="0035466C" w:rsidRDefault="00E17024" w:rsidP="00A9226B">
      <w:pPr>
        <w:tabs>
          <w:tab w:val="clear" w:pos="567"/>
        </w:tabs>
        <w:spacing w:line="240" w:lineRule="auto"/>
        <w:rPr>
          <w:szCs w:val="22"/>
        </w:rPr>
      </w:pPr>
      <w:r w:rsidRPr="0035466C">
        <w:rPr>
          <w:szCs w:val="22"/>
        </w:rPr>
        <w:t>Balení: 100 ml, 250 ml</w:t>
      </w:r>
    </w:p>
    <w:p w14:paraId="5F421242" w14:textId="77777777" w:rsidR="00E17024" w:rsidRPr="0035466C" w:rsidRDefault="00E170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35466C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35466C">
        <w:t>Na trhu nemusí být všechny velikosti balení.</w:t>
      </w:r>
    </w:p>
    <w:p w14:paraId="14C312CD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35466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35466C" w:rsidRDefault="006C6ABC" w:rsidP="00386FD5">
      <w:pPr>
        <w:pStyle w:val="Style1"/>
        <w:jc w:val="both"/>
      </w:pPr>
      <w:r w:rsidRPr="0035466C">
        <w:rPr>
          <w:highlight w:val="lightGray"/>
        </w:rPr>
        <w:t>15.</w:t>
      </w:r>
      <w:r w:rsidRPr="0035466C">
        <w:tab/>
        <w:t>Datum poslední revize příbalové informace</w:t>
      </w:r>
    </w:p>
    <w:p w14:paraId="14C312D0" w14:textId="77777777" w:rsidR="00C114FF" w:rsidRPr="0035466C" w:rsidRDefault="00C114FF" w:rsidP="00386FD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1" w14:textId="75DE1679" w:rsidR="00DB468A" w:rsidRPr="0035466C" w:rsidRDefault="009D41E0" w:rsidP="00386FD5">
      <w:pPr>
        <w:jc w:val="both"/>
        <w:rPr>
          <w:szCs w:val="22"/>
        </w:rPr>
      </w:pPr>
      <w:r w:rsidRPr="0035466C">
        <w:t>02/2</w:t>
      </w:r>
      <w:r w:rsidR="00911BD2" w:rsidRPr="0035466C">
        <w:t>024</w:t>
      </w:r>
    </w:p>
    <w:p w14:paraId="59FA6FF3" w14:textId="77777777" w:rsidR="00515FDE" w:rsidRPr="0035466C" w:rsidRDefault="00515FDE" w:rsidP="00386FD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5647120F" w:rsidR="00515FDE" w:rsidRPr="0035466C" w:rsidRDefault="00515FDE" w:rsidP="00386FD5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1725272"/>
      <w:r w:rsidRPr="0035466C">
        <w:t xml:space="preserve">Podrobné informace o tomto veterinárním léčivém přípravku jsou k dispozici v databázi přípravků Unie </w:t>
      </w:r>
      <w:r w:rsidRPr="0035466C">
        <w:rPr>
          <w:szCs w:val="22"/>
        </w:rPr>
        <w:t>(</w:t>
      </w:r>
      <w:hyperlink r:id="rId10" w:history="1">
        <w:r w:rsidRPr="0035466C">
          <w:rPr>
            <w:rStyle w:val="Hypertextovodkaz"/>
            <w:szCs w:val="22"/>
          </w:rPr>
          <w:t>https://medicines.health.europa.eu/veterinary</w:t>
        </w:r>
      </w:hyperlink>
      <w:r w:rsidRPr="0035466C">
        <w:rPr>
          <w:szCs w:val="22"/>
        </w:rPr>
        <w:t>).</w:t>
      </w:r>
    </w:p>
    <w:p w14:paraId="7F8CB87D" w14:textId="182CE36E" w:rsidR="00B22B7D" w:rsidRPr="0035466C" w:rsidRDefault="00B22B7D" w:rsidP="00386FD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4F1549" w14:textId="2E420EFD" w:rsidR="00B22B7D" w:rsidRPr="0035466C" w:rsidRDefault="00B22B7D" w:rsidP="00B22B7D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 w:rsidRPr="0035466C">
        <w:rPr>
          <w:color w:val="000000"/>
          <w:szCs w:val="22"/>
        </w:rPr>
        <w:t>Podrobné informace o tomto veterinárním léčivém přípravku naleznete také v národní databázi (</w:t>
      </w:r>
      <w:hyperlink r:id="rId11" w:history="1">
        <w:r w:rsidRPr="0035466C">
          <w:rPr>
            <w:rStyle w:val="Hypertextovodkaz"/>
            <w:szCs w:val="22"/>
          </w:rPr>
          <w:t>https://www.uskvbl.cz</w:t>
        </w:r>
      </w:hyperlink>
      <w:r w:rsidRPr="0035466C">
        <w:rPr>
          <w:color w:val="000000"/>
          <w:szCs w:val="22"/>
        </w:rPr>
        <w:t>).</w:t>
      </w:r>
    </w:p>
    <w:bookmarkEnd w:id="5"/>
    <w:p w14:paraId="14C312D7" w14:textId="77777777" w:rsidR="00C114FF" w:rsidRPr="0035466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35466C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35466C" w:rsidRDefault="001F4547" w:rsidP="001F4547">
      <w:pPr>
        <w:pStyle w:val="Style1"/>
      </w:pPr>
      <w:r w:rsidRPr="0035466C">
        <w:rPr>
          <w:highlight w:val="lightGray"/>
        </w:rPr>
        <w:t>16.</w:t>
      </w:r>
      <w:r w:rsidRPr="0035466C">
        <w:t>     Kontaktní údaje</w:t>
      </w:r>
    </w:p>
    <w:p w14:paraId="18C994D4" w14:textId="78B9CB64" w:rsidR="00B74508" w:rsidRPr="0035466C" w:rsidRDefault="00B74508" w:rsidP="001F4547">
      <w:bookmarkStart w:id="6" w:name="_GoBack"/>
    </w:p>
    <w:bookmarkEnd w:id="6"/>
    <w:p w14:paraId="1302E961" w14:textId="34E8DE6A" w:rsidR="00B74508" w:rsidRPr="0035466C" w:rsidRDefault="00B74508" w:rsidP="00B74508">
      <w:r w:rsidRPr="0035466C">
        <w:rPr>
          <w:u w:val="single"/>
        </w:rPr>
        <w:t>Držitel rozhodnutí o registraci:</w:t>
      </w:r>
    </w:p>
    <w:p w14:paraId="71BFF185" w14:textId="77777777" w:rsidR="00B74508" w:rsidRPr="0035466C" w:rsidRDefault="00B74508" w:rsidP="00B74508">
      <w:pPr>
        <w:ind w:left="567" w:hanging="567"/>
      </w:pPr>
      <w:r w:rsidRPr="0035466C">
        <w:t>Intervet International B.V., Wim de Körverstraat 35, 5831 AN Boxmeer, Nizozemsko</w:t>
      </w:r>
    </w:p>
    <w:p w14:paraId="6BA17FDD" w14:textId="24748B96" w:rsidR="00B74508" w:rsidRPr="0035466C" w:rsidRDefault="00B74508" w:rsidP="00B74508">
      <w:pPr>
        <w:rPr>
          <w:u w:val="single"/>
        </w:rPr>
      </w:pPr>
    </w:p>
    <w:p w14:paraId="7295220D" w14:textId="77777777" w:rsidR="007D477B" w:rsidRPr="0035466C" w:rsidRDefault="007D477B" w:rsidP="007D477B">
      <w:pPr>
        <w:rPr>
          <w:bCs/>
          <w:u w:val="single"/>
        </w:rPr>
      </w:pPr>
      <w:r w:rsidRPr="0035466C">
        <w:rPr>
          <w:bCs/>
          <w:u w:val="single"/>
        </w:rPr>
        <w:t>Výrobce odpovědný za uvolnění šarže</w:t>
      </w:r>
      <w:r w:rsidRPr="0035466C">
        <w:t>:</w:t>
      </w:r>
    </w:p>
    <w:p w14:paraId="5E4831A6" w14:textId="77777777" w:rsidR="007D477B" w:rsidRPr="0035466C" w:rsidRDefault="007D477B" w:rsidP="007D477B">
      <w:r w:rsidRPr="0035466C">
        <w:t>Intervet International GmbH</w:t>
      </w:r>
    </w:p>
    <w:p w14:paraId="12A5A0EC" w14:textId="77777777" w:rsidR="007D477B" w:rsidRPr="0035466C" w:rsidRDefault="007D477B" w:rsidP="007D477B">
      <w:r w:rsidRPr="0035466C">
        <w:t>Feldstrasse 1a</w:t>
      </w:r>
    </w:p>
    <w:p w14:paraId="771B3B9F" w14:textId="77777777" w:rsidR="007D477B" w:rsidRPr="0035466C" w:rsidRDefault="007D477B" w:rsidP="007D477B">
      <w:r w:rsidRPr="0035466C">
        <w:t>D-85716 Unterschleissheim</w:t>
      </w:r>
    </w:p>
    <w:p w14:paraId="6ACB444F" w14:textId="77777777" w:rsidR="007D477B" w:rsidRPr="0035466C" w:rsidRDefault="007D477B" w:rsidP="007D477B">
      <w:r w:rsidRPr="0035466C">
        <w:t>Německo</w:t>
      </w:r>
    </w:p>
    <w:p w14:paraId="13088D27" w14:textId="77777777" w:rsidR="007D477B" w:rsidRPr="0035466C" w:rsidRDefault="007D477B" w:rsidP="007D477B"/>
    <w:p w14:paraId="4A1BCDC9" w14:textId="77777777" w:rsidR="007D477B" w:rsidRPr="0035466C" w:rsidRDefault="007D477B" w:rsidP="007D477B">
      <w:r w:rsidRPr="0035466C">
        <w:t>Intervet Productions s.r.l.</w:t>
      </w:r>
    </w:p>
    <w:p w14:paraId="27B26FD6" w14:textId="77777777" w:rsidR="007D477B" w:rsidRPr="0035466C" w:rsidRDefault="007D477B" w:rsidP="007D477B">
      <w:r w:rsidRPr="0035466C">
        <w:t>Via Nettunese Km.20,300</w:t>
      </w:r>
    </w:p>
    <w:p w14:paraId="03793A17" w14:textId="77777777" w:rsidR="007D477B" w:rsidRPr="0035466C" w:rsidRDefault="007D477B" w:rsidP="007D477B">
      <w:r w:rsidRPr="0035466C">
        <w:t>I-04011 Aprilia (LT)</w:t>
      </w:r>
    </w:p>
    <w:p w14:paraId="5CB6338F" w14:textId="77777777" w:rsidR="007D477B" w:rsidRPr="0035466C" w:rsidRDefault="007D477B" w:rsidP="007D477B">
      <w:r w:rsidRPr="0035466C">
        <w:t>Itálie</w:t>
      </w:r>
    </w:p>
    <w:p w14:paraId="261BBC7B" w14:textId="77777777" w:rsidR="007D477B" w:rsidRPr="0035466C" w:rsidRDefault="007D477B" w:rsidP="00B74508">
      <w:pPr>
        <w:rPr>
          <w:u w:val="single"/>
        </w:rPr>
      </w:pPr>
    </w:p>
    <w:p w14:paraId="2DB32790" w14:textId="77777777" w:rsidR="00B74508" w:rsidRPr="0035466C" w:rsidRDefault="00B74508" w:rsidP="00B74508">
      <w:r w:rsidRPr="0035466C">
        <w:rPr>
          <w:u w:val="single"/>
        </w:rPr>
        <w:t>Kontaktní údaje pro hlášení podezření na nežádoucí účinky</w:t>
      </w:r>
      <w:r w:rsidRPr="0035466C">
        <w:t>:</w:t>
      </w:r>
    </w:p>
    <w:p w14:paraId="4D0196E7" w14:textId="77777777" w:rsidR="00B74508" w:rsidRPr="0035466C" w:rsidRDefault="00B74508" w:rsidP="00B74508">
      <w:pPr>
        <w:pStyle w:val="Style4"/>
      </w:pPr>
      <w:r w:rsidRPr="0035466C">
        <w:t>Intervet s.r.o.</w:t>
      </w:r>
    </w:p>
    <w:p w14:paraId="510702B8" w14:textId="77777777" w:rsidR="00B74508" w:rsidRPr="0035466C" w:rsidRDefault="00B74508" w:rsidP="00B74508">
      <w:pPr>
        <w:pStyle w:val="Style4"/>
      </w:pPr>
      <w:r w:rsidRPr="0035466C">
        <w:t>Tel: +420 233 010 242</w:t>
      </w:r>
    </w:p>
    <w:p w14:paraId="40BC4DD6" w14:textId="7BE673D8" w:rsidR="00B74508" w:rsidRPr="0035466C" w:rsidRDefault="00B74508" w:rsidP="001F4547"/>
    <w:p w14:paraId="22372E59" w14:textId="39F9E3D9" w:rsidR="00B77015" w:rsidRPr="0035466C" w:rsidRDefault="00B77015" w:rsidP="001F4547">
      <w:pPr>
        <w:pStyle w:val="Style4"/>
        <w:rPr>
          <w:u w:val="single"/>
        </w:rPr>
      </w:pPr>
    </w:p>
    <w:p w14:paraId="42A6DBAA" w14:textId="77777777" w:rsidR="00B77015" w:rsidRPr="0035466C" w:rsidRDefault="00B77015" w:rsidP="001F4547">
      <w:pPr>
        <w:pStyle w:val="Style4"/>
      </w:pPr>
    </w:p>
    <w:sectPr w:rsidR="00B77015" w:rsidRPr="0035466C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B87A8" w14:textId="77777777" w:rsidR="001C3FDB" w:rsidRDefault="001C3FDB">
      <w:pPr>
        <w:spacing w:line="240" w:lineRule="auto"/>
      </w:pPr>
      <w:r>
        <w:separator/>
      </w:r>
    </w:p>
  </w:endnote>
  <w:endnote w:type="continuationSeparator" w:id="0">
    <w:p w14:paraId="72DADBA8" w14:textId="77777777" w:rsidR="001C3FDB" w:rsidRDefault="001C3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5466C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E1BA7" w14:textId="77777777" w:rsidR="001C3FDB" w:rsidRDefault="001C3FDB">
      <w:pPr>
        <w:spacing w:line="240" w:lineRule="auto"/>
      </w:pPr>
      <w:r>
        <w:separator/>
      </w:r>
    </w:p>
  </w:footnote>
  <w:footnote w:type="continuationSeparator" w:id="0">
    <w:p w14:paraId="64236683" w14:textId="77777777" w:rsidR="001C3FDB" w:rsidRDefault="001C3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2E827" w14:textId="3E7ECB76" w:rsidR="00CE72EB" w:rsidRDefault="005F0DD9">
    <w:pPr>
      <w:pStyle w:val="Zhlav"/>
    </w:pPr>
    <w:r w:rsidRPr="00CE72EB" w:rsidDel="005F0D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1A57"/>
    <w:rsid w:val="00017F20"/>
    <w:rsid w:val="00021B82"/>
    <w:rsid w:val="00024777"/>
    <w:rsid w:val="00024E21"/>
    <w:rsid w:val="00027100"/>
    <w:rsid w:val="00031E35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3E2"/>
    <w:rsid w:val="0008169A"/>
    <w:rsid w:val="00082200"/>
    <w:rsid w:val="000838BB"/>
    <w:rsid w:val="000860CE"/>
    <w:rsid w:val="000909C3"/>
    <w:rsid w:val="00092A37"/>
    <w:rsid w:val="000938A6"/>
    <w:rsid w:val="000945BB"/>
    <w:rsid w:val="00096E78"/>
    <w:rsid w:val="00097C1E"/>
    <w:rsid w:val="000A1DF5"/>
    <w:rsid w:val="000B65A2"/>
    <w:rsid w:val="000B7873"/>
    <w:rsid w:val="000C02A1"/>
    <w:rsid w:val="000C1D4F"/>
    <w:rsid w:val="000C3ED7"/>
    <w:rsid w:val="000C55E6"/>
    <w:rsid w:val="000C687A"/>
    <w:rsid w:val="000D484D"/>
    <w:rsid w:val="000D661F"/>
    <w:rsid w:val="000D67D0"/>
    <w:rsid w:val="000E0037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530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1701"/>
    <w:rsid w:val="00174721"/>
    <w:rsid w:val="00175264"/>
    <w:rsid w:val="0017772D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465"/>
    <w:rsid w:val="00192D98"/>
    <w:rsid w:val="00193B14"/>
    <w:rsid w:val="00193E72"/>
    <w:rsid w:val="0019501D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3FDB"/>
    <w:rsid w:val="001C5288"/>
    <w:rsid w:val="001C5B03"/>
    <w:rsid w:val="001D3FAB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11B7"/>
    <w:rsid w:val="00213890"/>
    <w:rsid w:val="00214AB2"/>
    <w:rsid w:val="00214E52"/>
    <w:rsid w:val="00217431"/>
    <w:rsid w:val="002203D3"/>
    <w:rsid w:val="002207C0"/>
    <w:rsid w:val="0022380D"/>
    <w:rsid w:val="00224B93"/>
    <w:rsid w:val="00233862"/>
    <w:rsid w:val="0023676E"/>
    <w:rsid w:val="002414B6"/>
    <w:rsid w:val="002422EB"/>
    <w:rsid w:val="00242397"/>
    <w:rsid w:val="002446DC"/>
    <w:rsid w:val="00247A48"/>
    <w:rsid w:val="00250DD1"/>
    <w:rsid w:val="00251183"/>
    <w:rsid w:val="002514D1"/>
    <w:rsid w:val="00251689"/>
    <w:rsid w:val="0025267C"/>
    <w:rsid w:val="00253B6B"/>
    <w:rsid w:val="00256A03"/>
    <w:rsid w:val="0025748D"/>
    <w:rsid w:val="00265656"/>
    <w:rsid w:val="00265817"/>
    <w:rsid w:val="00265E77"/>
    <w:rsid w:val="00266155"/>
    <w:rsid w:val="00270429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05C7D"/>
    <w:rsid w:val="0031032B"/>
    <w:rsid w:val="00316E87"/>
    <w:rsid w:val="003236D3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E80"/>
    <w:rsid w:val="003535E0"/>
    <w:rsid w:val="003543AC"/>
    <w:rsid w:val="003544BE"/>
    <w:rsid w:val="0035466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86FD5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AAA"/>
    <w:rsid w:val="003F1B4C"/>
    <w:rsid w:val="003F3CE6"/>
    <w:rsid w:val="003F677F"/>
    <w:rsid w:val="004008F6"/>
    <w:rsid w:val="00407C22"/>
    <w:rsid w:val="00412B73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27AC"/>
    <w:rsid w:val="0044626C"/>
    <w:rsid w:val="00446960"/>
    <w:rsid w:val="00446F37"/>
    <w:rsid w:val="004518A6"/>
    <w:rsid w:val="00453E1D"/>
    <w:rsid w:val="00454589"/>
    <w:rsid w:val="004556B8"/>
    <w:rsid w:val="00456ED0"/>
    <w:rsid w:val="00457550"/>
    <w:rsid w:val="00457B74"/>
    <w:rsid w:val="00461B2A"/>
    <w:rsid w:val="004620A4"/>
    <w:rsid w:val="0047229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0D9D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6528"/>
    <w:rsid w:val="00517756"/>
    <w:rsid w:val="005202C6"/>
    <w:rsid w:val="00523C53"/>
    <w:rsid w:val="005272F4"/>
    <w:rsid w:val="00527B8F"/>
    <w:rsid w:val="00532790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5FB0"/>
    <w:rsid w:val="0058621D"/>
    <w:rsid w:val="005A34B5"/>
    <w:rsid w:val="005A4CBE"/>
    <w:rsid w:val="005B04A8"/>
    <w:rsid w:val="005B0EF7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C3B"/>
    <w:rsid w:val="005D6E04"/>
    <w:rsid w:val="005D7A12"/>
    <w:rsid w:val="005E53EE"/>
    <w:rsid w:val="005E66FC"/>
    <w:rsid w:val="005F0542"/>
    <w:rsid w:val="005F0DD9"/>
    <w:rsid w:val="005F0F72"/>
    <w:rsid w:val="005F1C1F"/>
    <w:rsid w:val="005F346D"/>
    <w:rsid w:val="005F38FB"/>
    <w:rsid w:val="00601C65"/>
    <w:rsid w:val="00602D3B"/>
    <w:rsid w:val="0060326F"/>
    <w:rsid w:val="00606EA1"/>
    <w:rsid w:val="006128F0"/>
    <w:rsid w:val="0061726B"/>
    <w:rsid w:val="00617B81"/>
    <w:rsid w:val="0062319F"/>
    <w:rsid w:val="0062387A"/>
    <w:rsid w:val="00624CFC"/>
    <w:rsid w:val="006265D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0F1B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A7456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273D"/>
    <w:rsid w:val="00705EAF"/>
    <w:rsid w:val="0070773E"/>
    <w:rsid w:val="0070795C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4C07"/>
    <w:rsid w:val="00737A52"/>
    <w:rsid w:val="007439DB"/>
    <w:rsid w:val="007464DA"/>
    <w:rsid w:val="007568D8"/>
    <w:rsid w:val="007616B4"/>
    <w:rsid w:val="00763C0E"/>
    <w:rsid w:val="00765316"/>
    <w:rsid w:val="007708C8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4319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477B"/>
    <w:rsid w:val="007D708D"/>
    <w:rsid w:val="007D73FB"/>
    <w:rsid w:val="007D7608"/>
    <w:rsid w:val="007E2C62"/>
    <w:rsid w:val="007E2F2D"/>
    <w:rsid w:val="007E7FBE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00FA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57EF1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216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1BD2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41E0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5644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0701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2587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5271"/>
    <w:rsid w:val="00AD63C0"/>
    <w:rsid w:val="00AE2BD4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58B5"/>
    <w:rsid w:val="00B160C8"/>
    <w:rsid w:val="00B177F2"/>
    <w:rsid w:val="00B201F1"/>
    <w:rsid w:val="00B22B7D"/>
    <w:rsid w:val="00B2603F"/>
    <w:rsid w:val="00B304E7"/>
    <w:rsid w:val="00B318B6"/>
    <w:rsid w:val="00B3238D"/>
    <w:rsid w:val="00B3499B"/>
    <w:rsid w:val="00B36E65"/>
    <w:rsid w:val="00B41D57"/>
    <w:rsid w:val="00B41F47"/>
    <w:rsid w:val="00B44468"/>
    <w:rsid w:val="00B60AC9"/>
    <w:rsid w:val="00B6451F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3E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72EB"/>
    <w:rsid w:val="00CF069C"/>
    <w:rsid w:val="00CF0DFF"/>
    <w:rsid w:val="00CF523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0699"/>
    <w:rsid w:val="00D42DCB"/>
    <w:rsid w:val="00D44A37"/>
    <w:rsid w:val="00D45482"/>
    <w:rsid w:val="00D46DF2"/>
    <w:rsid w:val="00D47674"/>
    <w:rsid w:val="00D47C75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51D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377E"/>
    <w:rsid w:val="00DE424A"/>
    <w:rsid w:val="00DE4419"/>
    <w:rsid w:val="00DE67C4"/>
    <w:rsid w:val="00DF0642"/>
    <w:rsid w:val="00DF0ACA"/>
    <w:rsid w:val="00DF2245"/>
    <w:rsid w:val="00DF2E04"/>
    <w:rsid w:val="00DF35C8"/>
    <w:rsid w:val="00DF4CE9"/>
    <w:rsid w:val="00DF77CF"/>
    <w:rsid w:val="00E0068C"/>
    <w:rsid w:val="00E026E8"/>
    <w:rsid w:val="00E060F7"/>
    <w:rsid w:val="00E1267F"/>
    <w:rsid w:val="00E14C47"/>
    <w:rsid w:val="00E17024"/>
    <w:rsid w:val="00E22698"/>
    <w:rsid w:val="00E25B7C"/>
    <w:rsid w:val="00E3076B"/>
    <w:rsid w:val="00E3725B"/>
    <w:rsid w:val="00E434D1"/>
    <w:rsid w:val="00E5182A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D6F0F"/>
    <w:rsid w:val="00EE24A0"/>
    <w:rsid w:val="00EE36E1"/>
    <w:rsid w:val="00EE6228"/>
    <w:rsid w:val="00EE7AC7"/>
    <w:rsid w:val="00EE7B3F"/>
    <w:rsid w:val="00EF28A5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1357"/>
    <w:rsid w:val="00F23025"/>
    <w:rsid w:val="00F23927"/>
    <w:rsid w:val="00F26644"/>
    <w:rsid w:val="00F26A05"/>
    <w:rsid w:val="00F307CE"/>
    <w:rsid w:val="00F3379A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4C89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93C3E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93C3E"/>
    <w:rPr>
      <w:rFonts w:ascii="Consolas" w:hAnsi="Consolas"/>
      <w:lang w:eastAsia="en-US"/>
    </w:rPr>
  </w:style>
  <w:style w:type="character" w:customStyle="1" w:styleId="UnresolvedMention">
    <w:name w:val="Unresolved Mention"/>
    <w:basedOn w:val="Standardnpsmoodstavce"/>
    <w:rsid w:val="00B22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41AE-1060-452B-8E9D-666AAA29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6</Pages>
  <Words>1419</Words>
  <Characters>8373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41</cp:revision>
  <cp:lastPrinted>2008-06-03T12:50:00Z</cp:lastPrinted>
  <dcterms:created xsi:type="dcterms:W3CDTF">2023-11-02T06:05:00Z</dcterms:created>
  <dcterms:modified xsi:type="dcterms:W3CDTF">2024-03-05T18:26:00Z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