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DDFD77" w14:textId="77777777" w:rsidR="002A16BF" w:rsidRPr="009B066C" w:rsidRDefault="002A16BF" w:rsidP="002A16BF">
      <w:pPr>
        <w:jc w:val="center"/>
        <w:rPr>
          <w:rFonts w:asciiTheme="majorHAnsi" w:hAnsiTheme="majorHAnsi" w:cstheme="majorHAnsi"/>
          <w:i/>
          <w:shd w:val="clear" w:color="auto" w:fill="D9EAD3"/>
          <w:lang w:val="cs-CZ"/>
        </w:rPr>
      </w:pPr>
    </w:p>
    <w:p w14:paraId="7D518F13" w14:textId="77777777" w:rsidR="002A16BF" w:rsidRPr="004B3AD4" w:rsidRDefault="002A16BF" w:rsidP="002A16BF">
      <w:pPr>
        <w:jc w:val="center"/>
        <w:rPr>
          <w:rFonts w:asciiTheme="majorHAnsi" w:hAnsiTheme="majorHAnsi" w:cstheme="majorHAnsi"/>
          <w:b/>
          <w:sz w:val="28"/>
          <w:szCs w:val="28"/>
          <w:lang w:val="cs-CZ"/>
        </w:rPr>
      </w:pPr>
      <w:r w:rsidRPr="004B3AD4">
        <w:rPr>
          <w:rFonts w:asciiTheme="majorHAnsi" w:hAnsiTheme="majorHAnsi" w:cstheme="majorHAnsi"/>
          <w:b/>
          <w:i/>
          <w:sz w:val="28"/>
          <w:szCs w:val="28"/>
          <w:lang w:val="cs-CZ"/>
        </w:rPr>
        <w:t xml:space="preserve">Speed </w:t>
      </w:r>
      <w:r w:rsidRPr="004B3AD4">
        <w:rPr>
          <w:rFonts w:asciiTheme="majorHAnsi" w:hAnsiTheme="majorHAnsi" w:cstheme="majorHAnsi"/>
          <w:b/>
          <w:sz w:val="28"/>
          <w:szCs w:val="28"/>
          <w:lang w:val="cs-CZ"/>
        </w:rPr>
        <w:t>TSH</w:t>
      </w:r>
    </w:p>
    <w:p w14:paraId="3CEACBBB" w14:textId="77777777" w:rsidR="002A16BF" w:rsidRPr="009B066C" w:rsidRDefault="002A16BF" w:rsidP="002A16BF">
      <w:pPr>
        <w:jc w:val="center"/>
        <w:rPr>
          <w:rFonts w:asciiTheme="majorHAnsi" w:hAnsiTheme="majorHAnsi" w:cstheme="majorHAnsi"/>
          <w:lang w:val="cs-CZ"/>
        </w:rPr>
      </w:pPr>
    </w:p>
    <w:p w14:paraId="16969A48" w14:textId="77777777" w:rsidR="002A16BF" w:rsidRPr="009B066C" w:rsidRDefault="002A16BF" w:rsidP="002A16BF">
      <w:pPr>
        <w:jc w:val="center"/>
        <w:rPr>
          <w:rFonts w:asciiTheme="majorHAnsi" w:hAnsiTheme="majorHAnsi" w:cstheme="majorHAnsi"/>
          <w:b/>
          <w:lang w:val="cs-CZ"/>
        </w:rPr>
      </w:pPr>
      <w:r w:rsidRPr="009B066C">
        <w:rPr>
          <w:rFonts w:asciiTheme="majorHAnsi" w:hAnsiTheme="majorHAnsi" w:cstheme="majorHAnsi"/>
          <w:b/>
          <w:lang w:val="cs-CZ"/>
        </w:rPr>
        <w:t>Veterinární diagnostický test</w:t>
      </w:r>
    </w:p>
    <w:p w14:paraId="2AA96B5D" w14:textId="77777777" w:rsidR="002A16BF" w:rsidRPr="009B066C" w:rsidRDefault="002A16BF" w:rsidP="002A16BF">
      <w:pPr>
        <w:jc w:val="center"/>
        <w:rPr>
          <w:rFonts w:asciiTheme="majorHAnsi" w:hAnsiTheme="majorHAnsi" w:cstheme="majorHAnsi"/>
          <w:b/>
          <w:lang w:val="cs-CZ"/>
        </w:rPr>
      </w:pPr>
      <w:r w:rsidRPr="009B066C">
        <w:rPr>
          <w:rFonts w:asciiTheme="majorHAnsi" w:hAnsiTheme="majorHAnsi" w:cstheme="majorHAnsi"/>
          <w:b/>
          <w:lang w:val="cs-CZ"/>
        </w:rPr>
        <w:t xml:space="preserve">Pouze pro použití </w:t>
      </w:r>
      <w:r w:rsidRPr="009B066C">
        <w:rPr>
          <w:rFonts w:asciiTheme="majorHAnsi" w:hAnsiTheme="majorHAnsi" w:cstheme="majorHAnsi"/>
          <w:b/>
          <w:i/>
          <w:lang w:val="cs-CZ"/>
        </w:rPr>
        <w:t>in vitro</w:t>
      </w:r>
    </w:p>
    <w:p w14:paraId="408892E5" w14:textId="77777777" w:rsidR="002A16BF" w:rsidRPr="009B066C" w:rsidRDefault="002A16BF" w:rsidP="002A16BF">
      <w:pPr>
        <w:tabs>
          <w:tab w:val="left" w:pos="7335"/>
        </w:tabs>
        <w:jc w:val="left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ab/>
      </w:r>
    </w:p>
    <w:p w14:paraId="5278394D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Fluorescenční </w:t>
      </w:r>
      <w:proofErr w:type="spellStart"/>
      <w:r w:rsidRPr="009B066C">
        <w:rPr>
          <w:rFonts w:asciiTheme="majorHAnsi" w:hAnsiTheme="majorHAnsi" w:cstheme="majorHAnsi"/>
          <w:lang w:val="cs-CZ"/>
        </w:rPr>
        <w:t>imunotest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pro kvantitativní měření </w:t>
      </w:r>
      <w:proofErr w:type="spellStart"/>
      <w:r w:rsidRPr="009B066C">
        <w:rPr>
          <w:rFonts w:asciiTheme="majorHAnsi" w:hAnsiTheme="majorHAnsi" w:cstheme="majorHAnsi"/>
          <w:lang w:val="cs-CZ"/>
        </w:rPr>
        <w:t>thyreotropního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hormonu (TSH) ve vzorcích séra nebo plazmy psů.</w:t>
      </w:r>
    </w:p>
    <w:p w14:paraId="693B1E34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1C02ABED" w14:textId="77777777" w:rsidR="002A16BF" w:rsidRPr="009B066C" w:rsidRDefault="002A16BF" w:rsidP="002A16BF">
      <w:pPr>
        <w:pStyle w:val="Nadpis1"/>
        <w:numPr>
          <w:ilvl w:val="0"/>
          <w:numId w:val="2"/>
        </w:numPr>
        <w:ind w:left="283"/>
        <w:rPr>
          <w:rFonts w:asciiTheme="majorHAnsi" w:hAnsiTheme="majorHAnsi" w:cstheme="majorHAnsi"/>
          <w:lang w:val="cs-CZ"/>
        </w:rPr>
      </w:pPr>
      <w:bookmarkStart w:id="0" w:name="_sm8e5rvq1vk5" w:colFirst="0" w:colLast="0"/>
      <w:bookmarkEnd w:id="0"/>
      <w:r w:rsidRPr="009B066C">
        <w:rPr>
          <w:rFonts w:asciiTheme="majorHAnsi" w:hAnsiTheme="majorHAnsi" w:cstheme="majorHAnsi"/>
          <w:lang w:val="cs-CZ"/>
        </w:rPr>
        <w:t>KLINICKÉ POUŽITÍ</w:t>
      </w:r>
    </w:p>
    <w:p w14:paraId="2D8A6051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Hypotyreóza patří mezi nejčastější endokrinní poruchy u psů. </w:t>
      </w:r>
      <w:proofErr w:type="spellStart"/>
      <w:r w:rsidRPr="009B066C">
        <w:rPr>
          <w:rFonts w:asciiTheme="majorHAnsi" w:hAnsiTheme="majorHAnsi" w:cstheme="majorHAnsi"/>
          <w:lang w:val="cs-CZ"/>
        </w:rPr>
        <w:t>Thyreotropní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hormon (TSH) je syntetizován hypofýzou pod negativní zpětnou vazbou hormonů štítné žlázy. Vysoké hladiny TSH spolu s nízkým celkovým T4 mohou ve většině případů potvrdit hypotyreózu. K pravidelnému sledování léčby psů s hypotyreózou je proto možno doplnit také kontrolu hladin TSH.</w:t>
      </w:r>
    </w:p>
    <w:p w14:paraId="309DC643" w14:textId="77777777" w:rsidR="002A16BF" w:rsidRPr="009B066C" w:rsidRDefault="002A16BF" w:rsidP="002A16BF">
      <w:pPr>
        <w:pStyle w:val="Nadpis1"/>
        <w:pBdr>
          <w:top w:val="nil"/>
          <w:left w:val="nil"/>
          <w:bottom w:val="nil"/>
          <w:right w:val="nil"/>
          <w:between w:val="nil"/>
        </w:pBdr>
        <w:ind w:left="0"/>
        <w:jc w:val="left"/>
        <w:rPr>
          <w:rFonts w:asciiTheme="majorHAnsi" w:hAnsiTheme="majorHAnsi" w:cstheme="majorHAnsi"/>
          <w:lang w:val="cs-CZ"/>
        </w:rPr>
      </w:pPr>
      <w:bookmarkStart w:id="1" w:name="_8znbwrzdf0zr" w:colFirst="0" w:colLast="0"/>
      <w:bookmarkEnd w:id="1"/>
    </w:p>
    <w:p w14:paraId="2FCBD314" w14:textId="77777777" w:rsidR="002A16BF" w:rsidRPr="009B066C" w:rsidRDefault="002A16BF" w:rsidP="002A16BF">
      <w:pPr>
        <w:pStyle w:val="Nadpis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left"/>
        <w:rPr>
          <w:rFonts w:asciiTheme="majorHAnsi" w:hAnsiTheme="majorHAnsi" w:cstheme="majorHAnsi"/>
          <w:lang w:val="cs-CZ"/>
        </w:rPr>
      </w:pPr>
      <w:bookmarkStart w:id="2" w:name="_4gm8e8tjb81f" w:colFirst="0" w:colLast="0"/>
      <w:bookmarkEnd w:id="2"/>
      <w:r w:rsidRPr="009B066C">
        <w:rPr>
          <w:rFonts w:asciiTheme="majorHAnsi" w:hAnsiTheme="majorHAnsi" w:cstheme="majorHAnsi"/>
          <w:lang w:val="cs-CZ"/>
        </w:rPr>
        <w:t>PRINCIP</w:t>
      </w:r>
    </w:p>
    <w:p w14:paraId="396D7ED5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Test Speed</w:t>
      </w:r>
      <w:r w:rsidRPr="009B066C">
        <w:rPr>
          <w:rFonts w:asciiTheme="majorHAnsi" w:hAnsiTheme="majorHAnsi" w:cstheme="majorHAnsi"/>
          <w:vertAlign w:val="superscript"/>
          <w:lang w:val="cs-CZ"/>
        </w:rPr>
        <w:t xml:space="preserve"> </w:t>
      </w:r>
      <w:r w:rsidRPr="009B066C">
        <w:rPr>
          <w:rFonts w:asciiTheme="majorHAnsi" w:hAnsiTheme="majorHAnsi" w:cstheme="majorHAnsi"/>
          <w:lang w:val="cs-CZ"/>
        </w:rPr>
        <w:t xml:space="preserve">TSH je rychlý </w:t>
      </w:r>
      <w:proofErr w:type="spellStart"/>
      <w:r w:rsidRPr="009B066C">
        <w:rPr>
          <w:rFonts w:asciiTheme="majorHAnsi" w:hAnsiTheme="majorHAnsi" w:cstheme="majorHAnsi"/>
          <w:lang w:val="cs-CZ"/>
        </w:rPr>
        <w:t>imunochromatografický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kvantitativní test, který měří hladinu TSH v krevním oběhu pomocí analýzy založené na laserem i</w:t>
      </w:r>
      <w:r>
        <w:rPr>
          <w:rFonts w:asciiTheme="majorHAnsi" w:hAnsiTheme="majorHAnsi" w:cstheme="majorHAnsi"/>
          <w:lang w:val="cs-CZ"/>
        </w:rPr>
        <w:t>n</w:t>
      </w:r>
      <w:r w:rsidRPr="009B066C">
        <w:rPr>
          <w:rFonts w:asciiTheme="majorHAnsi" w:hAnsiTheme="majorHAnsi" w:cstheme="majorHAnsi"/>
          <w:lang w:val="cs-CZ"/>
        </w:rPr>
        <w:t>dukované fluorescenci.</w:t>
      </w:r>
    </w:p>
    <w:p w14:paraId="38A77FAE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0CDA08EF" w14:textId="77777777" w:rsidR="002A16BF" w:rsidRPr="009B066C" w:rsidRDefault="002A16BF" w:rsidP="002A16BF">
      <w:pPr>
        <w:numPr>
          <w:ilvl w:val="0"/>
          <w:numId w:val="3"/>
        </w:numPr>
        <w:ind w:left="283" w:hanging="283"/>
        <w:rPr>
          <w:rFonts w:asciiTheme="majorHAnsi" w:hAnsiTheme="majorHAnsi" w:cstheme="majorHAnsi"/>
          <w:b/>
          <w:lang w:val="cs-CZ"/>
        </w:rPr>
      </w:pPr>
      <w:r w:rsidRPr="009B066C">
        <w:rPr>
          <w:rFonts w:asciiTheme="majorHAnsi" w:hAnsiTheme="majorHAnsi" w:cstheme="majorHAnsi"/>
          <w:b/>
          <w:lang w:val="cs-CZ"/>
        </w:rPr>
        <w:t>UPOZORNĚNÍ A VAROVÁNÍ</w:t>
      </w:r>
    </w:p>
    <w:p w14:paraId="239580AF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Pro profesionální použití veterinárním lékařem</w:t>
      </w:r>
    </w:p>
    <w:p w14:paraId="39767478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105EF098" w14:textId="77777777" w:rsidR="002A16BF" w:rsidRPr="009B066C" w:rsidRDefault="002A16BF" w:rsidP="002A16BF">
      <w:pPr>
        <w:rPr>
          <w:rFonts w:asciiTheme="majorHAnsi" w:hAnsiTheme="majorHAnsi" w:cstheme="majorHAnsi"/>
          <w:u w:val="single"/>
          <w:lang w:val="cs-CZ"/>
        </w:rPr>
      </w:pPr>
      <w:r w:rsidRPr="009B066C">
        <w:rPr>
          <w:rFonts w:asciiTheme="majorHAnsi" w:hAnsiTheme="majorHAnsi" w:cstheme="majorHAnsi"/>
          <w:u w:val="single"/>
          <w:lang w:val="cs-CZ"/>
        </w:rPr>
        <w:t>VZOREK</w:t>
      </w:r>
    </w:p>
    <w:p w14:paraId="2540B842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- Použijte pouze vzorky séra nebo plazmy (Heparin-</w:t>
      </w:r>
      <w:proofErr w:type="spellStart"/>
      <w:r w:rsidRPr="009B066C">
        <w:rPr>
          <w:rFonts w:asciiTheme="majorHAnsi" w:hAnsiTheme="majorHAnsi" w:cstheme="majorHAnsi"/>
          <w:lang w:val="cs-CZ"/>
        </w:rPr>
        <w:t>Li</w:t>
      </w:r>
      <w:proofErr w:type="spellEnd"/>
      <w:r w:rsidRPr="009B066C">
        <w:rPr>
          <w:rFonts w:asciiTheme="majorHAnsi" w:hAnsiTheme="majorHAnsi" w:cstheme="majorHAnsi"/>
          <w:lang w:val="cs-CZ"/>
        </w:rPr>
        <w:t>). Nepoužívejte plnou krev nebo vzorky s EDTA.</w:t>
      </w:r>
    </w:p>
    <w:p w14:paraId="3EE988EE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- Nebyla pozorována významná interference s následujícími molekulami do maximální koncentrace: lipid = 20 g/l; bilirubin 500 </w:t>
      </w:r>
      <w:proofErr w:type="spellStart"/>
      <w:r w:rsidRPr="009B066C">
        <w:rPr>
          <w:rFonts w:asciiTheme="majorHAnsi" w:hAnsiTheme="majorHAnsi" w:cstheme="majorHAnsi"/>
          <w:lang w:val="cs-CZ"/>
        </w:rPr>
        <w:t>μmol</w:t>
      </w:r>
      <w:proofErr w:type="spellEnd"/>
      <w:r w:rsidRPr="009B066C">
        <w:rPr>
          <w:rFonts w:asciiTheme="majorHAnsi" w:hAnsiTheme="majorHAnsi" w:cstheme="majorHAnsi"/>
          <w:lang w:val="cs-CZ"/>
        </w:rPr>
        <w:t>/l; hemoglobin 800 mg/l.</w:t>
      </w:r>
    </w:p>
    <w:p w14:paraId="2036DAD8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- Pokud test není proveden do 1 hodiny, přeneste sérum nebo plazmu do suché zkumavky.</w:t>
      </w:r>
    </w:p>
    <w:p w14:paraId="737655C6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- Vzorky mohou být uchovávány v chladničce (+</w:t>
      </w:r>
      <w:proofErr w:type="gramStart"/>
      <w:r w:rsidRPr="009B066C">
        <w:rPr>
          <w:rFonts w:asciiTheme="majorHAnsi" w:hAnsiTheme="majorHAnsi" w:cstheme="majorHAnsi"/>
          <w:lang w:val="cs-CZ"/>
        </w:rPr>
        <w:t>2°C</w:t>
      </w:r>
      <w:proofErr w:type="gramEnd"/>
      <w:r w:rsidRPr="009B066C">
        <w:rPr>
          <w:rFonts w:asciiTheme="majorHAnsi" w:hAnsiTheme="majorHAnsi" w:cstheme="majorHAnsi"/>
          <w:lang w:val="cs-CZ"/>
        </w:rPr>
        <w:t xml:space="preserve"> až +8°C) po dobu až 7 dnů.</w:t>
      </w:r>
    </w:p>
    <w:p w14:paraId="1DC58DCF" w14:textId="77777777" w:rsidR="002A16BF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Má-li být vzorek séra nebo plazmy testován za více než 7 dnů, je třeba jej uchovávat v</w:t>
      </w:r>
      <w:r>
        <w:rPr>
          <w:rFonts w:asciiTheme="majorHAnsi" w:hAnsiTheme="majorHAnsi" w:cstheme="majorHAnsi"/>
          <w:lang w:val="cs-CZ" w:bidi="cs-CZ"/>
        </w:rPr>
        <w:t> </w:t>
      </w:r>
      <w:r w:rsidRPr="009B066C">
        <w:rPr>
          <w:rFonts w:asciiTheme="majorHAnsi" w:hAnsiTheme="majorHAnsi" w:cstheme="majorHAnsi"/>
          <w:lang w:val="cs-CZ" w:bidi="cs-CZ"/>
        </w:rPr>
        <w:t>mrazničce</w:t>
      </w:r>
      <w:r>
        <w:rPr>
          <w:rFonts w:asciiTheme="majorHAnsi" w:hAnsiTheme="majorHAnsi" w:cstheme="majorHAnsi"/>
          <w:lang w:val="cs-CZ" w:bidi="cs-CZ"/>
        </w:rPr>
        <w:t> </w:t>
      </w:r>
    </w:p>
    <w:p w14:paraId="3EDE01DC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 w:bidi="cs-CZ"/>
        </w:rPr>
        <w:t>(-20</w:t>
      </w:r>
      <w:r>
        <w:rPr>
          <w:rFonts w:asciiTheme="majorHAnsi" w:hAnsiTheme="majorHAnsi" w:cstheme="majorHAnsi"/>
          <w:lang w:val="cs-CZ" w:bidi="cs-CZ"/>
        </w:rPr>
        <w:t> </w:t>
      </w:r>
      <w:r w:rsidRPr="009B066C">
        <w:rPr>
          <w:rFonts w:asciiTheme="majorHAnsi" w:hAnsiTheme="majorHAnsi" w:cstheme="majorHAnsi"/>
          <w:lang w:val="cs-CZ" w:bidi="cs-CZ"/>
        </w:rPr>
        <w:t>°C).</w:t>
      </w:r>
    </w:p>
    <w:p w14:paraId="65FA2F95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- Uchované v</w:t>
      </w:r>
      <w:r w:rsidRPr="009B066C">
        <w:rPr>
          <w:rFonts w:asciiTheme="majorHAnsi" w:hAnsiTheme="majorHAnsi" w:cstheme="majorHAnsi"/>
          <w:lang w:val="cs-CZ" w:bidi="cs-CZ"/>
        </w:rPr>
        <w:t>zorky nechte před analýzou ohřát na pokojovou teplotu (18 °C až 27 °C) a odstřeďte je.</w:t>
      </w:r>
    </w:p>
    <w:p w14:paraId="4A005F17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Pokud vzorek obsahuje fibrinová vlákna, může dojít k ucpání pipety, což může vést ke snížení objemu aspirovaného vzorku. To může nežádoucím způsobem ovlivnit výsledek analýzy. V takovém případě je nutné vzorek opětovně odstředit.</w:t>
      </w:r>
    </w:p>
    <w:p w14:paraId="0B4CC7C8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1B98EFA4" w14:textId="77777777" w:rsidR="002A16BF" w:rsidRPr="009B066C" w:rsidRDefault="002A16BF" w:rsidP="002A16BF">
      <w:pPr>
        <w:rPr>
          <w:rFonts w:asciiTheme="majorHAnsi" w:hAnsiTheme="majorHAnsi" w:cstheme="majorHAnsi"/>
          <w:u w:val="single"/>
          <w:lang w:val="cs-CZ"/>
        </w:rPr>
      </w:pPr>
      <w:r w:rsidRPr="009B066C">
        <w:rPr>
          <w:rFonts w:asciiTheme="majorHAnsi" w:hAnsiTheme="majorHAnsi" w:cstheme="majorHAnsi"/>
          <w:u w:val="single"/>
          <w:lang w:val="cs-CZ"/>
        </w:rPr>
        <w:t>SPRÁVNÉ POUŽITÍ PIPETY</w:t>
      </w:r>
    </w:p>
    <w:p w14:paraId="552E31F4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Pro zajištění správného objemu vzorku je nezbytné držet pipetu i zkumavky se vzorkem a reagentem ve svislé poloze.</w:t>
      </w:r>
    </w:p>
    <w:p w14:paraId="683F5380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Pro každý test použijte novou jednorázovou špičku pipety.</w:t>
      </w:r>
    </w:p>
    <w:p w14:paraId="60734AFC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Na pipetu nasaďte novou jednorázovou špičku.</w:t>
      </w:r>
    </w:p>
    <w:p w14:paraId="42109E8E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 xml:space="preserve">- </w:t>
      </w:r>
      <w:r w:rsidRPr="009B066C">
        <w:rPr>
          <w:rFonts w:asciiTheme="majorHAnsi" w:hAnsiTheme="majorHAnsi" w:cstheme="majorHAnsi"/>
          <w:b/>
          <w:lang w:val="cs-CZ" w:bidi="cs-CZ"/>
        </w:rPr>
        <w:t xml:space="preserve">Přeneste 200 </w:t>
      </w:r>
      <w:proofErr w:type="spellStart"/>
      <w:r w:rsidRPr="009B066C">
        <w:rPr>
          <w:rFonts w:asciiTheme="majorHAnsi" w:hAnsiTheme="majorHAnsi" w:cstheme="majorHAnsi"/>
          <w:b/>
          <w:lang w:val="cs-CZ" w:bidi="cs-CZ"/>
        </w:rPr>
        <w:t>μl</w:t>
      </w:r>
      <w:proofErr w:type="spellEnd"/>
      <w:r w:rsidRPr="009B066C">
        <w:rPr>
          <w:rFonts w:asciiTheme="majorHAnsi" w:hAnsiTheme="majorHAnsi" w:cstheme="majorHAnsi"/>
          <w:b/>
          <w:lang w:val="cs-CZ" w:bidi="cs-CZ"/>
        </w:rPr>
        <w:t xml:space="preserve"> vzorku do zkumavky s reagentem</w:t>
      </w:r>
      <w:r w:rsidRPr="009B066C">
        <w:rPr>
          <w:rFonts w:asciiTheme="majorHAnsi" w:hAnsiTheme="majorHAnsi" w:cstheme="majorHAnsi"/>
          <w:lang w:val="cs-CZ" w:bidi="cs-CZ"/>
        </w:rPr>
        <w:t xml:space="preserve"> v souladu s pokyny pro správné použití pipety.</w:t>
      </w:r>
    </w:p>
    <w:p w14:paraId="129F94D7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 xml:space="preserve">- </w:t>
      </w:r>
      <w:r w:rsidRPr="009B066C">
        <w:rPr>
          <w:rFonts w:asciiTheme="majorHAnsi" w:hAnsiTheme="majorHAnsi" w:cstheme="majorHAnsi"/>
          <w:b/>
          <w:bCs/>
          <w:lang w:val="cs-CZ" w:bidi="cs-CZ"/>
        </w:rPr>
        <w:t>Kapátko zasuňte do zkumavky s reagentem, čímž ji těsně uzavřete.</w:t>
      </w:r>
    </w:p>
    <w:p w14:paraId="0F1DBB20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lang w:val="cs-CZ" w:bidi="cs-CZ"/>
        </w:rPr>
      </w:pPr>
      <w:r w:rsidRPr="009B066C">
        <w:rPr>
          <w:rFonts w:asciiTheme="majorHAnsi" w:hAnsiTheme="majorHAnsi" w:cstheme="majorHAnsi"/>
          <w:b/>
          <w:bCs/>
          <w:lang w:val="cs-CZ" w:bidi="cs-CZ"/>
        </w:rPr>
        <w:t xml:space="preserve">- </w:t>
      </w:r>
      <w:r w:rsidRPr="009B066C">
        <w:rPr>
          <w:rFonts w:asciiTheme="majorHAnsi" w:hAnsiTheme="majorHAnsi" w:cstheme="majorHAnsi"/>
          <w:b/>
          <w:lang w:val="cs-CZ" w:bidi="cs-CZ"/>
        </w:rPr>
        <w:t>Pomalu promíchejte</w:t>
      </w:r>
      <w:r w:rsidRPr="009B066C">
        <w:rPr>
          <w:rFonts w:asciiTheme="majorHAnsi" w:hAnsiTheme="majorHAnsi" w:cstheme="majorHAnsi"/>
          <w:lang w:val="cs-CZ" w:bidi="cs-CZ"/>
        </w:rPr>
        <w:t xml:space="preserve"> obsah zkumavky tak, že ji </w:t>
      </w:r>
      <w:r w:rsidRPr="009B066C">
        <w:rPr>
          <w:rFonts w:asciiTheme="majorHAnsi" w:hAnsiTheme="majorHAnsi" w:cstheme="majorHAnsi"/>
          <w:b/>
          <w:lang w:val="cs-CZ" w:bidi="cs-CZ"/>
        </w:rPr>
        <w:t>nejméně pětkrát</w:t>
      </w:r>
      <w:r w:rsidRPr="009B066C">
        <w:rPr>
          <w:rFonts w:asciiTheme="majorHAnsi" w:hAnsiTheme="majorHAnsi" w:cstheme="majorHAnsi"/>
          <w:lang w:val="cs-CZ" w:bidi="cs-CZ"/>
        </w:rPr>
        <w:t xml:space="preserve"> převrátíte.</w:t>
      </w:r>
      <w:r w:rsidRPr="009B066C">
        <w:rPr>
          <w:rFonts w:asciiTheme="majorHAnsi" w:hAnsiTheme="majorHAnsi" w:cstheme="majorHAnsi"/>
          <w:b/>
          <w:lang w:val="cs-CZ" w:bidi="cs-CZ"/>
        </w:rPr>
        <w:t xml:space="preserve"> </w:t>
      </w:r>
      <w:r w:rsidRPr="009B066C">
        <w:rPr>
          <w:rFonts w:asciiTheme="majorHAnsi" w:hAnsiTheme="majorHAnsi" w:cstheme="majorHAnsi"/>
          <w:lang w:val="cs-CZ" w:bidi="cs-CZ"/>
        </w:rPr>
        <w:t>NEPROTŘEPÁVEJTE.</w:t>
      </w:r>
    </w:p>
    <w:p w14:paraId="02A064E3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</w:p>
    <w:p w14:paraId="5E4B1D06" w14:textId="77777777" w:rsidR="002A16BF" w:rsidRPr="009B066C" w:rsidRDefault="002A16BF" w:rsidP="002A16BF">
      <w:pPr>
        <w:rPr>
          <w:rFonts w:asciiTheme="majorHAnsi" w:hAnsiTheme="majorHAnsi" w:cstheme="majorHAnsi"/>
          <w:u w:val="single"/>
          <w:lang w:val="cs-CZ"/>
        </w:rPr>
      </w:pPr>
      <w:r w:rsidRPr="009B066C">
        <w:rPr>
          <w:rFonts w:asciiTheme="majorHAnsi" w:hAnsiTheme="majorHAnsi" w:cstheme="majorHAnsi"/>
          <w:u w:val="single"/>
          <w:lang w:val="cs-CZ"/>
        </w:rPr>
        <w:lastRenderedPageBreak/>
        <w:t>SMĚS VZORKU A REAGENTU</w:t>
      </w:r>
    </w:p>
    <w:p w14:paraId="02A550BE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Pro zajištění odpovídající migrace částic ve vzorku musí testovací kazeta ležet na vodorovném povrchu.</w:t>
      </w:r>
    </w:p>
    <w:p w14:paraId="1B17402C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Reagenční zkumavka obsahuje standardní objem reagentu. Jakákoli odchylka od standardního objemu může vést k chybným výsledkům testu.</w:t>
      </w:r>
    </w:p>
    <w:p w14:paraId="6605A5D6" w14:textId="77777777" w:rsidR="002A16BF" w:rsidRPr="009B066C" w:rsidRDefault="002A16BF" w:rsidP="002A16BF">
      <w:pPr>
        <w:rPr>
          <w:rFonts w:asciiTheme="majorHAnsi" w:hAnsiTheme="majorHAnsi" w:cstheme="majorHAnsi"/>
          <w:b/>
          <w:lang w:val="cs-CZ"/>
        </w:rPr>
      </w:pPr>
      <w:r w:rsidRPr="009B066C">
        <w:rPr>
          <w:rFonts w:asciiTheme="majorHAnsi" w:hAnsiTheme="majorHAnsi" w:cstheme="majorHAnsi"/>
          <w:b/>
          <w:lang w:val="cs-CZ"/>
        </w:rPr>
        <w:t>- Směs vzorku/reagentu použijte ihned po rekonstituci.</w:t>
      </w:r>
    </w:p>
    <w:p w14:paraId="01B7E906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- Neuchovávejte směs pro pozdější analýzu.</w:t>
      </w:r>
    </w:p>
    <w:p w14:paraId="07733C56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6ADE68B6" w14:textId="77777777" w:rsidR="002A16BF" w:rsidRPr="009B066C" w:rsidRDefault="002A16BF" w:rsidP="002A16BF">
      <w:pPr>
        <w:pStyle w:val="Nadpis1"/>
        <w:numPr>
          <w:ilvl w:val="0"/>
          <w:numId w:val="1"/>
        </w:numPr>
        <w:ind w:left="284" w:hanging="284"/>
        <w:rPr>
          <w:rFonts w:asciiTheme="majorHAnsi" w:hAnsiTheme="majorHAnsi" w:cstheme="majorHAnsi"/>
          <w:lang w:val="cs-CZ"/>
        </w:rPr>
      </w:pPr>
      <w:bookmarkStart w:id="3" w:name="_cho5an5alwh0" w:colFirst="0" w:colLast="0"/>
      <w:bookmarkEnd w:id="3"/>
      <w:r w:rsidRPr="009B066C">
        <w:rPr>
          <w:rFonts w:asciiTheme="majorHAnsi" w:hAnsiTheme="majorHAnsi" w:cstheme="majorHAnsi"/>
          <w:lang w:val="cs-CZ"/>
        </w:rPr>
        <w:t>DOPORUČENÍ</w:t>
      </w:r>
    </w:p>
    <w:p w14:paraId="71640B29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- Před použitím prvního testu z každého balení (krabičky) zaregistrujte v analyzátoru Speed </w:t>
      </w:r>
      <w:proofErr w:type="spellStart"/>
      <w:r w:rsidRPr="009B066C">
        <w:rPr>
          <w:rFonts w:asciiTheme="majorHAnsi" w:hAnsiTheme="majorHAnsi" w:cstheme="majorHAnsi"/>
          <w:lang w:val="cs-CZ"/>
        </w:rPr>
        <w:t>Reader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čip pro kalibraci šarže.</w:t>
      </w:r>
    </w:p>
    <w:p w14:paraId="260D1AF5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Doba použitelnosti je uvedena na balení a na každém sáčku s testem.</w:t>
      </w:r>
    </w:p>
    <w:p w14:paraId="5FCFF49B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Testy a reagenty uchovávejte při teplotě od +2 °C do +8 °C.</w:t>
      </w:r>
    </w:p>
    <w:p w14:paraId="47E7C2B6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Vzorek a veškeré materiály použité při testování je třeba považovat za potenciálně infekční. Jako takové musí být zlikvidovány v souladu s místními předpisy.</w:t>
      </w:r>
    </w:p>
    <w:p w14:paraId="2125A93E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Používejte vhodné a čisté ochranné prostředky (rukavice a plášť).</w:t>
      </w:r>
    </w:p>
    <w:p w14:paraId="3CDA834B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>V případě potřísnění pokožky nebo zasažení očí reagentem postižené místo neprodleně opláchněte čistou vodou a vyhledejte lékařskou pomoc.</w:t>
      </w:r>
    </w:p>
    <w:p w14:paraId="25EBB0EF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5DEF8EC0" w14:textId="77777777" w:rsidR="002A16BF" w:rsidRPr="009B066C" w:rsidRDefault="002A16BF" w:rsidP="002A16BF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left"/>
        <w:rPr>
          <w:rFonts w:asciiTheme="majorHAnsi" w:hAnsiTheme="majorHAnsi" w:cstheme="majorHAnsi"/>
          <w:lang w:val="cs-CZ"/>
        </w:rPr>
      </w:pPr>
      <w:bookmarkStart w:id="4" w:name="_mlqo4bnbx4bm" w:colFirst="0" w:colLast="0"/>
      <w:bookmarkEnd w:id="4"/>
      <w:r w:rsidRPr="009B066C">
        <w:rPr>
          <w:rFonts w:asciiTheme="majorHAnsi" w:hAnsiTheme="majorHAnsi" w:cstheme="majorHAnsi"/>
          <w:lang w:val="cs-CZ"/>
        </w:rPr>
        <w:t>POSTUP TESTOVÁNÍ</w:t>
      </w:r>
    </w:p>
    <w:p w14:paraId="4A4431FE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 xml:space="preserve">Test Speed TSH nelze odečítat vizuálně, je nutné jej interpretovat výhradně prostřednictvím analyzátoru Speed </w:t>
      </w:r>
      <w:proofErr w:type="spellStart"/>
      <w:r w:rsidRPr="009B066C">
        <w:rPr>
          <w:rFonts w:asciiTheme="majorHAnsi" w:hAnsiTheme="majorHAnsi" w:cstheme="majorHAnsi"/>
          <w:lang w:val="cs-CZ" w:bidi="cs-CZ"/>
        </w:rPr>
        <w:t>Reader</w:t>
      </w:r>
      <w:proofErr w:type="spellEnd"/>
      <w:r w:rsidRPr="009B066C">
        <w:rPr>
          <w:rFonts w:asciiTheme="majorHAnsi" w:hAnsiTheme="majorHAnsi" w:cstheme="majorHAnsi"/>
          <w:lang w:val="cs-CZ" w:bidi="cs-CZ"/>
        </w:rPr>
        <w:t xml:space="preserve">. Podrobné pokyny naleznete v návodu k použití přístroje Speed </w:t>
      </w:r>
      <w:proofErr w:type="spellStart"/>
      <w:r w:rsidRPr="009B066C">
        <w:rPr>
          <w:rFonts w:asciiTheme="majorHAnsi" w:hAnsiTheme="majorHAnsi" w:cstheme="majorHAnsi"/>
          <w:lang w:val="cs-CZ" w:bidi="cs-CZ"/>
        </w:rPr>
        <w:t>Reader</w:t>
      </w:r>
      <w:proofErr w:type="spellEnd"/>
      <w:r w:rsidRPr="009B066C">
        <w:rPr>
          <w:rFonts w:asciiTheme="majorHAnsi" w:hAnsiTheme="majorHAnsi" w:cstheme="majorHAnsi"/>
          <w:lang w:val="cs-CZ" w:bidi="cs-CZ"/>
        </w:rPr>
        <w:t>.</w:t>
      </w:r>
    </w:p>
    <w:p w14:paraId="353EB9BC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426840AE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lang w:val="cs-CZ" w:bidi="cs-CZ"/>
        </w:rPr>
      </w:pPr>
      <w:r w:rsidRPr="009B066C">
        <w:rPr>
          <w:rFonts w:asciiTheme="majorHAnsi" w:hAnsiTheme="majorHAnsi" w:cstheme="majorHAnsi"/>
          <w:b/>
          <w:lang w:val="cs-CZ"/>
        </w:rPr>
        <w:t xml:space="preserve">- </w:t>
      </w:r>
      <w:r w:rsidRPr="009B066C">
        <w:rPr>
          <w:rFonts w:asciiTheme="majorHAnsi" w:hAnsiTheme="majorHAnsi" w:cstheme="majorHAnsi"/>
          <w:b/>
          <w:bCs/>
          <w:lang w:val="cs-CZ" w:bidi="cs-CZ"/>
        </w:rPr>
        <w:t>Nepoužívejte testovací kazety, reagenční zkumavky a kalibrační čipy různých šarží.</w:t>
      </w:r>
    </w:p>
    <w:p w14:paraId="348635D1" w14:textId="77777777" w:rsidR="002A16BF" w:rsidRPr="009B066C" w:rsidRDefault="002A16BF" w:rsidP="002A16BF">
      <w:pPr>
        <w:rPr>
          <w:rFonts w:asciiTheme="majorHAnsi" w:hAnsiTheme="majorHAnsi" w:cstheme="majorHAnsi"/>
          <w:b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 xml:space="preserve">- </w:t>
      </w:r>
      <w:proofErr w:type="spellStart"/>
      <w:r w:rsidRPr="009B066C">
        <w:rPr>
          <w:rFonts w:asciiTheme="majorHAnsi" w:hAnsiTheme="majorHAnsi" w:cstheme="majorHAnsi"/>
          <w:lang w:val="cs-CZ" w:bidi="cs-CZ"/>
        </w:rPr>
        <w:t>Reagent</w:t>
      </w:r>
      <w:proofErr w:type="spellEnd"/>
      <w:r w:rsidRPr="009B066C">
        <w:rPr>
          <w:rFonts w:asciiTheme="majorHAnsi" w:hAnsiTheme="majorHAnsi" w:cstheme="majorHAnsi"/>
          <w:lang w:val="cs-CZ" w:bidi="cs-CZ"/>
        </w:rPr>
        <w:t xml:space="preserve"> a testovací kazeta musí být </w:t>
      </w:r>
      <w:r w:rsidRPr="009B066C">
        <w:rPr>
          <w:rFonts w:asciiTheme="majorHAnsi" w:hAnsiTheme="majorHAnsi" w:cstheme="majorHAnsi"/>
          <w:b/>
          <w:lang w:val="cs-CZ" w:bidi="cs-CZ"/>
        </w:rPr>
        <w:t>nejméně 30 minut před použitím</w:t>
      </w:r>
      <w:r w:rsidRPr="009B066C">
        <w:rPr>
          <w:rFonts w:asciiTheme="majorHAnsi" w:hAnsiTheme="majorHAnsi" w:cstheme="majorHAnsi"/>
          <w:lang w:val="cs-CZ" w:bidi="cs-CZ"/>
        </w:rPr>
        <w:t xml:space="preserve"> v prostředí s pokojovou teplotou (18 °C až 27 °C).</w:t>
      </w:r>
    </w:p>
    <w:p w14:paraId="1BCB6E44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6651EA49" w14:textId="77777777" w:rsidR="002A16BF" w:rsidRPr="009B066C" w:rsidRDefault="002A16BF" w:rsidP="002A16BF">
      <w:pPr>
        <w:pStyle w:val="Nadpis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283"/>
        <w:jc w:val="left"/>
        <w:rPr>
          <w:rFonts w:asciiTheme="majorHAnsi" w:hAnsiTheme="majorHAnsi" w:cstheme="majorHAnsi"/>
          <w:lang w:val="cs-CZ"/>
        </w:rPr>
      </w:pPr>
      <w:bookmarkStart w:id="5" w:name="_cvey8gncqibp" w:colFirst="0" w:colLast="0"/>
      <w:bookmarkEnd w:id="5"/>
      <w:r w:rsidRPr="009B066C">
        <w:rPr>
          <w:rFonts w:asciiTheme="majorHAnsi" w:hAnsiTheme="majorHAnsi" w:cstheme="majorHAnsi"/>
          <w:lang w:val="cs-CZ"/>
        </w:rPr>
        <w:t>MATERIÁL</w:t>
      </w:r>
    </w:p>
    <w:p w14:paraId="6F95EC93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lang w:val="cs-CZ" w:bidi="cs-CZ"/>
        </w:rPr>
        <w:t xml:space="preserve">1 testovací kazeta, 1 zkumavka s reagentem, 1 kapátko, 1 špička pipety a 1 pipeta 200 </w:t>
      </w:r>
      <w:proofErr w:type="spellStart"/>
      <w:r w:rsidRPr="009B066C">
        <w:rPr>
          <w:rFonts w:asciiTheme="majorHAnsi" w:hAnsiTheme="majorHAnsi" w:cstheme="majorHAnsi"/>
          <w:lang w:val="cs-CZ" w:bidi="cs-CZ"/>
        </w:rPr>
        <w:t>μl</w:t>
      </w:r>
      <w:proofErr w:type="spellEnd"/>
      <w:r w:rsidRPr="009B066C">
        <w:rPr>
          <w:rFonts w:asciiTheme="majorHAnsi" w:hAnsiTheme="majorHAnsi" w:cstheme="majorHAnsi"/>
          <w:lang w:val="cs-CZ" w:bidi="cs-CZ"/>
        </w:rPr>
        <w:t>.</w:t>
      </w:r>
    </w:p>
    <w:p w14:paraId="65A1BF7B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093BCA19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i/>
          <w:u w:val="single"/>
          <w:lang w:val="cs-CZ" w:bidi="cs-CZ"/>
        </w:rPr>
      </w:pPr>
      <w:r w:rsidRPr="009B066C">
        <w:rPr>
          <w:rFonts w:asciiTheme="majorHAnsi" w:hAnsiTheme="majorHAnsi" w:cstheme="majorHAnsi"/>
          <w:b/>
          <w:bCs/>
          <w:i/>
          <w:u w:val="single"/>
          <w:lang w:val="cs-CZ" w:bidi="cs-CZ"/>
        </w:rPr>
        <w:t>PŘÍPRAVA ANALYZÁTORU SPEED READER</w:t>
      </w:r>
    </w:p>
    <w:p w14:paraId="55C4D096" w14:textId="77777777" w:rsidR="002A16BF" w:rsidRPr="009B066C" w:rsidRDefault="002A16BF" w:rsidP="002A16BF">
      <w:pPr>
        <w:rPr>
          <w:rFonts w:asciiTheme="majorHAnsi" w:hAnsiTheme="majorHAnsi" w:cstheme="majorHAnsi"/>
          <w:b/>
          <w:lang w:val="cs-CZ" w:bidi="cs-CZ"/>
        </w:rPr>
      </w:pPr>
      <w:r w:rsidRPr="009B066C">
        <w:rPr>
          <w:rFonts w:asciiTheme="majorHAnsi" w:hAnsiTheme="majorHAnsi" w:cstheme="majorHAnsi"/>
          <w:b/>
          <w:lang w:val="cs-CZ" w:bidi="cs-CZ"/>
        </w:rPr>
        <w:t xml:space="preserve">- </w:t>
      </w:r>
      <w:r w:rsidRPr="009B066C">
        <w:rPr>
          <w:rFonts w:asciiTheme="majorHAnsi" w:hAnsiTheme="majorHAnsi" w:cstheme="majorHAnsi"/>
          <w:bCs/>
          <w:lang w:val="cs-CZ" w:bidi="cs-CZ"/>
        </w:rPr>
        <w:t>Před zahájením testu</w:t>
      </w:r>
      <w:r w:rsidRPr="009B066C">
        <w:rPr>
          <w:rFonts w:asciiTheme="majorHAnsi" w:hAnsiTheme="majorHAnsi" w:cstheme="majorHAnsi"/>
          <w:b/>
          <w:lang w:val="cs-CZ" w:bidi="cs-CZ"/>
        </w:rPr>
        <w:t xml:space="preserve"> </w:t>
      </w:r>
      <w:r w:rsidRPr="009B066C">
        <w:rPr>
          <w:rFonts w:asciiTheme="majorHAnsi" w:hAnsiTheme="majorHAnsi" w:cstheme="majorHAnsi"/>
          <w:lang w:val="cs-CZ" w:bidi="cs-CZ"/>
        </w:rPr>
        <w:t>stiskněte tlačítko "New Test" (Nový test) na hlavní obrazovce.</w:t>
      </w:r>
    </w:p>
    <w:p w14:paraId="7A82EA79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Postupujte podle pokynů na obrazovce.</w:t>
      </w:r>
    </w:p>
    <w:p w14:paraId="0B6A17F3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00257FA7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u w:val="single"/>
          <w:lang w:val="cs-CZ" w:bidi="cs-CZ"/>
        </w:rPr>
      </w:pPr>
      <w:r w:rsidRPr="009B066C">
        <w:rPr>
          <w:rFonts w:asciiTheme="majorHAnsi" w:hAnsiTheme="majorHAnsi" w:cstheme="majorHAnsi"/>
          <w:b/>
          <w:bCs/>
          <w:u w:val="single"/>
          <w:lang w:val="cs-CZ" w:bidi="cs-CZ"/>
        </w:rPr>
        <w:t>PŘENESENÍ VZORKU</w:t>
      </w:r>
    </w:p>
    <w:p w14:paraId="399EC9E3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Špičkou kapátka protrhněte hliníkovou fólii zkumavky s reagentem.</w:t>
      </w:r>
    </w:p>
    <w:p w14:paraId="1BB3E75B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Na pipetu nasaďte novou jednorázovou špičku.</w:t>
      </w:r>
    </w:p>
    <w:p w14:paraId="5FBF4069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/>
        </w:rPr>
        <w:t xml:space="preserve">- </w:t>
      </w:r>
      <w:r w:rsidRPr="009B066C">
        <w:rPr>
          <w:rFonts w:asciiTheme="majorHAnsi" w:hAnsiTheme="majorHAnsi" w:cstheme="majorHAnsi"/>
          <w:b/>
          <w:lang w:val="cs-CZ" w:bidi="cs-CZ"/>
        </w:rPr>
        <w:t xml:space="preserve">Přeneste 200 </w:t>
      </w:r>
      <w:proofErr w:type="spellStart"/>
      <w:r w:rsidRPr="009B066C">
        <w:rPr>
          <w:rFonts w:asciiTheme="majorHAnsi" w:hAnsiTheme="majorHAnsi" w:cstheme="majorHAnsi"/>
          <w:b/>
          <w:lang w:val="cs-CZ" w:bidi="cs-CZ"/>
        </w:rPr>
        <w:t>μl</w:t>
      </w:r>
      <w:proofErr w:type="spellEnd"/>
      <w:r w:rsidRPr="009B066C">
        <w:rPr>
          <w:rFonts w:asciiTheme="majorHAnsi" w:hAnsiTheme="majorHAnsi" w:cstheme="majorHAnsi"/>
          <w:b/>
          <w:lang w:val="cs-CZ" w:bidi="cs-CZ"/>
        </w:rPr>
        <w:t xml:space="preserve"> vzorku do zkumavky s reagentem</w:t>
      </w:r>
      <w:r w:rsidRPr="009B066C">
        <w:rPr>
          <w:rFonts w:asciiTheme="majorHAnsi" w:hAnsiTheme="majorHAnsi" w:cstheme="majorHAnsi"/>
          <w:lang w:val="cs-CZ" w:bidi="cs-CZ"/>
        </w:rPr>
        <w:t xml:space="preserve"> v souladu s pokyny pro správné použití pipety.</w:t>
      </w:r>
    </w:p>
    <w:p w14:paraId="4716D862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 xml:space="preserve">- </w:t>
      </w:r>
      <w:r w:rsidRPr="009B066C">
        <w:rPr>
          <w:rFonts w:asciiTheme="majorHAnsi" w:hAnsiTheme="majorHAnsi" w:cstheme="majorHAnsi"/>
          <w:b/>
          <w:bCs/>
          <w:lang w:val="cs-CZ" w:bidi="cs-CZ"/>
        </w:rPr>
        <w:t>Kapátko zasuňte do zkumavky s reagentem, čímž ji těsně uzavřete.</w:t>
      </w:r>
    </w:p>
    <w:p w14:paraId="5277F214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</w:t>
      </w:r>
      <w:r w:rsidRPr="009B066C">
        <w:rPr>
          <w:rFonts w:asciiTheme="majorHAnsi" w:hAnsiTheme="majorHAnsi" w:cstheme="majorHAnsi"/>
          <w:b/>
          <w:bCs/>
          <w:lang w:val="cs-CZ" w:bidi="cs-CZ"/>
        </w:rPr>
        <w:t xml:space="preserve"> </w:t>
      </w:r>
      <w:r w:rsidRPr="009B066C">
        <w:rPr>
          <w:rFonts w:asciiTheme="majorHAnsi" w:hAnsiTheme="majorHAnsi" w:cstheme="majorHAnsi"/>
          <w:b/>
          <w:lang w:val="cs-CZ" w:bidi="cs-CZ"/>
        </w:rPr>
        <w:t>Pomalu promíchejte</w:t>
      </w:r>
      <w:r w:rsidRPr="009B066C">
        <w:rPr>
          <w:rFonts w:asciiTheme="majorHAnsi" w:hAnsiTheme="majorHAnsi" w:cstheme="majorHAnsi"/>
          <w:lang w:val="cs-CZ" w:bidi="cs-CZ"/>
        </w:rPr>
        <w:t xml:space="preserve"> obsah zkumavky tak, že ji </w:t>
      </w:r>
      <w:r w:rsidRPr="009B066C">
        <w:rPr>
          <w:rFonts w:asciiTheme="majorHAnsi" w:hAnsiTheme="majorHAnsi" w:cstheme="majorHAnsi"/>
          <w:b/>
          <w:lang w:val="cs-CZ" w:bidi="cs-CZ"/>
        </w:rPr>
        <w:t>nejméně pětkrát</w:t>
      </w:r>
      <w:r w:rsidRPr="009B066C">
        <w:rPr>
          <w:rFonts w:asciiTheme="majorHAnsi" w:hAnsiTheme="majorHAnsi" w:cstheme="majorHAnsi"/>
          <w:lang w:val="cs-CZ" w:bidi="cs-CZ"/>
        </w:rPr>
        <w:t xml:space="preserve"> převrátíte.</w:t>
      </w:r>
      <w:r w:rsidRPr="009B066C">
        <w:rPr>
          <w:rFonts w:asciiTheme="majorHAnsi" w:hAnsiTheme="majorHAnsi" w:cstheme="majorHAnsi"/>
          <w:b/>
          <w:lang w:val="cs-CZ" w:bidi="cs-CZ"/>
        </w:rPr>
        <w:t xml:space="preserve"> </w:t>
      </w:r>
      <w:r w:rsidRPr="009B066C">
        <w:rPr>
          <w:rFonts w:asciiTheme="majorHAnsi" w:hAnsiTheme="majorHAnsi" w:cstheme="majorHAnsi"/>
          <w:lang w:val="cs-CZ" w:bidi="cs-CZ"/>
        </w:rPr>
        <w:t>NEPROTŘEPÁVEJTE.</w:t>
      </w:r>
    </w:p>
    <w:p w14:paraId="5E8ED83C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290A5003" w14:textId="77777777" w:rsidR="002A16BF" w:rsidRPr="009B066C" w:rsidRDefault="002A16BF" w:rsidP="002A16BF">
      <w:pPr>
        <w:rPr>
          <w:rFonts w:asciiTheme="majorHAnsi" w:hAnsiTheme="majorHAnsi" w:cstheme="majorHAnsi"/>
          <w:b/>
          <w:bCs/>
          <w:u w:val="single"/>
          <w:lang w:val="cs-CZ" w:bidi="cs-CZ"/>
        </w:rPr>
      </w:pPr>
      <w:r w:rsidRPr="009B066C">
        <w:rPr>
          <w:rFonts w:asciiTheme="majorHAnsi" w:hAnsiTheme="majorHAnsi" w:cstheme="majorHAnsi"/>
          <w:b/>
          <w:bCs/>
          <w:u w:val="single"/>
          <w:lang w:val="cs-CZ" w:bidi="cs-CZ"/>
        </w:rPr>
        <w:t>APLIKACE VZORKU</w:t>
      </w:r>
    </w:p>
    <w:p w14:paraId="0BAC513E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Sejměte plastový kryt z kapátka a </w:t>
      </w:r>
      <w:r w:rsidRPr="009B066C">
        <w:rPr>
          <w:rFonts w:asciiTheme="majorHAnsi" w:hAnsiTheme="majorHAnsi" w:cstheme="majorHAnsi"/>
          <w:b/>
          <w:lang w:val="cs-CZ" w:bidi="cs-CZ"/>
        </w:rPr>
        <w:t>první 2 kapky</w:t>
      </w:r>
      <w:r w:rsidRPr="009B066C">
        <w:rPr>
          <w:rFonts w:asciiTheme="majorHAnsi" w:hAnsiTheme="majorHAnsi" w:cstheme="majorHAnsi"/>
          <w:lang w:val="cs-CZ" w:bidi="cs-CZ"/>
        </w:rPr>
        <w:t xml:space="preserve"> směsi </w:t>
      </w:r>
      <w:r w:rsidRPr="009B066C">
        <w:rPr>
          <w:rFonts w:asciiTheme="majorHAnsi" w:hAnsiTheme="majorHAnsi" w:cstheme="majorHAnsi"/>
          <w:b/>
          <w:lang w:val="cs-CZ" w:bidi="cs-CZ"/>
        </w:rPr>
        <w:t>zlikvidujte</w:t>
      </w:r>
      <w:r w:rsidRPr="009B066C">
        <w:rPr>
          <w:rFonts w:asciiTheme="majorHAnsi" w:hAnsiTheme="majorHAnsi" w:cstheme="majorHAnsi"/>
          <w:lang w:val="cs-CZ" w:bidi="cs-CZ"/>
        </w:rPr>
        <w:t>, abyste propláchli konec kapátka.</w:t>
      </w:r>
    </w:p>
    <w:p w14:paraId="6CB57C4E" w14:textId="77777777" w:rsidR="002A16BF" w:rsidRPr="009B066C" w:rsidRDefault="002A16BF" w:rsidP="002A16BF">
      <w:pPr>
        <w:rPr>
          <w:rFonts w:asciiTheme="majorHAnsi" w:hAnsiTheme="majorHAnsi" w:cstheme="majorHAnsi"/>
          <w:b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lastRenderedPageBreak/>
        <w:t xml:space="preserve">- Z přihrádky analyzátoru Speed </w:t>
      </w:r>
      <w:proofErr w:type="spellStart"/>
      <w:r w:rsidRPr="009B066C">
        <w:rPr>
          <w:rFonts w:asciiTheme="majorHAnsi" w:hAnsiTheme="majorHAnsi" w:cstheme="majorHAnsi"/>
          <w:lang w:val="cs-CZ" w:bidi="cs-CZ"/>
        </w:rPr>
        <w:t>Reader</w:t>
      </w:r>
      <w:proofErr w:type="spellEnd"/>
      <w:r w:rsidRPr="009B066C">
        <w:rPr>
          <w:rFonts w:asciiTheme="majorHAnsi" w:hAnsiTheme="majorHAnsi" w:cstheme="majorHAnsi"/>
          <w:lang w:val="cs-CZ" w:bidi="cs-CZ"/>
        </w:rPr>
        <w:t xml:space="preserve"> vyjměte testovací kazetu a do jamky na vzorek kápněte 2 kapky směsi. Kapátko se zkumavkou musí být při aplikaci </w:t>
      </w:r>
      <w:r w:rsidRPr="009B066C">
        <w:rPr>
          <w:rFonts w:asciiTheme="majorHAnsi" w:hAnsiTheme="majorHAnsi" w:cstheme="majorHAnsi"/>
          <w:b/>
          <w:lang w:val="cs-CZ" w:bidi="cs-CZ"/>
        </w:rPr>
        <w:t>přesně</w:t>
      </w:r>
      <w:r w:rsidRPr="009B066C">
        <w:rPr>
          <w:rFonts w:asciiTheme="majorHAnsi" w:hAnsiTheme="majorHAnsi" w:cstheme="majorHAnsi"/>
          <w:lang w:val="cs-CZ" w:bidi="cs-CZ"/>
        </w:rPr>
        <w:t xml:space="preserve"> </w:t>
      </w:r>
      <w:r w:rsidRPr="009B066C">
        <w:rPr>
          <w:rFonts w:asciiTheme="majorHAnsi" w:hAnsiTheme="majorHAnsi" w:cstheme="majorHAnsi"/>
          <w:b/>
          <w:lang w:val="cs-CZ" w:bidi="cs-CZ"/>
        </w:rPr>
        <w:t>ve svislé poloze</w:t>
      </w:r>
      <w:r w:rsidRPr="009B066C">
        <w:rPr>
          <w:rFonts w:asciiTheme="majorHAnsi" w:hAnsiTheme="majorHAnsi" w:cstheme="majorHAnsi"/>
          <w:lang w:val="cs-CZ" w:bidi="cs-CZ"/>
        </w:rPr>
        <w:t>.</w:t>
      </w:r>
    </w:p>
    <w:p w14:paraId="096EB2CD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76CE1CB0" w14:textId="77777777" w:rsidR="002A16BF" w:rsidRPr="009B066C" w:rsidRDefault="002A16BF" w:rsidP="002A16BF">
      <w:pPr>
        <w:rPr>
          <w:rFonts w:asciiTheme="majorHAnsi" w:hAnsiTheme="majorHAnsi" w:cstheme="majorHAnsi"/>
          <w:b/>
          <w:u w:val="single"/>
          <w:lang w:val="cs-CZ"/>
        </w:rPr>
      </w:pPr>
      <w:r w:rsidRPr="009B066C">
        <w:rPr>
          <w:rFonts w:asciiTheme="majorHAnsi" w:hAnsiTheme="majorHAnsi" w:cstheme="majorHAnsi"/>
          <w:b/>
          <w:u w:val="single"/>
          <w:lang w:val="cs-CZ"/>
        </w:rPr>
        <w:t>ODEČET VÝSLEDKU</w:t>
      </w:r>
    </w:p>
    <w:p w14:paraId="5C2F914F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Poté, co se na obrazovce analyzátoru objeví příslušný pokyn, zasuňte testovací kazetu do přihrádky na vkládání testů ve směru šipky vyznačené na kazetě (vzorkem napřed) a postupujte podle dalších pokynů na obrazovce analyzátoru.</w:t>
      </w:r>
    </w:p>
    <w:p w14:paraId="27E669D4" w14:textId="77777777" w:rsidR="002A16BF" w:rsidRPr="009B066C" w:rsidRDefault="002A16BF" w:rsidP="002A16BF">
      <w:pPr>
        <w:rPr>
          <w:rFonts w:asciiTheme="majorHAnsi" w:hAnsiTheme="majorHAnsi" w:cstheme="majorHAnsi"/>
          <w:lang w:val="cs-CZ" w:bidi="cs-CZ"/>
        </w:rPr>
      </w:pPr>
      <w:r w:rsidRPr="009B066C">
        <w:rPr>
          <w:rFonts w:asciiTheme="majorHAnsi" w:hAnsiTheme="majorHAnsi" w:cstheme="majorHAnsi"/>
          <w:lang w:val="cs-CZ" w:bidi="cs-CZ"/>
        </w:rPr>
        <w:t>- Na obrazovce přístroje se zobrazí výsledek.</w:t>
      </w:r>
    </w:p>
    <w:p w14:paraId="4D76B398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5DD4B64B" w14:textId="77777777" w:rsidR="002A16BF" w:rsidRPr="009B066C" w:rsidRDefault="002A16BF" w:rsidP="002A16BF">
      <w:pPr>
        <w:rPr>
          <w:rFonts w:asciiTheme="majorHAnsi" w:hAnsiTheme="majorHAnsi" w:cstheme="majorHAnsi"/>
          <w:b/>
          <w:u w:val="single"/>
          <w:lang w:val="cs-CZ"/>
        </w:rPr>
      </w:pPr>
      <w:r w:rsidRPr="009B066C">
        <w:rPr>
          <w:rFonts w:asciiTheme="majorHAnsi" w:hAnsiTheme="majorHAnsi" w:cstheme="majorHAnsi"/>
          <w:b/>
          <w:u w:val="single"/>
          <w:lang w:val="cs-CZ"/>
        </w:rPr>
        <w:t>INTERPRETACE</w:t>
      </w:r>
    </w:p>
    <w:p w14:paraId="4462408D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TSH koncentrace se měří v </w:t>
      </w:r>
      <w:proofErr w:type="spellStart"/>
      <w:r w:rsidRPr="009B066C">
        <w:rPr>
          <w:rFonts w:asciiTheme="majorHAnsi" w:hAnsiTheme="majorHAnsi" w:cstheme="majorHAnsi"/>
          <w:lang w:val="cs-CZ"/>
        </w:rPr>
        <w:t>ng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/ml – Dynamický rozsah: 0,1 </w:t>
      </w:r>
      <w:proofErr w:type="spellStart"/>
      <w:r w:rsidRPr="009B066C">
        <w:rPr>
          <w:rFonts w:asciiTheme="majorHAnsi" w:hAnsiTheme="majorHAnsi" w:cstheme="majorHAnsi"/>
          <w:lang w:val="cs-CZ"/>
        </w:rPr>
        <w:t>ng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/ml až 2 </w:t>
      </w:r>
      <w:proofErr w:type="spellStart"/>
      <w:r w:rsidRPr="009B066C">
        <w:rPr>
          <w:rFonts w:asciiTheme="majorHAnsi" w:hAnsiTheme="majorHAnsi" w:cstheme="majorHAnsi"/>
          <w:lang w:val="cs-CZ"/>
        </w:rPr>
        <w:t>ng</w:t>
      </w:r>
      <w:proofErr w:type="spellEnd"/>
      <w:r w:rsidRPr="009B066C">
        <w:rPr>
          <w:rFonts w:asciiTheme="majorHAnsi" w:hAnsiTheme="majorHAnsi" w:cstheme="majorHAnsi"/>
          <w:lang w:val="cs-CZ"/>
        </w:rPr>
        <w:t>/ml.</w:t>
      </w:r>
    </w:p>
    <w:p w14:paraId="08532AE2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Pro správnou interpretaci musí být hladiny TSH posuzovány společně s hladinami T4.</w:t>
      </w:r>
    </w:p>
    <w:p w14:paraId="79A0C26A" w14:textId="77777777" w:rsidR="002A16BF" w:rsidRPr="009B066C" w:rsidRDefault="002A16BF" w:rsidP="002A16BF">
      <w:pPr>
        <w:rPr>
          <w:rFonts w:asciiTheme="majorHAnsi" w:hAnsiTheme="majorHAnsi" w:cstheme="majorHAnsi"/>
          <w:b/>
          <w:u w:val="single"/>
          <w:lang w:val="cs-CZ"/>
        </w:rPr>
      </w:pPr>
    </w:p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780"/>
      </w:tblGrid>
      <w:tr w:rsidR="002A16BF" w:rsidRPr="009B066C" w14:paraId="2BBE3731" w14:textId="77777777" w:rsidTr="00BF781D">
        <w:trPr>
          <w:trHeight w:val="420"/>
        </w:trPr>
        <w:tc>
          <w:tcPr>
            <w:tcW w:w="96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F640E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b/>
                <w:lang w:val="cs-CZ"/>
              </w:rPr>
            </w:pPr>
            <w:r w:rsidRPr="009B066C">
              <w:rPr>
                <w:rFonts w:asciiTheme="majorHAnsi" w:hAnsiTheme="majorHAnsi" w:cstheme="majorHAnsi"/>
                <w:b/>
                <w:lang w:val="cs-CZ"/>
              </w:rPr>
              <w:t>Referenční hodnoty:</w:t>
            </w:r>
          </w:p>
        </w:tc>
      </w:tr>
      <w:tr w:rsidR="002A16BF" w:rsidRPr="00076B5D" w14:paraId="4923E4F4" w14:textId="77777777" w:rsidTr="00BF781D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1EEE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 w:rsidRPr="009B066C">
              <w:rPr>
                <w:rFonts w:asciiTheme="majorHAnsi" w:eastAsia="Arial Unicode MS" w:hAnsiTheme="majorHAnsi" w:cstheme="majorHAnsi"/>
                <w:lang w:val="cs-CZ"/>
              </w:rPr>
              <w:t xml:space="preserve">Normální: ≤ 0,6 </w:t>
            </w:r>
            <w:proofErr w:type="spellStart"/>
            <w:r w:rsidRPr="009B066C">
              <w:rPr>
                <w:rFonts w:asciiTheme="majorHAnsi" w:eastAsia="Arial Unicode MS" w:hAnsiTheme="majorHAnsi" w:cstheme="majorHAnsi"/>
                <w:lang w:val="cs-CZ"/>
              </w:rPr>
              <w:t>ng</w:t>
            </w:r>
            <w:proofErr w:type="spellEnd"/>
            <w:r w:rsidRPr="009B066C">
              <w:rPr>
                <w:rFonts w:asciiTheme="majorHAnsi" w:eastAsia="Arial Unicode MS" w:hAnsiTheme="majorHAnsi" w:cstheme="majorHAnsi"/>
                <w:lang w:val="cs-CZ"/>
              </w:rPr>
              <w:t>/ml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58EB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 w:rsidRPr="009B066C">
              <w:rPr>
                <w:rFonts w:asciiTheme="majorHAnsi" w:hAnsiTheme="majorHAnsi" w:cstheme="majorHAnsi"/>
                <w:lang w:val="cs-CZ"/>
              </w:rPr>
              <w:t>=&gt; Hypotyreóza je pro většinu psů méně pravděpodobná.</w:t>
            </w:r>
          </w:p>
          <w:p w14:paraId="350AFBA6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 w:rsidRPr="009B066C">
              <w:rPr>
                <w:rFonts w:asciiTheme="majorHAnsi" w:hAnsiTheme="majorHAnsi" w:cstheme="majorHAnsi"/>
                <w:lang w:val="cs-CZ"/>
              </w:rPr>
              <w:t>Zhruba 30</w:t>
            </w:r>
            <w:r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Pr="009B066C">
              <w:rPr>
                <w:rFonts w:asciiTheme="majorHAnsi" w:hAnsiTheme="majorHAnsi" w:cstheme="majorHAnsi"/>
                <w:lang w:val="cs-CZ"/>
              </w:rPr>
              <w:t>% psů s hypotyreózou může mít normální</w:t>
            </w:r>
          </w:p>
          <w:p w14:paraId="0164E5B3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 w:rsidRPr="009B066C">
              <w:rPr>
                <w:rFonts w:asciiTheme="majorHAnsi" w:hAnsiTheme="majorHAnsi" w:cstheme="majorHAnsi"/>
                <w:lang w:val="cs-CZ"/>
              </w:rPr>
              <w:t>hodnoty TSH.</w:t>
            </w:r>
          </w:p>
          <w:p w14:paraId="16CCC811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 w:rsidRPr="009B066C">
              <w:rPr>
                <w:rFonts w:asciiTheme="majorHAnsi" w:hAnsiTheme="majorHAnsi" w:cstheme="majorHAnsi"/>
                <w:lang w:val="cs-CZ"/>
              </w:rPr>
              <w:t xml:space="preserve">=&gt; </w:t>
            </w:r>
            <w:r>
              <w:rPr>
                <w:rFonts w:asciiTheme="majorHAnsi" w:hAnsiTheme="majorHAnsi" w:cstheme="majorHAnsi"/>
                <w:lang w:val="cs-CZ"/>
              </w:rPr>
              <w:t>Odpovídá</w:t>
            </w:r>
            <w:r w:rsidRPr="009B066C">
              <w:rPr>
                <w:rFonts w:asciiTheme="majorHAnsi" w:hAnsiTheme="majorHAnsi" w:cstheme="majorHAnsi"/>
                <w:lang w:val="cs-CZ"/>
              </w:rPr>
              <w:t xml:space="preserve"> sekundární hypotyreóz</w:t>
            </w:r>
            <w:r>
              <w:rPr>
                <w:rFonts w:asciiTheme="majorHAnsi" w:hAnsiTheme="majorHAnsi" w:cstheme="majorHAnsi"/>
                <w:lang w:val="cs-CZ"/>
              </w:rPr>
              <w:t>e</w:t>
            </w:r>
            <w:r w:rsidRPr="009B066C">
              <w:rPr>
                <w:rFonts w:asciiTheme="majorHAnsi" w:hAnsiTheme="majorHAnsi" w:cstheme="majorHAnsi"/>
                <w:lang w:val="cs-CZ"/>
              </w:rPr>
              <w:t xml:space="preserve"> (prevalence </w:t>
            </w:r>
            <w:proofErr w:type="gramStart"/>
            <w:r w:rsidRPr="009B066C">
              <w:rPr>
                <w:rFonts w:asciiTheme="majorHAnsi" w:hAnsiTheme="majorHAnsi" w:cstheme="majorHAnsi"/>
                <w:lang w:val="cs-CZ"/>
              </w:rPr>
              <w:t>&lt;</w:t>
            </w:r>
            <w:r>
              <w:rPr>
                <w:rFonts w:asciiTheme="majorHAnsi" w:hAnsiTheme="majorHAnsi" w:cstheme="majorHAnsi"/>
                <w:lang w:val="cs-CZ"/>
              </w:rPr>
              <w:t xml:space="preserve"> </w:t>
            </w:r>
            <w:r w:rsidRPr="009B066C">
              <w:rPr>
                <w:rFonts w:asciiTheme="majorHAnsi" w:hAnsiTheme="majorHAnsi" w:cstheme="majorHAnsi"/>
                <w:lang w:val="cs-CZ"/>
              </w:rPr>
              <w:t>5</w:t>
            </w:r>
            <w:proofErr w:type="gramEnd"/>
            <w:r w:rsidRPr="009B066C">
              <w:rPr>
                <w:rFonts w:asciiTheme="majorHAnsi" w:hAnsiTheme="majorHAnsi" w:cstheme="majorHAnsi"/>
                <w:lang w:val="cs-CZ"/>
              </w:rPr>
              <w:t xml:space="preserve"> % psů s</w:t>
            </w:r>
            <w:r>
              <w:rPr>
                <w:rFonts w:asciiTheme="majorHAnsi" w:hAnsiTheme="majorHAnsi" w:cstheme="majorHAnsi"/>
                <w:lang w:val="cs-CZ"/>
              </w:rPr>
              <w:t> </w:t>
            </w:r>
            <w:r w:rsidRPr="009B066C">
              <w:rPr>
                <w:rFonts w:asciiTheme="majorHAnsi" w:hAnsiTheme="majorHAnsi" w:cstheme="majorHAnsi"/>
                <w:lang w:val="cs-CZ"/>
              </w:rPr>
              <w:t>hypotyreózou)</w:t>
            </w:r>
          </w:p>
        </w:tc>
      </w:tr>
      <w:tr w:rsidR="002A16BF" w:rsidRPr="009B066C" w14:paraId="3BFC00D8" w14:textId="77777777" w:rsidTr="00BF781D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35380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  <w:lang w:val="cs-CZ"/>
              </w:rPr>
              <w:t>Vysoká</w:t>
            </w:r>
            <w:proofErr w:type="gramStart"/>
            <w:r w:rsidRPr="009B066C">
              <w:rPr>
                <w:rFonts w:asciiTheme="majorHAnsi" w:hAnsiTheme="majorHAnsi" w:cstheme="majorHAnsi"/>
                <w:lang w:val="cs-CZ"/>
              </w:rPr>
              <w:t>: &gt;</w:t>
            </w:r>
            <w:proofErr w:type="gramEnd"/>
            <w:r w:rsidRPr="009B066C">
              <w:rPr>
                <w:rFonts w:asciiTheme="majorHAnsi" w:hAnsiTheme="majorHAnsi" w:cstheme="majorHAnsi"/>
                <w:lang w:val="cs-CZ"/>
              </w:rPr>
              <w:t xml:space="preserve"> 0,6 </w:t>
            </w:r>
            <w:proofErr w:type="spellStart"/>
            <w:r w:rsidRPr="009B066C">
              <w:rPr>
                <w:rFonts w:asciiTheme="majorHAnsi" w:hAnsiTheme="majorHAnsi" w:cstheme="majorHAnsi"/>
                <w:lang w:val="cs-CZ"/>
              </w:rPr>
              <w:t>ng</w:t>
            </w:r>
            <w:proofErr w:type="spellEnd"/>
            <w:r w:rsidRPr="009B066C">
              <w:rPr>
                <w:rFonts w:asciiTheme="majorHAnsi" w:hAnsiTheme="majorHAnsi" w:cstheme="majorHAnsi"/>
                <w:lang w:val="cs-CZ"/>
              </w:rPr>
              <w:t>/ml</w:t>
            </w:r>
          </w:p>
        </w:tc>
        <w:tc>
          <w:tcPr>
            <w:tcW w:w="6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7120A" w14:textId="77777777" w:rsidR="002A16BF" w:rsidRPr="009B066C" w:rsidRDefault="002A16BF" w:rsidP="00BF7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Theme="majorHAnsi" w:hAnsiTheme="majorHAnsi" w:cstheme="majorHAnsi"/>
                <w:lang w:val="cs-CZ"/>
              </w:rPr>
            </w:pPr>
            <w:r w:rsidRPr="009B066C">
              <w:rPr>
                <w:rFonts w:asciiTheme="majorHAnsi" w:hAnsiTheme="majorHAnsi" w:cstheme="majorHAnsi"/>
                <w:lang w:val="cs-CZ"/>
              </w:rPr>
              <w:t xml:space="preserve">=&gt; </w:t>
            </w:r>
            <w:r>
              <w:rPr>
                <w:rFonts w:asciiTheme="majorHAnsi" w:hAnsiTheme="majorHAnsi" w:cstheme="majorHAnsi"/>
                <w:lang w:val="cs-CZ"/>
              </w:rPr>
              <w:t>Odpovídá</w:t>
            </w:r>
            <w:r w:rsidRPr="009B066C">
              <w:rPr>
                <w:rFonts w:asciiTheme="majorHAnsi" w:hAnsiTheme="majorHAnsi" w:cstheme="majorHAnsi"/>
                <w:lang w:val="cs-CZ"/>
              </w:rPr>
              <w:t xml:space="preserve"> hypotyreóz</w:t>
            </w:r>
            <w:r>
              <w:rPr>
                <w:rFonts w:asciiTheme="majorHAnsi" w:hAnsiTheme="majorHAnsi" w:cstheme="majorHAnsi"/>
                <w:lang w:val="cs-CZ"/>
              </w:rPr>
              <w:t>e</w:t>
            </w:r>
          </w:p>
        </w:tc>
      </w:tr>
    </w:tbl>
    <w:p w14:paraId="4DB94366" w14:textId="77777777" w:rsidR="002A16BF" w:rsidRPr="009B066C" w:rsidRDefault="002A16BF" w:rsidP="002A16BF">
      <w:pPr>
        <w:rPr>
          <w:rFonts w:asciiTheme="majorHAnsi" w:hAnsiTheme="majorHAnsi" w:cstheme="majorHAnsi"/>
          <w:b/>
          <w:u w:val="single"/>
          <w:lang w:val="cs-CZ"/>
        </w:rPr>
      </w:pPr>
    </w:p>
    <w:p w14:paraId="575B6D3B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>Tato doporučení jsou pouze orientační. Účelem tohoto testu je měřit koncentraci celkového TSH v krvi. Jelikož žádná diagnostická metoda není stoprocentně přesná, veterinář musí při interpretaci zohlednit anamnézu pacienta, nález z klinického vyšetření zvířete a výsledky jakýchkoliv dalších diagnostických testů. Konečná diagnóza je výsadou a odpovědností veterináře.</w:t>
      </w:r>
    </w:p>
    <w:p w14:paraId="697A4DB8" w14:textId="77777777" w:rsidR="002A16BF" w:rsidRPr="009B066C" w:rsidRDefault="002A16BF" w:rsidP="002A16BF">
      <w:pPr>
        <w:pStyle w:val="Zkladntext"/>
        <w:spacing w:before="1"/>
        <w:ind w:right="197"/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Společnost </w:t>
      </w:r>
      <w:proofErr w:type="spellStart"/>
      <w:r w:rsidRPr="009B066C">
        <w:rPr>
          <w:rFonts w:asciiTheme="majorHAnsi" w:hAnsiTheme="majorHAnsi" w:cstheme="majorHAnsi"/>
          <w:lang w:val="cs-CZ"/>
        </w:rPr>
        <w:t>Virbac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9B066C">
        <w:rPr>
          <w:rFonts w:asciiTheme="majorHAnsi" w:hAnsiTheme="majorHAnsi" w:cstheme="majorHAnsi"/>
          <w:lang w:val="cs-CZ"/>
        </w:rPr>
        <w:t>Diagnostics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ani její distributoři nenesou odpovědnost za žádné následky nesprávného používání tohoto testu nebo nesprávné interpretace jeho výsledků.</w:t>
      </w:r>
    </w:p>
    <w:p w14:paraId="14046B28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</w:p>
    <w:p w14:paraId="088F92CF" w14:textId="77777777" w:rsidR="002A16BF" w:rsidRPr="009B066C" w:rsidRDefault="002A16BF" w:rsidP="002A16BF">
      <w:pPr>
        <w:rPr>
          <w:rFonts w:asciiTheme="majorHAnsi" w:hAnsiTheme="majorHAnsi" w:cstheme="majorHAnsi"/>
          <w:lang w:val="cs-CZ"/>
        </w:rPr>
      </w:pPr>
      <w:r w:rsidRPr="009B066C">
        <w:rPr>
          <w:rFonts w:asciiTheme="majorHAnsi" w:hAnsiTheme="majorHAnsi" w:cstheme="majorHAnsi"/>
          <w:lang w:val="cs-CZ"/>
        </w:rPr>
        <w:t xml:space="preserve">SPEED </w:t>
      </w:r>
      <w:r w:rsidRPr="00462511">
        <w:rPr>
          <w:rFonts w:asciiTheme="majorHAnsi" w:hAnsiTheme="majorHAnsi" w:cstheme="majorHAnsi"/>
          <w:lang w:val="cs-CZ"/>
        </w:rPr>
        <w:t xml:space="preserve">READER, </w:t>
      </w:r>
      <w:r w:rsidRPr="00462511">
        <w:rPr>
          <w:rFonts w:asciiTheme="majorHAnsi" w:hAnsiTheme="majorHAnsi" w:cstheme="majorHAnsi"/>
          <w:i/>
          <w:lang w:val="cs-CZ"/>
        </w:rPr>
        <w:t xml:space="preserve">Speed </w:t>
      </w:r>
      <w:proofErr w:type="spellStart"/>
      <w:r w:rsidRPr="00462511">
        <w:rPr>
          <w:rFonts w:asciiTheme="majorHAnsi" w:hAnsiTheme="majorHAnsi" w:cstheme="majorHAnsi"/>
          <w:i/>
          <w:lang w:val="cs-CZ"/>
        </w:rPr>
        <w:t>Reader</w:t>
      </w:r>
      <w:proofErr w:type="spellEnd"/>
      <w:r w:rsidRPr="00462511">
        <w:rPr>
          <w:rFonts w:asciiTheme="majorHAnsi" w:hAnsiTheme="majorHAnsi" w:cstheme="majorHAnsi"/>
          <w:lang w:val="cs-CZ"/>
        </w:rPr>
        <w:t xml:space="preserve">, SPEED and </w:t>
      </w:r>
      <w:r w:rsidRPr="00462511">
        <w:rPr>
          <w:rFonts w:asciiTheme="majorHAnsi" w:hAnsiTheme="majorHAnsi" w:cstheme="majorHAnsi"/>
          <w:i/>
          <w:lang w:val="cs-CZ"/>
        </w:rPr>
        <w:t>Speed</w:t>
      </w:r>
      <w:r w:rsidRPr="009B066C">
        <w:rPr>
          <w:rFonts w:asciiTheme="majorHAnsi" w:hAnsiTheme="majorHAnsi" w:cstheme="majorHAnsi"/>
          <w:i/>
          <w:lang w:val="cs-CZ"/>
        </w:rPr>
        <w:t xml:space="preserve"> </w:t>
      </w:r>
      <w:r w:rsidRPr="009B066C">
        <w:rPr>
          <w:rFonts w:asciiTheme="majorHAnsi" w:hAnsiTheme="majorHAnsi" w:cstheme="majorHAnsi"/>
          <w:lang w:val="cs-CZ"/>
        </w:rPr>
        <w:t xml:space="preserve">jsou registrované ochranné známky nebo ochranné známky společnosti </w:t>
      </w:r>
      <w:proofErr w:type="spellStart"/>
      <w:r w:rsidRPr="009B066C">
        <w:rPr>
          <w:rFonts w:asciiTheme="majorHAnsi" w:hAnsiTheme="majorHAnsi" w:cstheme="majorHAnsi"/>
          <w:lang w:val="cs-CZ"/>
        </w:rPr>
        <w:t>Virbac</w:t>
      </w:r>
      <w:proofErr w:type="spellEnd"/>
      <w:r w:rsidRPr="009B066C">
        <w:rPr>
          <w:rFonts w:asciiTheme="majorHAnsi" w:hAnsiTheme="majorHAnsi" w:cstheme="majorHAnsi"/>
          <w:lang w:val="cs-CZ"/>
        </w:rPr>
        <w:t xml:space="preserve"> nebo jejích přidružených společností.</w:t>
      </w:r>
    </w:p>
    <w:p w14:paraId="00000068" w14:textId="33571CAC" w:rsidR="005B2B4D" w:rsidRPr="002A16BF" w:rsidRDefault="005B2B4D" w:rsidP="002A16BF">
      <w:pPr>
        <w:rPr>
          <w:lang w:val="cs-CZ"/>
        </w:rPr>
      </w:pPr>
      <w:bookmarkStart w:id="6" w:name="_GoBack"/>
      <w:bookmarkEnd w:id="6"/>
    </w:p>
    <w:sectPr w:rsidR="005B2B4D" w:rsidRPr="002A16BF" w:rsidSect="00462511">
      <w:headerReference w:type="default" r:id="rId7"/>
      <w:pgSz w:w="11906" w:h="16838"/>
      <w:pgMar w:top="1417" w:right="1417" w:bottom="1417" w:left="1417" w:header="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76E41" w14:textId="77777777" w:rsidR="00B41FA5" w:rsidRDefault="00B41FA5">
      <w:pPr>
        <w:spacing w:line="240" w:lineRule="auto"/>
      </w:pPr>
      <w:r>
        <w:separator/>
      </w:r>
    </w:p>
  </w:endnote>
  <w:endnote w:type="continuationSeparator" w:id="0">
    <w:p w14:paraId="34BFE828" w14:textId="77777777" w:rsidR="00B41FA5" w:rsidRDefault="00B41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EE6BA" w14:textId="77777777" w:rsidR="00B41FA5" w:rsidRDefault="00B41FA5">
      <w:pPr>
        <w:spacing w:line="240" w:lineRule="auto"/>
      </w:pPr>
      <w:r>
        <w:separator/>
      </w:r>
    </w:p>
  </w:footnote>
  <w:footnote w:type="continuationSeparator" w:id="0">
    <w:p w14:paraId="65827E0F" w14:textId="77777777" w:rsidR="00B41FA5" w:rsidRDefault="00B41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5AE54" w14:textId="77777777" w:rsidR="009B066C" w:rsidRDefault="009B066C" w:rsidP="000A77FE">
    <w:pPr>
      <w:rPr>
        <w:bCs/>
      </w:rPr>
    </w:pPr>
  </w:p>
  <w:p w14:paraId="6B119B4D" w14:textId="77777777" w:rsidR="009B066C" w:rsidRDefault="009B066C" w:rsidP="000A77FE">
    <w:pPr>
      <w:rPr>
        <w:bCs/>
      </w:rPr>
    </w:pPr>
  </w:p>
  <w:p w14:paraId="5340BB51" w14:textId="5B31E869" w:rsidR="009B066C" w:rsidRPr="009B066C" w:rsidRDefault="009B066C" w:rsidP="000A77FE">
    <w:pPr>
      <w:rPr>
        <w:rFonts w:asciiTheme="majorHAnsi" w:hAnsiTheme="majorHAnsi" w:cstheme="majorHAnsi"/>
        <w:b/>
        <w:bCs/>
      </w:rPr>
    </w:pPr>
    <w:r w:rsidRPr="009B066C">
      <w:rPr>
        <w:rFonts w:asciiTheme="majorHAnsi" w:hAnsiTheme="majorHAnsi" w:cstheme="majorHAnsi"/>
        <w:bCs/>
      </w:rPr>
      <w:t xml:space="preserve">Text </w:t>
    </w:r>
    <w:r w:rsidR="004B3AD4">
      <w:rPr>
        <w:rFonts w:asciiTheme="majorHAnsi" w:hAnsiTheme="majorHAnsi" w:cstheme="majorHAnsi"/>
        <w:bCs/>
      </w:rPr>
      <w:t>návodu k použití</w:t>
    </w:r>
    <w:r w:rsidRPr="009B066C">
      <w:rPr>
        <w:rFonts w:asciiTheme="majorHAnsi" w:hAnsiTheme="majorHAnsi" w:cstheme="majorHAnsi"/>
        <w:bCs/>
      </w:rPr>
      <w:t> součást dokumentace schválené rozhodnutím sp.</w:t>
    </w:r>
    <w:r w:rsidR="00B1783F">
      <w:rPr>
        <w:rFonts w:asciiTheme="majorHAnsi" w:hAnsiTheme="majorHAnsi" w:cstheme="majorHAnsi"/>
        <w:bCs/>
      </w:rPr>
      <w:t> </w:t>
    </w:r>
    <w:r w:rsidRPr="009B066C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  <w:bCs/>
        </w:rPr>
        <w:id w:val="485062483"/>
        <w:placeholder>
          <w:docPart w:val="66F2880A90944193B48D7BD796A8D74C"/>
        </w:placeholder>
        <w:text/>
      </w:sdtPr>
      <w:sdtEndPr/>
      <w:sdtContent>
        <w:r w:rsidR="00227C9D" w:rsidRPr="00227C9D">
          <w:rPr>
            <w:rFonts w:asciiTheme="majorHAnsi" w:hAnsiTheme="majorHAnsi" w:cstheme="majorHAnsi"/>
            <w:bCs/>
          </w:rPr>
          <w:t>USKVBL/9550/2023/POD</w:t>
        </w:r>
        <w:r w:rsidR="00227C9D">
          <w:rPr>
            <w:rFonts w:asciiTheme="majorHAnsi" w:hAnsiTheme="majorHAnsi" w:cstheme="majorHAnsi"/>
            <w:bCs/>
          </w:rPr>
          <w:t>,</w:t>
        </w:r>
      </w:sdtContent>
    </w:sdt>
    <w:r w:rsidRPr="009B066C">
      <w:rPr>
        <w:rFonts w:asciiTheme="majorHAnsi" w:hAnsiTheme="majorHAnsi" w:cstheme="majorHAnsi"/>
        <w:bCs/>
      </w:rPr>
      <w:t xml:space="preserve"> č.j. </w:t>
    </w:r>
    <w:sdt>
      <w:sdtPr>
        <w:rPr>
          <w:rFonts w:asciiTheme="majorHAnsi" w:hAnsiTheme="majorHAnsi" w:cstheme="majorHAnsi"/>
          <w:bCs/>
        </w:rPr>
        <w:id w:val="422995688"/>
        <w:placeholder>
          <w:docPart w:val="66F2880A90944193B48D7BD796A8D74C"/>
        </w:placeholder>
        <w:text/>
      </w:sdtPr>
      <w:sdtEndPr/>
      <w:sdtContent>
        <w:r w:rsidR="00227C9D" w:rsidRPr="00227C9D">
          <w:rPr>
            <w:rFonts w:asciiTheme="majorHAnsi" w:hAnsiTheme="majorHAnsi" w:cstheme="majorHAnsi"/>
            <w:bCs/>
          </w:rPr>
          <w:t>USKVBL/14801/2023/REG-Gro</w:t>
        </w:r>
      </w:sdtContent>
    </w:sdt>
    <w:r w:rsidRPr="009B066C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883596329"/>
        <w:placeholder>
          <w:docPart w:val="E933D8803B11419F948D687F5CC308D4"/>
        </w:placeholder>
        <w:date w:fullDate="2023-12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E6B1B">
          <w:rPr>
            <w:rFonts w:asciiTheme="majorHAnsi" w:hAnsiTheme="majorHAnsi" w:cstheme="majorHAnsi"/>
            <w:bCs/>
            <w:lang w:val="cs-CZ"/>
          </w:rPr>
          <w:t>4.12.2023</w:t>
        </w:r>
      </w:sdtContent>
    </w:sdt>
    <w:r w:rsidRPr="009B066C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1062983426"/>
        <w:placeholder>
          <w:docPart w:val="CFB7A191CCFC435E9ED3D8A52C665B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27C9D">
          <w:rPr>
            <w:rFonts w:asciiTheme="majorHAnsi" w:hAnsiTheme="majorHAnsi" w:cstheme="majorHAnsi"/>
          </w:rPr>
          <w:t>změně rozhodnutí o schválení veterinárního přípravku</w:t>
        </w:r>
      </w:sdtContent>
    </w:sdt>
    <w:r w:rsidRPr="009B066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773553566"/>
        <w:placeholder>
          <w:docPart w:val="2B72395883FC48938FA67C02FED023E4"/>
        </w:placeholder>
        <w:text/>
      </w:sdtPr>
      <w:sdtEndPr/>
      <w:sdtContent>
        <w:r w:rsidR="00227C9D" w:rsidRPr="00227C9D">
          <w:rPr>
            <w:rFonts w:asciiTheme="majorHAnsi" w:hAnsiTheme="majorHAnsi" w:cstheme="majorHAnsi"/>
          </w:rPr>
          <w:t>Speed TSH</w:t>
        </w:r>
      </w:sdtContent>
    </w:sdt>
  </w:p>
  <w:p w14:paraId="052F2107" w14:textId="77777777" w:rsidR="009B066C" w:rsidRDefault="009B06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4D5"/>
    <w:multiLevelType w:val="multilevel"/>
    <w:tmpl w:val="2F6CB5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741D66"/>
    <w:multiLevelType w:val="multilevel"/>
    <w:tmpl w:val="2EF6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C12051"/>
    <w:multiLevelType w:val="multilevel"/>
    <w:tmpl w:val="04CC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04698D"/>
    <w:multiLevelType w:val="hybridMultilevel"/>
    <w:tmpl w:val="4B4C1730"/>
    <w:lvl w:ilvl="0" w:tplc="E018B804">
      <w:numFmt w:val="bullet"/>
      <w:lvlText w:val="-"/>
      <w:lvlJc w:val="left"/>
      <w:pPr>
        <w:ind w:left="115" w:hanging="67"/>
      </w:pPr>
      <w:rPr>
        <w:rFonts w:ascii="Arial Unicode MS" w:eastAsia="Arial Unicode MS" w:hAnsi="Arial Unicode MS" w:cs="Arial Unicode MS" w:hint="default"/>
        <w:color w:val="2F2F81"/>
        <w:w w:val="83"/>
        <w:sz w:val="12"/>
        <w:szCs w:val="12"/>
      </w:rPr>
    </w:lvl>
    <w:lvl w:ilvl="1" w:tplc="E7B4815E">
      <w:numFmt w:val="bullet"/>
      <w:lvlText w:val="•"/>
      <w:lvlJc w:val="left"/>
      <w:pPr>
        <w:ind w:left="725" w:hanging="67"/>
      </w:pPr>
      <w:rPr>
        <w:rFonts w:hint="default"/>
      </w:rPr>
    </w:lvl>
    <w:lvl w:ilvl="2" w:tplc="5B32F99E">
      <w:numFmt w:val="bullet"/>
      <w:lvlText w:val="•"/>
      <w:lvlJc w:val="left"/>
      <w:pPr>
        <w:ind w:left="1331" w:hanging="67"/>
      </w:pPr>
      <w:rPr>
        <w:rFonts w:hint="default"/>
      </w:rPr>
    </w:lvl>
    <w:lvl w:ilvl="3" w:tplc="AD0A0874">
      <w:numFmt w:val="bullet"/>
      <w:lvlText w:val="•"/>
      <w:lvlJc w:val="left"/>
      <w:pPr>
        <w:ind w:left="1937" w:hanging="67"/>
      </w:pPr>
      <w:rPr>
        <w:rFonts w:hint="default"/>
      </w:rPr>
    </w:lvl>
    <w:lvl w:ilvl="4" w:tplc="B08C5BF6">
      <w:numFmt w:val="bullet"/>
      <w:lvlText w:val="•"/>
      <w:lvlJc w:val="left"/>
      <w:pPr>
        <w:ind w:left="2542" w:hanging="67"/>
      </w:pPr>
      <w:rPr>
        <w:rFonts w:hint="default"/>
      </w:rPr>
    </w:lvl>
    <w:lvl w:ilvl="5" w:tplc="889E7966">
      <w:numFmt w:val="bullet"/>
      <w:lvlText w:val="•"/>
      <w:lvlJc w:val="left"/>
      <w:pPr>
        <w:ind w:left="3148" w:hanging="67"/>
      </w:pPr>
      <w:rPr>
        <w:rFonts w:hint="default"/>
      </w:rPr>
    </w:lvl>
    <w:lvl w:ilvl="6" w:tplc="B2CCAA4E">
      <w:numFmt w:val="bullet"/>
      <w:lvlText w:val="•"/>
      <w:lvlJc w:val="left"/>
      <w:pPr>
        <w:ind w:left="3754" w:hanging="67"/>
      </w:pPr>
      <w:rPr>
        <w:rFonts w:hint="default"/>
      </w:rPr>
    </w:lvl>
    <w:lvl w:ilvl="7" w:tplc="DDCA25A0">
      <w:numFmt w:val="bullet"/>
      <w:lvlText w:val="•"/>
      <w:lvlJc w:val="left"/>
      <w:pPr>
        <w:ind w:left="4359" w:hanging="67"/>
      </w:pPr>
      <w:rPr>
        <w:rFonts w:hint="default"/>
      </w:rPr>
    </w:lvl>
    <w:lvl w:ilvl="8" w:tplc="D944B4C2">
      <w:numFmt w:val="bullet"/>
      <w:lvlText w:val="•"/>
      <w:lvlJc w:val="left"/>
      <w:pPr>
        <w:ind w:left="4965" w:hanging="67"/>
      </w:pPr>
      <w:rPr>
        <w:rFonts w:hint="default"/>
      </w:rPr>
    </w:lvl>
  </w:abstractNum>
  <w:abstractNum w:abstractNumId="4" w15:restartNumberingAfterBreak="0">
    <w:nsid w:val="6F6B2A08"/>
    <w:multiLevelType w:val="hybridMultilevel"/>
    <w:tmpl w:val="68CCCDA4"/>
    <w:lvl w:ilvl="0" w:tplc="C2D61684">
      <w:numFmt w:val="bullet"/>
      <w:lvlText w:val="-"/>
      <w:lvlJc w:val="left"/>
      <w:pPr>
        <w:ind w:left="115" w:hanging="67"/>
      </w:pPr>
      <w:rPr>
        <w:rFonts w:ascii="Arial Unicode MS" w:eastAsia="Arial Unicode MS" w:hAnsi="Arial Unicode MS" w:cs="Arial Unicode MS" w:hint="eastAsia"/>
        <w:color w:val="2F2F81"/>
        <w:w w:val="83"/>
        <w:sz w:val="12"/>
        <w:szCs w:val="12"/>
      </w:rPr>
    </w:lvl>
    <w:lvl w:ilvl="1" w:tplc="20F26C26">
      <w:numFmt w:val="bullet"/>
      <w:lvlText w:val="•"/>
      <w:lvlJc w:val="left"/>
      <w:pPr>
        <w:ind w:left="725" w:hanging="67"/>
      </w:pPr>
    </w:lvl>
    <w:lvl w:ilvl="2" w:tplc="8CA4050A">
      <w:numFmt w:val="bullet"/>
      <w:lvlText w:val="•"/>
      <w:lvlJc w:val="left"/>
      <w:pPr>
        <w:ind w:left="1331" w:hanging="67"/>
      </w:pPr>
    </w:lvl>
    <w:lvl w:ilvl="3" w:tplc="9BCA0532">
      <w:numFmt w:val="bullet"/>
      <w:lvlText w:val="•"/>
      <w:lvlJc w:val="left"/>
      <w:pPr>
        <w:ind w:left="1937" w:hanging="67"/>
      </w:pPr>
    </w:lvl>
    <w:lvl w:ilvl="4" w:tplc="D0CEF374">
      <w:numFmt w:val="bullet"/>
      <w:lvlText w:val="•"/>
      <w:lvlJc w:val="left"/>
      <w:pPr>
        <w:ind w:left="2542" w:hanging="67"/>
      </w:pPr>
    </w:lvl>
    <w:lvl w:ilvl="5" w:tplc="6B14653A">
      <w:numFmt w:val="bullet"/>
      <w:lvlText w:val="•"/>
      <w:lvlJc w:val="left"/>
      <w:pPr>
        <w:ind w:left="3148" w:hanging="67"/>
      </w:pPr>
    </w:lvl>
    <w:lvl w:ilvl="6" w:tplc="F48886F6">
      <w:numFmt w:val="bullet"/>
      <w:lvlText w:val="•"/>
      <w:lvlJc w:val="left"/>
      <w:pPr>
        <w:ind w:left="3754" w:hanging="67"/>
      </w:pPr>
    </w:lvl>
    <w:lvl w:ilvl="7" w:tplc="27068D8A">
      <w:numFmt w:val="bullet"/>
      <w:lvlText w:val="•"/>
      <w:lvlJc w:val="left"/>
      <w:pPr>
        <w:ind w:left="4359" w:hanging="67"/>
      </w:pPr>
    </w:lvl>
    <w:lvl w:ilvl="8" w:tplc="48E62C52">
      <w:numFmt w:val="bullet"/>
      <w:lvlText w:val="•"/>
      <w:lvlJc w:val="left"/>
      <w:pPr>
        <w:ind w:left="4965" w:hanging="6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4D"/>
    <w:rsid w:val="00024703"/>
    <w:rsid w:val="00057EE3"/>
    <w:rsid w:val="00076B5D"/>
    <w:rsid w:val="000D1024"/>
    <w:rsid w:val="000D7CB1"/>
    <w:rsid w:val="000E0AA4"/>
    <w:rsid w:val="00174325"/>
    <w:rsid w:val="0017466B"/>
    <w:rsid w:val="001C03C9"/>
    <w:rsid w:val="001D2A9A"/>
    <w:rsid w:val="002266C4"/>
    <w:rsid w:val="00227C9D"/>
    <w:rsid w:val="00247E4D"/>
    <w:rsid w:val="0029257B"/>
    <w:rsid w:val="002A16BF"/>
    <w:rsid w:val="002B29E8"/>
    <w:rsid w:val="003213D9"/>
    <w:rsid w:val="00323C06"/>
    <w:rsid w:val="003447DD"/>
    <w:rsid w:val="00355DF6"/>
    <w:rsid w:val="00356064"/>
    <w:rsid w:val="00372809"/>
    <w:rsid w:val="003E5AE7"/>
    <w:rsid w:val="00423682"/>
    <w:rsid w:val="00431189"/>
    <w:rsid w:val="00462511"/>
    <w:rsid w:val="004A6723"/>
    <w:rsid w:val="004B39EA"/>
    <w:rsid w:val="004B3AD4"/>
    <w:rsid w:val="004C6870"/>
    <w:rsid w:val="0050047D"/>
    <w:rsid w:val="0051682E"/>
    <w:rsid w:val="005171A5"/>
    <w:rsid w:val="005344C4"/>
    <w:rsid w:val="00552F95"/>
    <w:rsid w:val="005616C4"/>
    <w:rsid w:val="00573DD9"/>
    <w:rsid w:val="00587B8B"/>
    <w:rsid w:val="005B2B4D"/>
    <w:rsid w:val="005E4146"/>
    <w:rsid w:val="005E6B1B"/>
    <w:rsid w:val="006354BC"/>
    <w:rsid w:val="00644315"/>
    <w:rsid w:val="006E74F3"/>
    <w:rsid w:val="00731703"/>
    <w:rsid w:val="007577BA"/>
    <w:rsid w:val="00796CB2"/>
    <w:rsid w:val="00802855"/>
    <w:rsid w:val="0084651F"/>
    <w:rsid w:val="00885776"/>
    <w:rsid w:val="008A6AFD"/>
    <w:rsid w:val="00900220"/>
    <w:rsid w:val="00945CC6"/>
    <w:rsid w:val="00951AB0"/>
    <w:rsid w:val="0098414A"/>
    <w:rsid w:val="009B066C"/>
    <w:rsid w:val="009D31B5"/>
    <w:rsid w:val="00A407F4"/>
    <w:rsid w:val="00A722F9"/>
    <w:rsid w:val="00A76169"/>
    <w:rsid w:val="00A84105"/>
    <w:rsid w:val="00A94E31"/>
    <w:rsid w:val="00AE4A70"/>
    <w:rsid w:val="00B1783F"/>
    <w:rsid w:val="00B2300F"/>
    <w:rsid w:val="00B41FA5"/>
    <w:rsid w:val="00CA397D"/>
    <w:rsid w:val="00CB1727"/>
    <w:rsid w:val="00CD3C8E"/>
    <w:rsid w:val="00CE7B8A"/>
    <w:rsid w:val="00D218E4"/>
    <w:rsid w:val="00D325E9"/>
    <w:rsid w:val="00D37536"/>
    <w:rsid w:val="00D65748"/>
    <w:rsid w:val="00DD7BFB"/>
    <w:rsid w:val="00E100AB"/>
    <w:rsid w:val="00E45802"/>
    <w:rsid w:val="00E55737"/>
    <w:rsid w:val="00E628BD"/>
    <w:rsid w:val="00E73092"/>
    <w:rsid w:val="00E75874"/>
    <w:rsid w:val="00EE1AD4"/>
    <w:rsid w:val="00EE69B2"/>
    <w:rsid w:val="00F4031C"/>
    <w:rsid w:val="00F967DA"/>
    <w:rsid w:val="00FA20FC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8774A"/>
  <w15:docId w15:val="{4F230DC9-DEC4-46DF-82DE-42808AB1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cs-CZ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ind w:left="283"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43118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D2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A9A"/>
  </w:style>
  <w:style w:type="paragraph" w:styleId="Zhlav">
    <w:name w:val="header"/>
    <w:basedOn w:val="Normln"/>
    <w:link w:val="ZhlavChar"/>
    <w:uiPriority w:val="99"/>
    <w:unhideWhenUsed/>
    <w:rsid w:val="00E7587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874"/>
  </w:style>
  <w:style w:type="paragraph" w:styleId="Zpat">
    <w:name w:val="footer"/>
    <w:basedOn w:val="Normln"/>
    <w:link w:val="ZpatChar"/>
    <w:uiPriority w:val="99"/>
    <w:unhideWhenUsed/>
    <w:rsid w:val="00E7587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874"/>
  </w:style>
  <w:style w:type="paragraph" w:styleId="Revize">
    <w:name w:val="Revision"/>
    <w:hidden/>
    <w:uiPriority w:val="99"/>
    <w:semiHidden/>
    <w:rsid w:val="00EE69B2"/>
    <w:pPr>
      <w:spacing w:line="240" w:lineRule="auto"/>
      <w:jc w:val="left"/>
    </w:pPr>
  </w:style>
  <w:style w:type="character" w:styleId="Zstupntext">
    <w:name w:val="Placeholder Text"/>
    <w:rsid w:val="009B066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B06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06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06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06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06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6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F2880A90944193B48D7BD796A8D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D5299-FA8A-4686-9713-6CDD2518E8D4}"/>
      </w:docPartPr>
      <w:docPartBody>
        <w:p w:rsidR="00221645" w:rsidRDefault="00E61542" w:rsidP="00E61542">
          <w:pPr>
            <w:pStyle w:val="66F2880A90944193B48D7BD796A8D74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933D8803B11419F948D687F5CC30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0D418-2F0F-40B1-A4F9-7BAF39A1934C}"/>
      </w:docPartPr>
      <w:docPartBody>
        <w:p w:rsidR="00221645" w:rsidRDefault="00E61542" w:rsidP="00E61542">
          <w:pPr>
            <w:pStyle w:val="E933D8803B11419F948D687F5CC308D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FB7A191CCFC435E9ED3D8A52C665B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5E888D-5230-4909-8BB2-404C7CE9F48D}"/>
      </w:docPartPr>
      <w:docPartBody>
        <w:p w:rsidR="00221645" w:rsidRDefault="00E61542" w:rsidP="00E61542">
          <w:pPr>
            <w:pStyle w:val="CFB7A191CCFC435E9ED3D8A52C665B2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B72395883FC48938FA67C02FED02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736F1-F2BB-4C63-9D9B-D9BD471E3093}"/>
      </w:docPartPr>
      <w:docPartBody>
        <w:p w:rsidR="00221645" w:rsidRDefault="00E61542" w:rsidP="00E61542">
          <w:pPr>
            <w:pStyle w:val="2B72395883FC48938FA67C02FED023E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42"/>
    <w:rsid w:val="000167FD"/>
    <w:rsid w:val="000764C4"/>
    <w:rsid w:val="000C2D88"/>
    <w:rsid w:val="00221645"/>
    <w:rsid w:val="00380B6A"/>
    <w:rsid w:val="00396EAA"/>
    <w:rsid w:val="00E61542"/>
    <w:rsid w:val="00F1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1542"/>
    <w:rPr>
      <w:color w:val="808080"/>
    </w:rPr>
  </w:style>
  <w:style w:type="paragraph" w:customStyle="1" w:styleId="66F2880A90944193B48D7BD796A8D74C">
    <w:name w:val="66F2880A90944193B48D7BD796A8D74C"/>
    <w:rsid w:val="00E61542"/>
  </w:style>
  <w:style w:type="paragraph" w:customStyle="1" w:styleId="E933D8803B11419F948D687F5CC308D4">
    <w:name w:val="E933D8803B11419F948D687F5CC308D4"/>
    <w:rsid w:val="00E61542"/>
  </w:style>
  <w:style w:type="paragraph" w:customStyle="1" w:styleId="CFB7A191CCFC435E9ED3D8A52C665B2B">
    <w:name w:val="CFB7A191CCFC435E9ED3D8A52C665B2B"/>
    <w:rsid w:val="00E61542"/>
  </w:style>
  <w:style w:type="paragraph" w:customStyle="1" w:styleId="2B72395883FC48938FA67C02FED023E4">
    <w:name w:val="2B72395883FC48938FA67C02FED023E4"/>
    <w:rsid w:val="00E61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Filáková</dc:creator>
  <cp:lastModifiedBy>Klapková Kristýna</cp:lastModifiedBy>
  <cp:revision>9</cp:revision>
  <dcterms:created xsi:type="dcterms:W3CDTF">2023-11-06T15:52:00Z</dcterms:created>
  <dcterms:modified xsi:type="dcterms:W3CDTF">2023-12-05T12:25:00Z</dcterms:modified>
</cp:coreProperties>
</file>