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50D" w:rsidRPr="004B6782" w:rsidRDefault="000C650D" w:rsidP="009D5363">
      <w:pPr>
        <w:rPr>
          <w:b/>
        </w:rPr>
      </w:pPr>
      <w:r w:rsidRPr="004B6782">
        <w:rPr>
          <w:b/>
        </w:rPr>
        <w:t>IDEXX BVDV Total Ab</w:t>
      </w:r>
      <w:r w:rsidRPr="004B6782">
        <w:rPr>
          <w:b/>
        </w:rPr>
        <w:tab/>
      </w:r>
      <w:r w:rsidRPr="004B6782">
        <w:rPr>
          <w:b/>
        </w:rPr>
        <w:tab/>
      </w:r>
      <w:r w:rsidRPr="004B6782">
        <w:rPr>
          <w:b/>
        </w:rPr>
        <w:tab/>
      </w:r>
      <w:r w:rsidRPr="004B6782">
        <w:rPr>
          <w:b/>
        </w:rPr>
        <w:tab/>
      </w:r>
      <w:r w:rsidRPr="004B6782">
        <w:rPr>
          <w:b/>
        </w:rPr>
        <w:tab/>
      </w:r>
      <w:r w:rsidRPr="004B6782">
        <w:rPr>
          <w:b/>
        </w:rPr>
        <w:tab/>
      </w:r>
      <w:r w:rsidRPr="004B6782">
        <w:rPr>
          <w:b/>
        </w:rPr>
        <w:tab/>
      </w:r>
      <w:r w:rsidRPr="004B6782">
        <w:rPr>
          <w:b/>
        </w:rPr>
        <w:tab/>
      </w:r>
      <w:r w:rsidRPr="004B6782">
        <w:rPr>
          <w:b/>
        </w:rPr>
        <w:tab/>
        <w:t xml:space="preserve">    </w:t>
      </w:r>
    </w:p>
    <w:p w:rsidR="00AC388F" w:rsidRPr="004B6782" w:rsidRDefault="003609E6">
      <w:pPr>
        <w:rPr>
          <w:b/>
        </w:rPr>
      </w:pPr>
      <w:r w:rsidRPr="004B6782">
        <w:rPr>
          <w:b/>
        </w:rPr>
        <w:t>Testovací souprava na průkaz protilátek proti viru bovinní virové diarey</w:t>
      </w:r>
    </w:p>
    <w:p w:rsidR="003609E6" w:rsidRPr="004B6782" w:rsidRDefault="003609E6" w:rsidP="009075D0">
      <w:pPr>
        <w:ind w:right="440"/>
        <w:rPr>
          <w:b/>
        </w:rPr>
      </w:pPr>
      <w:r w:rsidRPr="004B6782">
        <w:rPr>
          <w:b/>
        </w:rPr>
        <w:t>Pouze k veterinárnímu užití.</w:t>
      </w:r>
    </w:p>
    <w:p w:rsidR="003609E6" w:rsidRPr="004B6782" w:rsidRDefault="003609E6" w:rsidP="0060208E">
      <w:pPr>
        <w:tabs>
          <w:tab w:val="left" w:pos="2835"/>
        </w:tabs>
        <w:rPr>
          <w:b/>
        </w:rPr>
      </w:pPr>
      <w:r w:rsidRPr="004B6782">
        <w:rPr>
          <w:b/>
        </w:rPr>
        <w:t xml:space="preserve">Název a </w:t>
      </w:r>
      <w:r w:rsidR="009075D0" w:rsidRPr="004B6782">
        <w:rPr>
          <w:b/>
        </w:rPr>
        <w:t>způsob</w:t>
      </w:r>
      <w:r w:rsidRPr="004B6782">
        <w:rPr>
          <w:b/>
        </w:rPr>
        <w:t xml:space="preserve"> </w:t>
      </w:r>
      <w:r w:rsidR="009075D0" w:rsidRPr="004B6782">
        <w:rPr>
          <w:b/>
        </w:rPr>
        <w:t>po</w:t>
      </w:r>
      <w:r w:rsidRPr="004B6782">
        <w:rPr>
          <w:b/>
        </w:rPr>
        <w:t>užití</w:t>
      </w:r>
      <w:r w:rsidR="0060208E" w:rsidRPr="004B6782">
        <w:rPr>
          <w:b/>
        </w:rPr>
        <w:tab/>
      </w:r>
    </w:p>
    <w:p w:rsidR="003609E6" w:rsidRPr="004B6782" w:rsidRDefault="003609E6">
      <w:r w:rsidRPr="004B6782">
        <w:t xml:space="preserve">IDEXX BVDV Total Ab je enzymatický imunotest </w:t>
      </w:r>
      <w:r w:rsidR="00991F01" w:rsidRPr="004B6782">
        <w:t>firmy IDEXX určený pro detekci protilátek proti BVDV v individuálních vzorcích kravského séra, plazmy a mléka a hromadných vzorcích kravského mléka.</w:t>
      </w:r>
    </w:p>
    <w:p w:rsidR="00991F01" w:rsidRPr="004B6782" w:rsidRDefault="00991F01">
      <w:pPr>
        <w:rPr>
          <w:b/>
        </w:rPr>
      </w:pPr>
      <w:r w:rsidRPr="004B6782">
        <w:rPr>
          <w:b/>
        </w:rPr>
        <w:t>Obecné informace</w:t>
      </w:r>
    </w:p>
    <w:p w:rsidR="00991F01" w:rsidRPr="004B6782" w:rsidRDefault="00991F01">
      <w:r w:rsidRPr="004B6782">
        <w:t xml:space="preserve">Virus bovinní virové diarey (BVDV), virus hraniční choroby (BDV) a virus klasického moru prasat (CSFV) patří společně do rodu Pestivirus z čeledi Flaviviridae. BVDV je jedním z nejvýznamnějších patogenních virů napadajících </w:t>
      </w:r>
      <w:r w:rsidR="00E0743B" w:rsidRPr="004B6782">
        <w:t xml:space="preserve">hovězí dobytek </w:t>
      </w:r>
      <w:r w:rsidRPr="004B6782">
        <w:t xml:space="preserve">a způsobuje významné ztráty mléčnému i masnému průmyslu po celém světě. Typické příznaky infekce BVDV jsou průjem a horečka následované poklesem produkce mléka. Imunosupresivní účinek BVDV může potencovat infekci jinými mikroorganismy. U infikovaných březích krav virus přestupuje přes placentu a způsobuje reprodukční ztráty z důvodu potratů, rození mrtvých telat nebo slabých telat, která brzy umírají. </w:t>
      </w:r>
      <w:r w:rsidR="00E0743B" w:rsidRPr="004B6782">
        <w:t xml:space="preserve">Některá z přeživších telat jsou vůči viru imunotolerantní a po celý život ho pak ve velkém množství vylučují. Tyto „přenašeče“ je pro přerušení cyklu infekcí ve stádě nutné identifikovat. Přenašečská zvířata často umírají na tzv. „slizniční chorobu“ během prvních dvou let života. V důsledku intrauterinní infekce BVDV často kontaminuje biologické produkty, jako jsou například vakcíny a léčivé přípravky. BDV způsobuje podobné příznaky u ovcí. CSFV je příčinou závažných ztrát v chovu prasat z důvodu vysoké patogenicity a schopnosti způsobovat masová úmrtí. Všechny tyto pestiviry se mohou nicméně vyskytovat i u skotu. </w:t>
      </w:r>
    </w:p>
    <w:p w:rsidR="00E0743B" w:rsidRPr="004B6782" w:rsidRDefault="00E0743B">
      <w:pPr>
        <w:rPr>
          <w:b/>
        </w:rPr>
      </w:pPr>
      <w:r w:rsidRPr="004B6782">
        <w:rPr>
          <w:b/>
        </w:rPr>
        <w:t>Popis a principy</w:t>
      </w:r>
    </w:p>
    <w:p w:rsidR="00E0743B" w:rsidRPr="004B6782" w:rsidRDefault="00E0743B" w:rsidP="000C650D">
      <w:r w:rsidRPr="004B6782">
        <w:t>IDEXX BVDV Total Ab je nepřímý enzymatický imunologický test určený k detekci protilátek proti</w:t>
      </w:r>
      <w:r w:rsidR="004B6782" w:rsidRPr="004B6782">
        <w:t> </w:t>
      </w:r>
      <w:r w:rsidRPr="004B6782">
        <w:t>BVDV (Ab) ve vzorcích kravského séra, plazmy a mléka.</w:t>
      </w:r>
      <w:r w:rsidR="000C650D" w:rsidRPr="004B6782">
        <w:t xml:space="preserve"> Formát mikrotitrace byl nakonfigurován pomocí imobilizující BVDV antigen na destičkách.</w:t>
      </w:r>
      <w:r w:rsidRPr="004B6782">
        <w:t xml:space="preserve"> Protilátky proti BVDV přítomné ve vzorku se navážou na antigen nanesený na destičkách. Po inkubaci testovaného vzorku v jamce destičky jsou zachycené protilátky proti BVDV </w:t>
      </w:r>
      <w:r w:rsidR="00EC542C" w:rsidRPr="004B6782">
        <w:t>detekovány anti-bovinním konjugátem s křenovou peroxidázou. V dalším kroku se nenavázaný konjugát vymyje a přidá se roztok substrátu/chromogenu. V přítomnosti enzymu je substrát konvertován na produkt, který reaguje s chromogenem za vzniku modrého zbarvení. Po přidání zastavovacího roztoku vzniká žluté zbarvení. Absorbance vzorku se měří pomocí spektrofotometru. Poměr vzorku k pozitivní kontrole se vypočítá z absorbance testovaného vzorku a pozitivní kontroly po korekci na absorbanci negativní kontroly. Rozvoj zbarvení indikuje přítomnost protilátek proti BVDV v testovaném vzorku (pozitivní výsledek).</w:t>
      </w:r>
    </w:p>
    <w:p w:rsidR="00EC542C" w:rsidRPr="004B6782" w:rsidRDefault="000C650D" w:rsidP="00EC542C">
      <w:pPr>
        <w:tabs>
          <w:tab w:val="left" w:pos="7515"/>
        </w:tabs>
      </w:pPr>
      <w:r w:rsidRPr="004B6782">
        <w:t xml:space="preserve">Činidla    </w:t>
      </w:r>
      <w:r w:rsidR="00EC542C" w:rsidRPr="004B6782">
        <w:t xml:space="preserve">                                                                                             Objem</w:t>
      </w:r>
    </w:p>
    <w:tbl>
      <w:tblPr>
        <w:tblStyle w:val="Mkatabulky"/>
        <w:tblW w:w="0" w:type="auto"/>
        <w:tblLook w:val="04A0" w:firstRow="1" w:lastRow="0" w:firstColumn="1" w:lastColumn="0" w:noHBand="0" w:noVBand="1"/>
      </w:tblPr>
      <w:tblGrid>
        <w:gridCol w:w="445"/>
        <w:gridCol w:w="4937"/>
        <w:gridCol w:w="1435"/>
      </w:tblGrid>
      <w:tr w:rsidR="00EC542C" w:rsidRPr="004B6782" w:rsidTr="00400213">
        <w:tc>
          <w:tcPr>
            <w:tcW w:w="445" w:type="dxa"/>
          </w:tcPr>
          <w:p w:rsidR="00EC542C" w:rsidRPr="004B6782" w:rsidRDefault="00EC542C" w:rsidP="00400213">
            <w:r w:rsidRPr="004B6782">
              <w:t>1</w:t>
            </w:r>
          </w:p>
        </w:tc>
        <w:tc>
          <w:tcPr>
            <w:tcW w:w="4937" w:type="dxa"/>
          </w:tcPr>
          <w:p w:rsidR="00EC542C" w:rsidRPr="004B6782" w:rsidRDefault="00EC542C" w:rsidP="00400213">
            <w:r w:rsidRPr="004B6782">
              <w:t>Destičky potažené antigenem BVDV</w:t>
            </w:r>
          </w:p>
        </w:tc>
        <w:tc>
          <w:tcPr>
            <w:tcW w:w="1435" w:type="dxa"/>
          </w:tcPr>
          <w:p w:rsidR="00EC542C" w:rsidRPr="004B6782" w:rsidRDefault="00EC542C" w:rsidP="00400213">
            <w:r w:rsidRPr="004B6782">
              <w:t>5</w:t>
            </w:r>
          </w:p>
        </w:tc>
      </w:tr>
      <w:tr w:rsidR="00EC542C" w:rsidRPr="004B6782" w:rsidTr="00400213">
        <w:tc>
          <w:tcPr>
            <w:tcW w:w="445" w:type="dxa"/>
          </w:tcPr>
          <w:p w:rsidR="00EC542C" w:rsidRPr="004B6782" w:rsidRDefault="00EC542C" w:rsidP="00400213">
            <w:r w:rsidRPr="004B6782">
              <w:t>2</w:t>
            </w:r>
          </w:p>
        </w:tc>
        <w:tc>
          <w:tcPr>
            <w:tcW w:w="4937" w:type="dxa"/>
          </w:tcPr>
          <w:p w:rsidR="00EC542C" w:rsidRPr="004B6782" w:rsidRDefault="00EC542C" w:rsidP="00400213">
            <w:r w:rsidRPr="004B6782">
              <w:t xml:space="preserve">Pozitivní kontrolní vzorek </w:t>
            </w:r>
          </w:p>
        </w:tc>
        <w:tc>
          <w:tcPr>
            <w:tcW w:w="1435" w:type="dxa"/>
          </w:tcPr>
          <w:p w:rsidR="00EC542C" w:rsidRPr="004B6782" w:rsidRDefault="00EC542C" w:rsidP="00400213">
            <w:r w:rsidRPr="004B6782">
              <w:t>1 x 1,0 ml</w:t>
            </w:r>
          </w:p>
        </w:tc>
      </w:tr>
      <w:tr w:rsidR="00EC542C" w:rsidRPr="004B6782" w:rsidTr="00400213">
        <w:tc>
          <w:tcPr>
            <w:tcW w:w="445" w:type="dxa"/>
          </w:tcPr>
          <w:p w:rsidR="00EC542C" w:rsidRPr="004B6782" w:rsidRDefault="00EC542C" w:rsidP="00400213">
            <w:r w:rsidRPr="004B6782">
              <w:t>3</w:t>
            </w:r>
          </w:p>
        </w:tc>
        <w:tc>
          <w:tcPr>
            <w:tcW w:w="4937" w:type="dxa"/>
          </w:tcPr>
          <w:p w:rsidR="00EC542C" w:rsidRPr="004B6782" w:rsidRDefault="00EC542C" w:rsidP="00400213">
            <w:r w:rsidRPr="004B6782">
              <w:t xml:space="preserve">Negativní kontrolní vzorek </w:t>
            </w:r>
          </w:p>
        </w:tc>
        <w:tc>
          <w:tcPr>
            <w:tcW w:w="1435" w:type="dxa"/>
          </w:tcPr>
          <w:p w:rsidR="00EC542C" w:rsidRPr="004B6782" w:rsidRDefault="00EC542C" w:rsidP="00400213">
            <w:r w:rsidRPr="004B6782">
              <w:t>1 x 1,0 ml</w:t>
            </w:r>
          </w:p>
        </w:tc>
      </w:tr>
      <w:tr w:rsidR="00EC542C" w:rsidRPr="004B6782" w:rsidTr="00400213">
        <w:tc>
          <w:tcPr>
            <w:tcW w:w="445" w:type="dxa"/>
          </w:tcPr>
          <w:p w:rsidR="00EC542C" w:rsidRPr="004B6782" w:rsidRDefault="00EC542C" w:rsidP="00400213">
            <w:r w:rsidRPr="004B6782">
              <w:t>4</w:t>
            </w:r>
          </w:p>
        </w:tc>
        <w:tc>
          <w:tcPr>
            <w:tcW w:w="4937" w:type="dxa"/>
          </w:tcPr>
          <w:p w:rsidR="00EC542C" w:rsidRPr="004B6782" w:rsidRDefault="00EC542C" w:rsidP="00400213">
            <w:r w:rsidRPr="004B6782">
              <w:t xml:space="preserve">Konjugát </w:t>
            </w:r>
          </w:p>
        </w:tc>
        <w:tc>
          <w:tcPr>
            <w:tcW w:w="1435" w:type="dxa"/>
          </w:tcPr>
          <w:p w:rsidR="00EC542C" w:rsidRPr="004B6782" w:rsidRDefault="00EC542C" w:rsidP="00400213">
            <w:r w:rsidRPr="004B6782">
              <w:t>1 x 60 ml</w:t>
            </w:r>
          </w:p>
        </w:tc>
      </w:tr>
      <w:tr w:rsidR="00EC542C" w:rsidRPr="004B6782" w:rsidTr="00400213">
        <w:tc>
          <w:tcPr>
            <w:tcW w:w="445" w:type="dxa"/>
          </w:tcPr>
          <w:p w:rsidR="00EC542C" w:rsidRPr="004B6782" w:rsidRDefault="00EC542C" w:rsidP="00400213">
            <w:r w:rsidRPr="004B6782">
              <w:t>5</w:t>
            </w:r>
          </w:p>
        </w:tc>
        <w:tc>
          <w:tcPr>
            <w:tcW w:w="4937" w:type="dxa"/>
          </w:tcPr>
          <w:p w:rsidR="00EC542C" w:rsidRPr="004B6782" w:rsidRDefault="00EC542C" w:rsidP="00400213">
            <w:r w:rsidRPr="004B6782">
              <w:t>Ředicí roztok</w:t>
            </w:r>
          </w:p>
        </w:tc>
        <w:tc>
          <w:tcPr>
            <w:tcW w:w="1435" w:type="dxa"/>
          </w:tcPr>
          <w:p w:rsidR="00EC542C" w:rsidRPr="004B6782" w:rsidRDefault="00EC542C" w:rsidP="00400213">
            <w:r w:rsidRPr="004B6782">
              <w:t>1 x 60 ml</w:t>
            </w:r>
          </w:p>
        </w:tc>
      </w:tr>
      <w:tr w:rsidR="00EC542C" w:rsidRPr="004B6782" w:rsidTr="00400213">
        <w:tc>
          <w:tcPr>
            <w:tcW w:w="445" w:type="dxa"/>
          </w:tcPr>
          <w:p w:rsidR="00EC542C" w:rsidRPr="004B6782" w:rsidRDefault="00EC542C" w:rsidP="00400213">
            <w:r w:rsidRPr="004B6782">
              <w:t>A</w:t>
            </w:r>
          </w:p>
        </w:tc>
        <w:tc>
          <w:tcPr>
            <w:tcW w:w="4937" w:type="dxa"/>
          </w:tcPr>
          <w:p w:rsidR="00EC542C" w:rsidRPr="004B6782" w:rsidRDefault="00EC542C" w:rsidP="00400213">
            <w:r w:rsidRPr="004B6782">
              <w:t>TMB substrát č. 12</w:t>
            </w:r>
          </w:p>
        </w:tc>
        <w:tc>
          <w:tcPr>
            <w:tcW w:w="1435" w:type="dxa"/>
          </w:tcPr>
          <w:p w:rsidR="00EC542C" w:rsidRPr="004B6782" w:rsidRDefault="00EC542C" w:rsidP="00400213">
            <w:r w:rsidRPr="004B6782">
              <w:t>1 x 60 ml</w:t>
            </w:r>
          </w:p>
        </w:tc>
      </w:tr>
      <w:tr w:rsidR="00EC542C" w:rsidRPr="004B6782" w:rsidTr="00400213">
        <w:tc>
          <w:tcPr>
            <w:tcW w:w="445" w:type="dxa"/>
          </w:tcPr>
          <w:p w:rsidR="00EC542C" w:rsidRPr="004B6782" w:rsidRDefault="000C650D" w:rsidP="00400213">
            <w:r w:rsidRPr="004B6782">
              <w:t>B</w:t>
            </w:r>
          </w:p>
        </w:tc>
        <w:tc>
          <w:tcPr>
            <w:tcW w:w="4937" w:type="dxa"/>
          </w:tcPr>
          <w:p w:rsidR="00EC542C" w:rsidRPr="004B6782" w:rsidRDefault="00EC542C" w:rsidP="00400213">
            <w:r w:rsidRPr="004B6782">
              <w:t>Zastavovací roztok č. 3</w:t>
            </w:r>
          </w:p>
        </w:tc>
        <w:tc>
          <w:tcPr>
            <w:tcW w:w="1435" w:type="dxa"/>
          </w:tcPr>
          <w:p w:rsidR="00EC542C" w:rsidRPr="004B6782" w:rsidRDefault="00EC542C" w:rsidP="00400213">
            <w:r w:rsidRPr="004B6782">
              <w:t>1 x 60 ml</w:t>
            </w:r>
          </w:p>
        </w:tc>
      </w:tr>
      <w:tr w:rsidR="00EC542C" w:rsidRPr="004B6782" w:rsidTr="00400213">
        <w:tc>
          <w:tcPr>
            <w:tcW w:w="445" w:type="dxa"/>
          </w:tcPr>
          <w:p w:rsidR="00EC542C" w:rsidRPr="004B6782" w:rsidRDefault="00EC542C" w:rsidP="00400213">
            <w:r w:rsidRPr="004B6782">
              <w:lastRenderedPageBreak/>
              <w:t>C</w:t>
            </w:r>
          </w:p>
        </w:tc>
        <w:tc>
          <w:tcPr>
            <w:tcW w:w="4937" w:type="dxa"/>
          </w:tcPr>
          <w:p w:rsidR="00EC542C" w:rsidRPr="004B6782" w:rsidRDefault="00EC542C" w:rsidP="00400213">
            <w:r w:rsidRPr="004B6782">
              <w:t>Mycí koncentrát (10x)</w:t>
            </w:r>
          </w:p>
        </w:tc>
        <w:tc>
          <w:tcPr>
            <w:tcW w:w="1435" w:type="dxa"/>
          </w:tcPr>
          <w:p w:rsidR="00EC542C" w:rsidRPr="004B6782" w:rsidRDefault="00EC542C" w:rsidP="00400213">
            <w:r w:rsidRPr="004B6782">
              <w:t>1 x 480 ml</w:t>
            </w:r>
          </w:p>
        </w:tc>
      </w:tr>
      <w:tr w:rsidR="00EC542C" w:rsidRPr="004B6782" w:rsidTr="000615BE">
        <w:tc>
          <w:tcPr>
            <w:tcW w:w="5382" w:type="dxa"/>
            <w:gridSpan w:val="2"/>
          </w:tcPr>
          <w:p w:rsidR="00EC542C" w:rsidRPr="004B6782" w:rsidRDefault="00EC542C" w:rsidP="00400213">
            <w:r w:rsidRPr="004B6782">
              <w:t>Další součásti soupravy: Sáček se zipovým uzávěrem</w:t>
            </w:r>
          </w:p>
        </w:tc>
        <w:tc>
          <w:tcPr>
            <w:tcW w:w="1435" w:type="dxa"/>
          </w:tcPr>
          <w:p w:rsidR="00EC542C" w:rsidRPr="004B6782" w:rsidRDefault="00EC542C" w:rsidP="00400213">
            <w:r w:rsidRPr="004B6782">
              <w:t>1</w:t>
            </w:r>
          </w:p>
        </w:tc>
      </w:tr>
    </w:tbl>
    <w:p w:rsidR="00EC542C" w:rsidRPr="004B6782" w:rsidRDefault="00EC542C" w:rsidP="00E779C8">
      <w:pPr>
        <w:spacing w:after="0"/>
      </w:pPr>
      <w:r w:rsidRPr="004B6782">
        <w:br/>
      </w:r>
      <w:r w:rsidR="00E779C8" w:rsidRPr="004B6782">
        <w:t>Poznámka: Popis symbolů použitých v této příbalové informaci a popisků této testovací sady najdete v tabulce na konci informace.</w:t>
      </w:r>
    </w:p>
    <w:p w:rsidR="009D5363" w:rsidRPr="004B6782" w:rsidRDefault="009D5363" w:rsidP="00E779C8">
      <w:pPr>
        <w:spacing w:after="0"/>
      </w:pPr>
    </w:p>
    <w:p w:rsidR="00EC542C" w:rsidRPr="004B6782" w:rsidRDefault="00EC542C" w:rsidP="00EC542C">
      <w:pPr>
        <w:spacing w:after="0"/>
        <w:rPr>
          <w:b/>
        </w:rPr>
      </w:pPr>
      <w:r w:rsidRPr="004B6782">
        <w:rPr>
          <w:b/>
        </w:rPr>
        <w:t>Uchovávání</w:t>
      </w:r>
    </w:p>
    <w:p w:rsidR="00E779C8" w:rsidRPr="004B6782" w:rsidRDefault="00E779C8" w:rsidP="00E779C8">
      <w:pPr>
        <w:spacing w:after="0"/>
      </w:pPr>
      <w:r w:rsidRPr="004B6782">
        <w:t>Činidla uchovávejte při teplotě 2–8 °C. Činidla jsou za předpokladu řádného skladování stabilní do</w:t>
      </w:r>
      <w:r w:rsidR="004B6782" w:rsidRPr="004B6782">
        <w:t> </w:t>
      </w:r>
      <w:r w:rsidRPr="004B6782">
        <w:t>data exspirace.</w:t>
      </w:r>
    </w:p>
    <w:p w:rsidR="00EC542C" w:rsidRPr="004B6782" w:rsidRDefault="00EC542C" w:rsidP="00EC542C">
      <w:pPr>
        <w:spacing w:after="0"/>
      </w:pPr>
    </w:p>
    <w:p w:rsidR="00EC542C" w:rsidRPr="004B6782" w:rsidRDefault="00EC542C" w:rsidP="00EC542C">
      <w:pPr>
        <w:spacing w:after="0"/>
        <w:rPr>
          <w:b/>
        </w:rPr>
      </w:pPr>
      <w:r w:rsidRPr="004B6782">
        <w:rPr>
          <w:b/>
        </w:rPr>
        <w:t>Potřebné materiály, které nejsou součástí soupravy</w:t>
      </w:r>
    </w:p>
    <w:p w:rsidR="00EC542C" w:rsidRPr="004B6782" w:rsidRDefault="00EC542C" w:rsidP="00EC542C">
      <w:pPr>
        <w:spacing w:after="0"/>
      </w:pPr>
    </w:p>
    <w:p w:rsidR="00EC542C" w:rsidRPr="004B6782" w:rsidRDefault="00EC542C" w:rsidP="00EC542C">
      <w:pPr>
        <w:pStyle w:val="Odstavecseseznamem"/>
        <w:numPr>
          <w:ilvl w:val="0"/>
          <w:numId w:val="1"/>
        </w:numPr>
        <w:spacing w:after="0"/>
      </w:pPr>
      <w:r w:rsidRPr="004B6782">
        <w:t>Přesné pipety nebo multikanálové pipety</w:t>
      </w:r>
    </w:p>
    <w:p w:rsidR="00EC542C" w:rsidRPr="004B6782" w:rsidRDefault="00EC542C" w:rsidP="00EC542C">
      <w:pPr>
        <w:pStyle w:val="Odstavecseseznamem"/>
        <w:numPr>
          <w:ilvl w:val="0"/>
          <w:numId w:val="1"/>
        </w:numPr>
        <w:spacing w:after="0"/>
      </w:pPr>
      <w:r w:rsidRPr="004B6782">
        <w:t>Jednorázové pipetovací špičky</w:t>
      </w:r>
    </w:p>
    <w:p w:rsidR="00EC542C" w:rsidRPr="004B6782" w:rsidRDefault="00EC542C" w:rsidP="00EC542C">
      <w:pPr>
        <w:pStyle w:val="Odstavecseseznamem"/>
        <w:numPr>
          <w:ilvl w:val="0"/>
          <w:numId w:val="1"/>
        </w:numPr>
        <w:spacing w:after="0"/>
      </w:pPr>
      <w:r w:rsidRPr="004B6782">
        <w:t xml:space="preserve">Odměrný válec pro přípravu </w:t>
      </w:r>
      <w:r w:rsidR="00442AD8" w:rsidRPr="004B6782">
        <w:t>mycího</w:t>
      </w:r>
      <w:r w:rsidRPr="004B6782">
        <w:t xml:space="preserve"> roztoku</w:t>
      </w:r>
    </w:p>
    <w:p w:rsidR="00EC542C" w:rsidRPr="004B6782" w:rsidRDefault="00EC542C" w:rsidP="00EC542C">
      <w:pPr>
        <w:pStyle w:val="Odstavecseseznamem"/>
        <w:numPr>
          <w:ilvl w:val="0"/>
          <w:numId w:val="1"/>
        </w:numPr>
        <w:spacing w:after="0"/>
      </w:pPr>
      <w:r w:rsidRPr="004B6782">
        <w:t>Čtečka mikrodestiček s 96 jamkami (vybavená filtrem s vlnovou délkou 450 nm nebo filtry o</w:t>
      </w:r>
      <w:r w:rsidR="004B6782" w:rsidRPr="004B6782">
        <w:t> </w:t>
      </w:r>
      <w:r w:rsidRPr="004B6782">
        <w:t>vlnové délce 450 a 650 nm)</w:t>
      </w:r>
    </w:p>
    <w:p w:rsidR="00EC542C" w:rsidRPr="004B6782" w:rsidRDefault="00EC542C" w:rsidP="00EC542C">
      <w:pPr>
        <w:pStyle w:val="Odstavecseseznamem"/>
        <w:numPr>
          <w:ilvl w:val="0"/>
          <w:numId w:val="1"/>
        </w:numPr>
        <w:spacing w:after="0"/>
      </w:pPr>
      <w:r w:rsidRPr="004B6782">
        <w:t>Mycí zařízení na mikrodestičky (manuální, poloautomatický nebo automatický systém)</w:t>
      </w:r>
    </w:p>
    <w:p w:rsidR="00EC542C" w:rsidRPr="004B6782" w:rsidRDefault="00EC542C" w:rsidP="00EC542C">
      <w:pPr>
        <w:pStyle w:val="Odstavecseseznamem"/>
        <w:numPr>
          <w:ilvl w:val="0"/>
          <w:numId w:val="1"/>
        </w:numPr>
        <w:spacing w:after="0"/>
      </w:pPr>
      <w:r w:rsidRPr="004B6782">
        <w:t xml:space="preserve">Pro přípravu </w:t>
      </w:r>
      <w:r w:rsidR="00E779C8" w:rsidRPr="004B6782">
        <w:t>činidel</w:t>
      </w:r>
      <w:r w:rsidRPr="004B6782">
        <w:t xml:space="preserve"> používaných při testu používejte pouze destilovanou nebo deionizovanou vodu</w:t>
      </w:r>
    </w:p>
    <w:p w:rsidR="00EC542C" w:rsidRPr="004B6782" w:rsidRDefault="00EC542C" w:rsidP="00EC542C">
      <w:pPr>
        <w:pStyle w:val="Odstavecseseznamem"/>
        <w:numPr>
          <w:ilvl w:val="0"/>
          <w:numId w:val="1"/>
        </w:numPr>
        <w:spacing w:after="0"/>
      </w:pPr>
      <w:r w:rsidRPr="004B6782">
        <w:t>Kryty na mikrodestičky (víčka, hliníková nebo přilnavá fólie)</w:t>
      </w:r>
    </w:p>
    <w:p w:rsidR="00EC542C" w:rsidRPr="004B6782" w:rsidRDefault="00EC542C" w:rsidP="00EC542C">
      <w:pPr>
        <w:pStyle w:val="Odstavecseseznamem"/>
        <w:numPr>
          <w:ilvl w:val="0"/>
          <w:numId w:val="1"/>
        </w:numPr>
        <w:spacing w:after="0"/>
      </w:pPr>
      <w:r w:rsidRPr="004B6782">
        <w:t>Centrifuga (přetížení 2000x g)</w:t>
      </w:r>
    </w:p>
    <w:p w:rsidR="00EC542C" w:rsidRPr="004B6782" w:rsidRDefault="00EC542C" w:rsidP="00EC542C">
      <w:pPr>
        <w:pStyle w:val="Odstavecseseznamem"/>
        <w:numPr>
          <w:ilvl w:val="0"/>
          <w:numId w:val="1"/>
        </w:numPr>
        <w:spacing w:after="0"/>
      </w:pPr>
      <w:r w:rsidRPr="004B6782">
        <w:t>Vortex nebo ekvivalentní zařízení</w:t>
      </w:r>
    </w:p>
    <w:p w:rsidR="00EC542C" w:rsidRPr="004B6782" w:rsidRDefault="00EC542C" w:rsidP="00EC542C">
      <w:pPr>
        <w:pStyle w:val="Odstavecseseznamem"/>
        <w:numPr>
          <w:ilvl w:val="0"/>
          <w:numId w:val="1"/>
        </w:numPr>
        <w:spacing w:after="0"/>
      </w:pPr>
      <w:r w:rsidRPr="004B6782">
        <w:t>Třepačka mikrodestiček</w:t>
      </w:r>
    </w:p>
    <w:p w:rsidR="00EC542C" w:rsidRPr="004B6782" w:rsidRDefault="00EC542C" w:rsidP="00EC542C">
      <w:pPr>
        <w:spacing w:after="0"/>
      </w:pPr>
    </w:p>
    <w:p w:rsidR="00EC542C" w:rsidRPr="004B6782" w:rsidRDefault="00EC542C" w:rsidP="00EC542C">
      <w:pPr>
        <w:spacing w:after="0"/>
        <w:rPr>
          <w:b/>
        </w:rPr>
      </w:pPr>
      <w:r w:rsidRPr="004B6782">
        <w:rPr>
          <w:b/>
        </w:rPr>
        <w:t>Bezpečnostní opatření a upozornění pro uživatele</w:t>
      </w:r>
    </w:p>
    <w:p w:rsidR="00EC542C" w:rsidRPr="004B6782" w:rsidRDefault="00EC542C" w:rsidP="00EC542C">
      <w:pPr>
        <w:spacing w:after="0"/>
      </w:pPr>
    </w:p>
    <w:p w:rsidR="00EC542C" w:rsidRPr="004B6782" w:rsidRDefault="00EC542C" w:rsidP="00EC542C">
      <w:pPr>
        <w:pStyle w:val="Odstavecseseznamem"/>
        <w:numPr>
          <w:ilvl w:val="0"/>
          <w:numId w:val="2"/>
        </w:numPr>
        <w:spacing w:after="0"/>
      </w:pPr>
      <w:r w:rsidRPr="004B6782">
        <w:t>Se všemi biologickými materiály zacházejte jako s potenciálně infekčními.</w:t>
      </w:r>
    </w:p>
    <w:p w:rsidR="00EC542C" w:rsidRPr="004B6782" w:rsidRDefault="00EC542C" w:rsidP="00EC542C">
      <w:pPr>
        <w:pStyle w:val="Odstavecseseznamem"/>
        <w:numPr>
          <w:ilvl w:val="0"/>
          <w:numId w:val="2"/>
        </w:numPr>
        <w:spacing w:after="0"/>
      </w:pPr>
      <w:r w:rsidRPr="004B6782">
        <w:t xml:space="preserve">Při manipulaci se vzorky a </w:t>
      </w:r>
      <w:r w:rsidR="00E779C8" w:rsidRPr="004B6782">
        <w:t>činidl</w:t>
      </w:r>
      <w:r w:rsidR="009D5363" w:rsidRPr="004B6782">
        <w:t>y</w:t>
      </w:r>
      <w:r w:rsidRPr="004B6782">
        <w:t xml:space="preserve"> používejte ochranné rukavice / ochranný oděv / ochranu očí nebo obličeje.</w:t>
      </w:r>
    </w:p>
    <w:p w:rsidR="00EC542C" w:rsidRPr="004B6782" w:rsidRDefault="00EC542C" w:rsidP="00EC542C">
      <w:pPr>
        <w:pStyle w:val="Odstavecseseznamem"/>
        <w:numPr>
          <w:ilvl w:val="0"/>
          <w:numId w:val="2"/>
        </w:numPr>
        <w:spacing w:after="0"/>
      </w:pPr>
      <w:r w:rsidRPr="004B6782">
        <w:t>Další informace najdete v materiálových bezpečnostních listech.</w:t>
      </w:r>
    </w:p>
    <w:p w:rsidR="00EC542C" w:rsidRPr="004B6782" w:rsidRDefault="00E779C8" w:rsidP="00E779C8">
      <w:pPr>
        <w:pStyle w:val="Odstavecseseznamem"/>
        <w:numPr>
          <w:ilvl w:val="0"/>
          <w:numId w:val="2"/>
        </w:numPr>
        <w:spacing w:after="0"/>
      </w:pPr>
      <w:r w:rsidRPr="004B6782">
        <w:t>Upozornění a bezpečnostní opatření pro použití činidel naleznete na konci této příbalové informace.</w:t>
      </w:r>
    </w:p>
    <w:p w:rsidR="00EC542C" w:rsidRPr="004B6782" w:rsidRDefault="00EC542C" w:rsidP="00EC542C">
      <w:pPr>
        <w:spacing w:after="0"/>
        <w:rPr>
          <w:b/>
        </w:rPr>
      </w:pPr>
    </w:p>
    <w:p w:rsidR="00EC542C" w:rsidRPr="004B6782" w:rsidRDefault="00EC542C" w:rsidP="00EC542C">
      <w:pPr>
        <w:spacing w:after="0"/>
        <w:rPr>
          <w:b/>
        </w:rPr>
      </w:pPr>
      <w:r w:rsidRPr="004B6782">
        <w:rPr>
          <w:b/>
        </w:rPr>
        <w:t>Laboratorní postupy</w:t>
      </w:r>
    </w:p>
    <w:p w:rsidR="00EC542C" w:rsidRPr="004B6782" w:rsidRDefault="00EC542C" w:rsidP="00EC542C">
      <w:pPr>
        <w:spacing w:after="0"/>
      </w:pPr>
    </w:p>
    <w:p w:rsidR="00EC542C" w:rsidRPr="004B6782" w:rsidRDefault="00EC542C" w:rsidP="00EC542C">
      <w:pPr>
        <w:pStyle w:val="Odstavecseseznamem"/>
        <w:numPr>
          <w:ilvl w:val="0"/>
          <w:numId w:val="3"/>
        </w:numPr>
        <w:spacing w:after="0"/>
      </w:pPr>
      <w:r w:rsidRPr="004B6782">
        <w:t>Pro dosažení optimálních výsledků přesně dodržujte tento protokol. K zachování přesnosti a</w:t>
      </w:r>
      <w:r w:rsidR="004B6782" w:rsidRPr="004B6782">
        <w:t> </w:t>
      </w:r>
      <w:r w:rsidRPr="004B6782">
        <w:t>správnosti je nezbytné pečlivé pipetování, měření času a promývání během postupu. Pro</w:t>
      </w:r>
      <w:r w:rsidR="004B6782" w:rsidRPr="004B6782">
        <w:t> </w:t>
      </w:r>
      <w:r w:rsidRPr="004B6782">
        <w:t>každý vzorek a kontrolu použijte vždy novou pipetovací špičku.</w:t>
      </w:r>
    </w:p>
    <w:p w:rsidR="00EC542C" w:rsidRPr="004B6782" w:rsidRDefault="00EC542C" w:rsidP="00EC542C">
      <w:pPr>
        <w:pStyle w:val="Odstavecseseznamem"/>
        <w:numPr>
          <w:ilvl w:val="0"/>
          <w:numId w:val="3"/>
        </w:numPr>
        <w:spacing w:after="0"/>
      </w:pPr>
      <w:r w:rsidRPr="004B6782">
        <w:t xml:space="preserve">Roztok TMB nevystavujte silnému světlu nebo jakýmkoli oxidačním činidlům. Pro manipulaci s roztokem TMB používejte čisté skleněné nebo plastové nádoby. </w:t>
      </w:r>
    </w:p>
    <w:p w:rsidR="00EC542C" w:rsidRPr="004B6782" w:rsidRDefault="00EC542C" w:rsidP="00EC542C">
      <w:pPr>
        <w:pStyle w:val="Odstavecseseznamem"/>
        <w:numPr>
          <w:ilvl w:val="0"/>
          <w:numId w:val="3"/>
        </w:numPr>
        <w:spacing w:after="0"/>
      </w:pPr>
      <w:r w:rsidRPr="004B6782">
        <w:t>Všechny odpady je třeba před likvidací řádně dekontaminovat. Obsah likvidujte v souladu s</w:t>
      </w:r>
      <w:r w:rsidR="004B6782" w:rsidRPr="004B6782">
        <w:t> </w:t>
      </w:r>
      <w:r w:rsidRPr="004B6782">
        <w:t>místními, regionálními a státními předpisy.</w:t>
      </w:r>
    </w:p>
    <w:p w:rsidR="00EC542C" w:rsidRPr="004B6782" w:rsidRDefault="00EC542C" w:rsidP="00EC542C">
      <w:pPr>
        <w:pStyle w:val="Odstavecseseznamem"/>
        <w:numPr>
          <w:ilvl w:val="0"/>
          <w:numId w:val="3"/>
        </w:numPr>
        <w:spacing w:after="0"/>
      </w:pPr>
      <w:r w:rsidRPr="004B6782">
        <w:lastRenderedPageBreak/>
        <w:t>Snažte se zabránit kontaminaci složek soupravy. Nenalévejte nepoužit</w:t>
      </w:r>
      <w:r w:rsidR="00E779C8" w:rsidRPr="004B6782">
        <w:t>á</w:t>
      </w:r>
      <w:r w:rsidRPr="004B6782">
        <w:t xml:space="preserve"> </w:t>
      </w:r>
      <w:r w:rsidR="00E779C8" w:rsidRPr="004B6782">
        <w:t>činidla</w:t>
      </w:r>
      <w:r w:rsidRPr="004B6782">
        <w:t xml:space="preserve"> zpět do</w:t>
      </w:r>
      <w:r w:rsidR="004B6782" w:rsidRPr="004B6782">
        <w:t> </w:t>
      </w:r>
      <w:r w:rsidRPr="004B6782">
        <w:t>nádob.</w:t>
      </w:r>
    </w:p>
    <w:p w:rsidR="00EC542C" w:rsidRPr="004B6782" w:rsidRDefault="00EC542C" w:rsidP="00EC542C">
      <w:pPr>
        <w:pStyle w:val="Odstavecseseznamem"/>
        <w:numPr>
          <w:ilvl w:val="0"/>
          <w:numId w:val="3"/>
        </w:numPr>
        <w:spacing w:after="0"/>
      </w:pPr>
      <w:r w:rsidRPr="004B6782">
        <w:t>Nepoužívejte soupravu po datu exspirace.</w:t>
      </w:r>
    </w:p>
    <w:p w:rsidR="00EC542C" w:rsidRPr="004B6782" w:rsidRDefault="00EC542C" w:rsidP="00EC542C">
      <w:pPr>
        <w:spacing w:after="0"/>
      </w:pPr>
    </w:p>
    <w:p w:rsidR="00EC542C" w:rsidRPr="004B6782" w:rsidRDefault="00EC542C" w:rsidP="00EC542C">
      <w:pPr>
        <w:spacing w:after="0"/>
        <w:rPr>
          <w:b/>
        </w:rPr>
      </w:pPr>
      <w:r w:rsidRPr="004B6782">
        <w:rPr>
          <w:b/>
        </w:rPr>
        <w:t>Příprava mycího roztoku</w:t>
      </w:r>
    </w:p>
    <w:p w:rsidR="00EC542C" w:rsidRPr="004B6782" w:rsidRDefault="00EC542C" w:rsidP="00EC542C">
      <w:pPr>
        <w:spacing w:after="0"/>
      </w:pPr>
      <w:bookmarkStart w:id="0" w:name="_Hlk496935506"/>
      <w:r w:rsidRPr="004B6782">
        <w:t xml:space="preserve">Koncentrát mycího roztoku (10x) </w:t>
      </w:r>
      <w:r w:rsidR="003435DD" w:rsidRPr="004B6782">
        <w:t>je nutno</w:t>
      </w:r>
      <w:r w:rsidRPr="004B6782">
        <w:t xml:space="preserve"> zahřát na teplotu 18–26°C</w:t>
      </w:r>
      <w:r w:rsidR="003435DD" w:rsidRPr="004B6782">
        <w:t xml:space="preserve"> a dobře promíchat</w:t>
      </w:r>
      <w:r w:rsidRPr="004B6782">
        <w:t xml:space="preserve">, aby se rozpustily veškeré sražené soli. </w:t>
      </w:r>
      <w:r w:rsidR="006834A5" w:rsidRPr="004B6782">
        <w:t>Koncentrát mycího roztoku</w:t>
      </w:r>
      <w:r w:rsidR="003435DD" w:rsidRPr="004B6782">
        <w:t xml:space="preserve"> musí být </w:t>
      </w:r>
      <w:r w:rsidRPr="004B6782">
        <w:t>před užitím zředěn destilovanou/deionizovanou v poměru 1:</w:t>
      </w:r>
      <w:r w:rsidR="003435DD" w:rsidRPr="004B6782">
        <w:t>1</w:t>
      </w:r>
      <w:r w:rsidRPr="004B6782">
        <w:t xml:space="preserve">0 (např. </w:t>
      </w:r>
      <w:r w:rsidR="003435DD" w:rsidRPr="004B6782">
        <w:t>30</w:t>
      </w:r>
      <w:r w:rsidRPr="004B6782">
        <w:t xml:space="preserve"> ml koncentrátu na 2</w:t>
      </w:r>
      <w:r w:rsidR="003435DD" w:rsidRPr="004B6782">
        <w:t>70</w:t>
      </w:r>
      <w:r w:rsidRPr="004B6782">
        <w:t xml:space="preserve"> ml vody</w:t>
      </w:r>
      <w:r w:rsidR="003435DD" w:rsidRPr="004B6782">
        <w:t xml:space="preserve"> pro každou testovanou destičku</w:t>
      </w:r>
      <w:r w:rsidRPr="004B6782">
        <w:t xml:space="preserve">). </w:t>
      </w:r>
    </w:p>
    <w:p w:rsidR="003435DD" w:rsidRPr="004B6782" w:rsidRDefault="00EC542C" w:rsidP="00EC542C">
      <w:pPr>
        <w:spacing w:after="0"/>
      </w:pPr>
      <w:r w:rsidRPr="004B6782">
        <w:t>Mycí roztok</w:t>
      </w:r>
      <w:r w:rsidR="003435DD" w:rsidRPr="004B6782">
        <w:t xml:space="preserve"> připravený za sterilních podmínek</w:t>
      </w:r>
      <w:r w:rsidRPr="004B6782">
        <w:t xml:space="preserve"> </w:t>
      </w:r>
      <w:r w:rsidR="003435DD" w:rsidRPr="004B6782">
        <w:t>lze</w:t>
      </w:r>
      <w:r w:rsidRPr="004B6782">
        <w:t xml:space="preserve"> při teplotě 2–8°C</w:t>
      </w:r>
      <w:r w:rsidR="003435DD" w:rsidRPr="004B6782">
        <w:t xml:space="preserve"> skladovat</w:t>
      </w:r>
      <w:r w:rsidRPr="004B6782">
        <w:t xml:space="preserve"> po dobu </w:t>
      </w:r>
      <w:r w:rsidR="003435DD" w:rsidRPr="004B6782">
        <w:t>jednoho týdne.</w:t>
      </w:r>
    </w:p>
    <w:bookmarkEnd w:id="0"/>
    <w:p w:rsidR="003435DD" w:rsidRPr="004B6782" w:rsidRDefault="003435DD" w:rsidP="00EC542C">
      <w:pPr>
        <w:spacing w:after="0"/>
      </w:pPr>
    </w:p>
    <w:p w:rsidR="003435DD" w:rsidRPr="004B6782" w:rsidRDefault="003435DD" w:rsidP="00EC542C">
      <w:pPr>
        <w:spacing w:after="0"/>
        <w:rPr>
          <w:b/>
        </w:rPr>
      </w:pPr>
      <w:r w:rsidRPr="004B6782">
        <w:rPr>
          <w:b/>
        </w:rPr>
        <w:t>Příprava vzorků</w:t>
      </w:r>
    </w:p>
    <w:p w:rsidR="00EC542C" w:rsidRPr="004B6782" w:rsidRDefault="003435DD" w:rsidP="00EC542C">
      <w:pPr>
        <w:spacing w:after="0"/>
      </w:pPr>
      <w:r w:rsidRPr="004B6782">
        <w:t>Testovat lze čerstvé nebo zmražené vzorky séra, plazmy nebo mléka. Vzorky plnotučného mléka se před testováním doporučuje 15 minut odstřeďovat na centrifuze při přetížení 2000x g nebo nechat přes noc odstát při teplotě 2–8°C. Vzorky odtučněného mléka není třeba předem upravovat.</w:t>
      </w:r>
    </w:p>
    <w:p w:rsidR="003435DD" w:rsidRPr="004B6782" w:rsidRDefault="003435DD" w:rsidP="00EC542C">
      <w:pPr>
        <w:spacing w:after="0"/>
      </w:pPr>
    </w:p>
    <w:p w:rsidR="003435DD" w:rsidRPr="004B6782" w:rsidRDefault="003435DD" w:rsidP="003435DD">
      <w:pPr>
        <w:rPr>
          <w:b/>
        </w:rPr>
      </w:pPr>
      <w:r w:rsidRPr="004B6782">
        <w:rPr>
          <w:b/>
        </w:rPr>
        <w:t>Postup testu</w:t>
      </w:r>
    </w:p>
    <w:p w:rsidR="003435DD" w:rsidRPr="004B6782" w:rsidRDefault="003435DD" w:rsidP="003435DD">
      <w:r w:rsidRPr="004B6782">
        <w:t>Všechn</w:t>
      </w:r>
      <w:r w:rsidR="00E779C8" w:rsidRPr="004B6782">
        <w:t>a</w:t>
      </w:r>
      <w:r w:rsidRPr="004B6782">
        <w:t xml:space="preserve"> </w:t>
      </w:r>
      <w:r w:rsidR="00E779C8" w:rsidRPr="004B6782">
        <w:t>činidla,</w:t>
      </w:r>
      <w:r w:rsidRPr="004B6782">
        <w:t xml:space="preserve"> použit</w:t>
      </w:r>
      <w:r w:rsidR="00E779C8" w:rsidRPr="004B6782">
        <w:t>á</w:t>
      </w:r>
      <w:r w:rsidRPr="004B6782">
        <w:t xml:space="preserve"> v tomto testu</w:t>
      </w:r>
      <w:r w:rsidR="00E779C8" w:rsidRPr="004B6782">
        <w:t>,</w:t>
      </w:r>
      <w:r w:rsidRPr="004B6782">
        <w:t xml:space="preserve"> musí mít teplotu 18–26°C. </w:t>
      </w:r>
      <w:r w:rsidR="00E779C8" w:rsidRPr="004B6782">
        <w:t>Činidla</w:t>
      </w:r>
      <w:r w:rsidRPr="004B6782">
        <w:t xml:space="preserve"> se míchají jemným obracením nebo kroužením. </w:t>
      </w:r>
    </w:p>
    <w:p w:rsidR="003435DD" w:rsidRPr="004B6782" w:rsidRDefault="003435DD" w:rsidP="003435DD">
      <w:r w:rsidRPr="004B6782">
        <w:rPr>
          <w:b/>
        </w:rPr>
        <w:t>Vzorky séra nebo plazmy</w:t>
      </w:r>
    </w:p>
    <w:p w:rsidR="003435DD" w:rsidRPr="004B6782" w:rsidRDefault="003435DD" w:rsidP="00AB5B7C">
      <w:pPr>
        <w:spacing w:after="0"/>
      </w:pPr>
      <w:r w:rsidRPr="004B6782">
        <w:t>1. Připravte si potažené destičky a zaznamenejte umístění vzorku. Používáte-li pouze část destičky, oddělte množství jamek odpovídající počtu testovaných vzorků. Zbylé jamky uložte spolu s desikantem do přiloženého sáčku se zipovým uzávěrem a vraťte do chladna (2–8°C).</w:t>
      </w:r>
    </w:p>
    <w:p w:rsidR="003435DD" w:rsidRPr="004B6782" w:rsidRDefault="003435DD" w:rsidP="00AB5B7C">
      <w:pPr>
        <w:spacing w:after="0"/>
      </w:pPr>
      <w:r w:rsidRPr="004B6782">
        <w:t>2. Do každé jamky dejte 100 μl ředicího roztoku.</w:t>
      </w:r>
    </w:p>
    <w:p w:rsidR="003435DD" w:rsidRPr="004B6782" w:rsidRDefault="003435DD" w:rsidP="00AB5B7C">
      <w:pPr>
        <w:spacing w:after="0"/>
      </w:pPr>
      <w:r w:rsidRPr="004B6782">
        <w:t>3. D</w:t>
      </w:r>
      <w:r w:rsidR="00E779C8" w:rsidRPr="004B6782">
        <w:t xml:space="preserve">ejte </w:t>
      </w:r>
      <w:r w:rsidRPr="004B6782">
        <w:t>25 μl negativní kontroly (NK)</w:t>
      </w:r>
      <w:r w:rsidR="00E779C8" w:rsidRPr="004B6782">
        <w:t xml:space="preserve"> do duplicitních jamek.</w:t>
      </w:r>
    </w:p>
    <w:p w:rsidR="003435DD" w:rsidRPr="004B6782" w:rsidRDefault="003435DD" w:rsidP="00AB5B7C">
      <w:pPr>
        <w:spacing w:after="0"/>
      </w:pPr>
      <w:r w:rsidRPr="004B6782">
        <w:t>4. D</w:t>
      </w:r>
      <w:r w:rsidR="00E779C8" w:rsidRPr="004B6782">
        <w:t xml:space="preserve">ejte </w:t>
      </w:r>
      <w:r w:rsidRPr="004B6782">
        <w:t>25 μl pozitivní kontroly (PK)</w:t>
      </w:r>
      <w:r w:rsidR="00E779C8" w:rsidRPr="004B6782">
        <w:t xml:space="preserve"> do duplicitních jamek.</w:t>
      </w:r>
    </w:p>
    <w:p w:rsidR="003435DD" w:rsidRPr="004B6782" w:rsidRDefault="003435DD" w:rsidP="00AB5B7C">
      <w:pPr>
        <w:spacing w:after="120"/>
      </w:pPr>
      <w:r w:rsidRPr="004B6782">
        <w:t>5. Do zbývajících jamek dejte 25 μl testovaného vzorku. Pokračujte krokem 6.</w:t>
      </w:r>
    </w:p>
    <w:p w:rsidR="003435DD" w:rsidRPr="004B6782" w:rsidRDefault="003435DD" w:rsidP="003435DD">
      <w:pPr>
        <w:rPr>
          <w:b/>
        </w:rPr>
      </w:pPr>
      <w:r w:rsidRPr="004B6782">
        <w:rPr>
          <w:b/>
        </w:rPr>
        <w:t>Vzorky mléka</w:t>
      </w:r>
    </w:p>
    <w:p w:rsidR="003435DD" w:rsidRPr="004B6782" w:rsidRDefault="003435DD" w:rsidP="00AB5B7C">
      <w:pPr>
        <w:pStyle w:val="Odstavecseseznamem"/>
        <w:numPr>
          <w:ilvl w:val="0"/>
          <w:numId w:val="4"/>
        </w:numPr>
        <w:tabs>
          <w:tab w:val="left" w:pos="284"/>
        </w:tabs>
        <w:ind w:left="0" w:firstLine="0"/>
      </w:pPr>
      <w:r w:rsidRPr="004B6782">
        <w:t>Připravte si potažené destičky a zaznamenejte umístění vzorku. Používáte-li pouze část destičky, oddělte množství jamek odpovídající počtu testovaných vzorků. Zbylé jamky uložte spolu s desikantem do přiloženého sáčku se zipovým uzávěrem a vraťte do chladna (2–8°C).</w:t>
      </w:r>
    </w:p>
    <w:p w:rsidR="003435DD" w:rsidRPr="004B6782" w:rsidRDefault="003435DD" w:rsidP="00AB5B7C">
      <w:pPr>
        <w:pStyle w:val="Odstavecseseznamem"/>
        <w:numPr>
          <w:ilvl w:val="0"/>
          <w:numId w:val="4"/>
        </w:numPr>
        <w:ind w:left="284" w:hanging="284"/>
      </w:pPr>
      <w:r w:rsidRPr="004B6782">
        <w:t>Dejte 100 μl ředicího roztoku do jamek určených pro negativní a pozitivní kontrolní vzorek.</w:t>
      </w:r>
    </w:p>
    <w:p w:rsidR="003435DD" w:rsidRPr="004B6782" w:rsidRDefault="003435DD" w:rsidP="00AB5B7C">
      <w:pPr>
        <w:pStyle w:val="Odstavecseseznamem"/>
        <w:numPr>
          <w:ilvl w:val="0"/>
          <w:numId w:val="4"/>
        </w:numPr>
        <w:ind w:left="284" w:hanging="284"/>
      </w:pPr>
      <w:r w:rsidRPr="004B6782">
        <w:t>D</w:t>
      </w:r>
      <w:r w:rsidR="00E779C8" w:rsidRPr="004B6782">
        <w:t>ejte</w:t>
      </w:r>
      <w:r w:rsidRPr="004B6782">
        <w:t xml:space="preserve"> 25 μl negativní kontroly (NK)</w:t>
      </w:r>
      <w:r w:rsidR="00E779C8" w:rsidRPr="004B6782">
        <w:t xml:space="preserve"> do duplicitních jamek.</w:t>
      </w:r>
    </w:p>
    <w:p w:rsidR="003435DD" w:rsidRPr="004B6782" w:rsidRDefault="003435DD" w:rsidP="00AB5B7C">
      <w:pPr>
        <w:pStyle w:val="Odstavecseseznamem"/>
        <w:numPr>
          <w:ilvl w:val="0"/>
          <w:numId w:val="4"/>
        </w:numPr>
        <w:ind w:left="284" w:hanging="284"/>
      </w:pPr>
      <w:r w:rsidRPr="004B6782">
        <w:t>D</w:t>
      </w:r>
      <w:r w:rsidR="00E779C8" w:rsidRPr="004B6782">
        <w:t xml:space="preserve">ejte </w:t>
      </w:r>
      <w:r w:rsidRPr="004B6782">
        <w:t>25 μl pozitivní kontroly (PK)</w:t>
      </w:r>
      <w:r w:rsidR="00E779C8" w:rsidRPr="004B6782">
        <w:t xml:space="preserve"> do duplicitních jamek.</w:t>
      </w:r>
    </w:p>
    <w:p w:rsidR="003435DD" w:rsidRPr="004B6782" w:rsidRDefault="003435DD" w:rsidP="00AB5B7C">
      <w:pPr>
        <w:pStyle w:val="Odstavecseseznamem"/>
        <w:numPr>
          <w:ilvl w:val="0"/>
          <w:numId w:val="4"/>
        </w:numPr>
        <w:ind w:left="284" w:hanging="284"/>
      </w:pPr>
      <w:r w:rsidRPr="004B6782">
        <w:t>Do zbývajících jamek destičky dejte 100 μl NEŘEDĚNÝCH vzorků mléka (odebraného zpod tukové vrstvy). Pokračujte krokem 6.</w:t>
      </w:r>
    </w:p>
    <w:p w:rsidR="003435DD" w:rsidRPr="004B6782" w:rsidRDefault="003435DD" w:rsidP="003435DD">
      <w:pPr>
        <w:rPr>
          <w:b/>
        </w:rPr>
      </w:pPr>
      <w:r w:rsidRPr="004B6782">
        <w:rPr>
          <w:b/>
        </w:rPr>
        <w:t>Společný postup p</w:t>
      </w:r>
      <w:r w:rsidR="00E779C8" w:rsidRPr="004B6782">
        <w:rPr>
          <w:b/>
        </w:rPr>
        <w:t>r</w:t>
      </w:r>
      <w:r w:rsidRPr="004B6782">
        <w:rPr>
          <w:b/>
        </w:rPr>
        <w:t>o vzorky séra, plazmy a mléka</w:t>
      </w:r>
    </w:p>
    <w:p w:rsidR="003435DD" w:rsidRPr="004B6782" w:rsidRDefault="00554C0C" w:rsidP="005E2591">
      <w:pPr>
        <w:pStyle w:val="Odstavecseseznamem"/>
        <w:numPr>
          <w:ilvl w:val="0"/>
          <w:numId w:val="4"/>
        </w:numPr>
        <w:ind w:left="284" w:hanging="284"/>
      </w:pPr>
      <w:r w:rsidRPr="004B6782">
        <w:t>Obsah jamek mikrodestičky promíchejte jemným poklepáváním na destičku nebo pomocí třepačky mikrodestiček.</w:t>
      </w:r>
    </w:p>
    <w:p w:rsidR="00554C0C" w:rsidRPr="004B6782" w:rsidRDefault="00554C0C" w:rsidP="00AB5B7C">
      <w:pPr>
        <w:pStyle w:val="Odstavecseseznamem"/>
        <w:numPr>
          <w:ilvl w:val="0"/>
          <w:numId w:val="4"/>
        </w:numPr>
        <w:ind w:left="284" w:hanging="284"/>
      </w:pPr>
      <w:r w:rsidRPr="004B6782">
        <w:lastRenderedPageBreak/>
        <w:t xml:space="preserve">Inkubujte po dobu 90 minut (± 5 min.) při teplotě18–26°C nebo přes noc (12-18 hodin) při teplotě 2–8°C. Protokol inkubace přes noc se doporučuje pro hromadné vzorky mléka. V obou protokolech je třeba destičky hermeticky utěsnit nebo zakrýt a inkubovat ve vlhké komoře. </w:t>
      </w:r>
    </w:p>
    <w:p w:rsidR="00554C0C" w:rsidRPr="004B6782" w:rsidRDefault="00554C0C" w:rsidP="00AB5B7C">
      <w:pPr>
        <w:pStyle w:val="Odstavecseseznamem"/>
        <w:numPr>
          <w:ilvl w:val="0"/>
          <w:numId w:val="4"/>
        </w:numPr>
        <w:ind w:left="284" w:hanging="284"/>
      </w:pPr>
      <w:r w:rsidRPr="004B6782">
        <w:t xml:space="preserve">Odstraňte roztok a každou jamku 5x promyjte přibližně 300 µl mycího roztoku.  Destička nesmí mezi umýváním a před přidáním </w:t>
      </w:r>
      <w:r w:rsidR="00E779C8" w:rsidRPr="004B6782">
        <w:t>dalšího činidla</w:t>
      </w:r>
      <w:r w:rsidRPr="004B6782">
        <w:t xml:space="preserve"> vyschnout. Po posledním promytí odstraňte zbývající mycí tekutinu z každé destičky poklepáním na savý materiál.</w:t>
      </w:r>
    </w:p>
    <w:p w:rsidR="00554C0C" w:rsidRPr="004B6782" w:rsidRDefault="00554C0C" w:rsidP="00AB5B7C">
      <w:pPr>
        <w:pStyle w:val="Odstavecseseznamem"/>
        <w:numPr>
          <w:ilvl w:val="0"/>
          <w:numId w:val="4"/>
        </w:numPr>
        <w:ind w:left="284" w:hanging="284"/>
      </w:pPr>
      <w:r w:rsidRPr="004B6782">
        <w:t>Do každé jamky přidejte 100 μl konjugátu.</w:t>
      </w:r>
    </w:p>
    <w:p w:rsidR="00554C0C" w:rsidRPr="004B6782" w:rsidRDefault="00554C0C" w:rsidP="00AB5B7C">
      <w:pPr>
        <w:pStyle w:val="Odstavecseseznamem"/>
        <w:numPr>
          <w:ilvl w:val="0"/>
          <w:numId w:val="4"/>
        </w:numPr>
        <w:ind w:left="284" w:hanging="426"/>
      </w:pPr>
      <w:r w:rsidRPr="004B6782">
        <w:t>Inkubujte po dobu 30 minut (± 2 min.) při teplotě 18–26°C.</w:t>
      </w:r>
    </w:p>
    <w:p w:rsidR="00554C0C" w:rsidRPr="004B6782" w:rsidRDefault="00554C0C" w:rsidP="00AB5B7C">
      <w:pPr>
        <w:pStyle w:val="Odstavecseseznamem"/>
        <w:numPr>
          <w:ilvl w:val="0"/>
          <w:numId w:val="4"/>
        </w:numPr>
        <w:ind w:left="284" w:hanging="426"/>
      </w:pPr>
      <w:r w:rsidRPr="004B6782">
        <w:t>Opakujte krok č. 8.</w:t>
      </w:r>
    </w:p>
    <w:p w:rsidR="00554C0C" w:rsidRPr="004B6782" w:rsidRDefault="00554C0C" w:rsidP="00AB5B7C">
      <w:pPr>
        <w:pStyle w:val="Odstavecseseznamem"/>
        <w:numPr>
          <w:ilvl w:val="0"/>
          <w:numId w:val="4"/>
        </w:numPr>
        <w:ind w:left="284" w:hanging="426"/>
      </w:pPr>
      <w:r w:rsidRPr="004B6782">
        <w:t xml:space="preserve">Do každé jamky přidejte 100 μl roztoku TMB substrátu č. 12. </w:t>
      </w:r>
    </w:p>
    <w:p w:rsidR="00554C0C" w:rsidRPr="004B6782" w:rsidRDefault="00554C0C" w:rsidP="00AB5B7C">
      <w:pPr>
        <w:pStyle w:val="Odstavecseseznamem"/>
        <w:numPr>
          <w:ilvl w:val="0"/>
          <w:numId w:val="4"/>
        </w:numPr>
        <w:ind w:left="284" w:hanging="426"/>
      </w:pPr>
      <w:r w:rsidRPr="004B6782">
        <w:t>Inkubujte po dobu 10 minut (± 1 min.) při teplotě 18–26°C.</w:t>
      </w:r>
    </w:p>
    <w:p w:rsidR="00554C0C" w:rsidRPr="004B6782" w:rsidRDefault="00554C0C" w:rsidP="00AB5B7C">
      <w:pPr>
        <w:pStyle w:val="Odstavecseseznamem"/>
        <w:numPr>
          <w:ilvl w:val="0"/>
          <w:numId w:val="4"/>
        </w:numPr>
        <w:ind w:left="284" w:hanging="426"/>
      </w:pPr>
      <w:r w:rsidRPr="004B6782">
        <w:t>Do každé jamky přidejte 100 μl zastavovacího roztoku č. 3.</w:t>
      </w:r>
    </w:p>
    <w:p w:rsidR="00554C0C" w:rsidRPr="004B6782" w:rsidRDefault="00554C0C" w:rsidP="00AB5B7C">
      <w:pPr>
        <w:pStyle w:val="Odstavecseseznamem"/>
        <w:numPr>
          <w:ilvl w:val="0"/>
          <w:numId w:val="4"/>
        </w:numPr>
        <w:ind w:left="284" w:hanging="426"/>
      </w:pPr>
      <w:r w:rsidRPr="004B6782">
        <w:t xml:space="preserve">Změřte a zaznamenejte absorbanci vzorků a kontrol při vlnové délce 450 nm nebo duálních vlnových délkách 450 a 650 nm. </w:t>
      </w:r>
      <w:r w:rsidR="00517D83" w:rsidRPr="004B6782">
        <w:br/>
      </w:r>
    </w:p>
    <w:p w:rsidR="00554C0C" w:rsidRPr="004B6782" w:rsidRDefault="00554C0C" w:rsidP="00AB5B7C">
      <w:pPr>
        <w:pStyle w:val="Odstavecseseznamem"/>
        <w:numPr>
          <w:ilvl w:val="0"/>
          <w:numId w:val="4"/>
        </w:numPr>
        <w:tabs>
          <w:tab w:val="left" w:pos="284"/>
        </w:tabs>
        <w:ind w:left="0" w:hanging="142"/>
      </w:pPr>
      <w:r w:rsidRPr="004B6782">
        <w:t>Výpočty:</w:t>
      </w:r>
    </w:p>
    <w:p w:rsidR="00554C0C" w:rsidRPr="004B6782" w:rsidRDefault="00554C0C" w:rsidP="00554C0C">
      <w:pPr>
        <w:pStyle w:val="Odstavecseseznamem"/>
      </w:pPr>
    </w:p>
    <w:p w:rsidR="00F82F57" w:rsidRPr="004B6782" w:rsidRDefault="00554C0C" w:rsidP="00517D83">
      <w:pPr>
        <w:pStyle w:val="Odstavecseseznamem"/>
        <w:ind w:left="709" w:hanging="1004"/>
      </w:pPr>
      <w:r w:rsidRPr="004B6782">
        <w:t xml:space="preserve">Kontroly: NKx = </w:t>
      </w:r>
      <w:r w:rsidRPr="004B6782">
        <w:rPr>
          <w:u w:val="single"/>
        </w:rPr>
        <w:t>NK1 A(450) + NK2 A(450)</w:t>
      </w:r>
      <w:r w:rsidR="00517D83" w:rsidRPr="004B6782">
        <w:t xml:space="preserve">                  </w:t>
      </w:r>
      <w:r w:rsidRPr="004B6782">
        <w:t xml:space="preserve">PKx = </w:t>
      </w:r>
      <w:r w:rsidRPr="004B6782">
        <w:rPr>
          <w:u w:val="single"/>
        </w:rPr>
        <w:t>PK1 A(450) + PK2 A(450)</w:t>
      </w:r>
      <w:r w:rsidRPr="004B6782">
        <w:br/>
        <w:t xml:space="preserve">                            2</w:t>
      </w:r>
      <w:r w:rsidR="00517D83" w:rsidRPr="004B6782">
        <w:t xml:space="preserve">                                                                          2</w:t>
      </w:r>
    </w:p>
    <w:p w:rsidR="00F82F57" w:rsidRPr="004B6782" w:rsidRDefault="00F82F57" w:rsidP="00554C0C">
      <w:pPr>
        <w:pStyle w:val="Odstavecseseznamem"/>
        <w:ind w:hanging="153"/>
      </w:pPr>
    </w:p>
    <w:p w:rsidR="00F82F57" w:rsidRPr="004B6782" w:rsidRDefault="00F82F57" w:rsidP="00F82F57">
      <w:pPr>
        <w:pStyle w:val="Odstavecseseznamem"/>
        <w:ind w:left="-284" w:firstLine="142"/>
      </w:pPr>
      <w:r w:rsidRPr="004B6782">
        <w:t>Kritéria validity:</w:t>
      </w:r>
    </w:p>
    <w:p w:rsidR="00F82F57" w:rsidRPr="004B6782" w:rsidRDefault="00F82F57" w:rsidP="00F82F57">
      <w:r w:rsidRPr="004B6782">
        <w:t>N</w:t>
      </w:r>
      <w:r w:rsidR="00BA6367" w:rsidRPr="004B6782">
        <w:t>K</w:t>
      </w:r>
      <w:r w:rsidRPr="004B6782">
        <w:t>x ≤ 0,250                                           P</w:t>
      </w:r>
      <w:r w:rsidR="00BA6367" w:rsidRPr="004B6782">
        <w:t>K</w:t>
      </w:r>
      <w:r w:rsidRPr="004B6782">
        <w:t>x – N</w:t>
      </w:r>
      <w:r w:rsidR="00BA6367" w:rsidRPr="004B6782">
        <w:t>K</w:t>
      </w:r>
      <w:r w:rsidRPr="004B6782">
        <w:t>x ≥ 0,150</w:t>
      </w:r>
      <w:r w:rsidRPr="004B6782">
        <w:br/>
        <w:t>Při neplatnosti výsledků je třeba předpokládat chybu v technice provedení. Doporučuje se důkladně znovu prostudovat př</w:t>
      </w:r>
      <w:r w:rsidR="00FE55D4" w:rsidRPr="004B6782">
        <w:t>íbalovou informaci</w:t>
      </w:r>
      <w:r w:rsidRPr="004B6782">
        <w:t xml:space="preserve"> a test provést znovu.</w:t>
      </w:r>
    </w:p>
    <w:p w:rsidR="00F82F57" w:rsidRPr="004B6782" w:rsidRDefault="00F82F57" w:rsidP="00F82F57">
      <w:pPr>
        <w:pStyle w:val="Odstavecseseznamem"/>
        <w:ind w:left="-284" w:firstLine="142"/>
      </w:pPr>
      <w:r w:rsidRPr="004B6782">
        <w:t>Vzorky:</w:t>
      </w:r>
    </w:p>
    <w:p w:rsidR="00F82F57" w:rsidRPr="004B6782" w:rsidRDefault="00F82F57" w:rsidP="00F82F57">
      <w:pPr>
        <w:pStyle w:val="Odstavecseseznamem"/>
        <w:ind w:left="-284" w:firstLine="142"/>
      </w:pPr>
      <w:r w:rsidRPr="004B6782">
        <w:t xml:space="preserve">S/P = </w:t>
      </w:r>
      <w:r w:rsidRPr="004B6782">
        <w:rPr>
          <w:u w:val="single"/>
        </w:rPr>
        <w:t>A(450) vzorku – NKx</w:t>
      </w:r>
    </w:p>
    <w:p w:rsidR="00554C0C" w:rsidRPr="004B6782" w:rsidRDefault="00F82F57" w:rsidP="00F82F57">
      <w:pPr>
        <w:pStyle w:val="Odstavecseseznamem"/>
        <w:ind w:left="0"/>
      </w:pPr>
      <w:r w:rsidRPr="004B6782">
        <w:t xml:space="preserve">                    PKx – NKx</w:t>
      </w:r>
      <w:r w:rsidRPr="004B6782">
        <w:br/>
      </w:r>
      <w:r w:rsidR="00554C0C" w:rsidRPr="004B6782">
        <w:br/>
      </w:r>
      <w:r w:rsidRPr="004B6782">
        <w:t xml:space="preserve">Přítomnost nebo nepřítomnost protilátek proti BVDV v jednotlivých vzorcích určuje poměr S/P. </w:t>
      </w:r>
    </w:p>
    <w:p w:rsidR="00F82F57" w:rsidRPr="004B6782" w:rsidRDefault="00F82F57" w:rsidP="00F82F57">
      <w:pPr>
        <w:pStyle w:val="Odstavecseseznamem"/>
        <w:ind w:left="0"/>
      </w:pPr>
    </w:p>
    <w:p w:rsidR="00F82F57" w:rsidRPr="004B6782" w:rsidRDefault="00F82F57" w:rsidP="005E2591">
      <w:pPr>
        <w:pStyle w:val="Odstavecseseznamem"/>
        <w:numPr>
          <w:ilvl w:val="0"/>
          <w:numId w:val="4"/>
        </w:numPr>
        <w:tabs>
          <w:tab w:val="left" w:pos="284"/>
        </w:tabs>
        <w:ind w:left="0" w:hanging="142"/>
      </w:pPr>
      <w:r w:rsidRPr="004B6782">
        <w:t>Interpretace:</w:t>
      </w:r>
      <w:r w:rsidRPr="004B6782">
        <w:br/>
      </w:r>
      <w:r w:rsidRPr="004B6782">
        <w:br/>
      </w:r>
      <w:r w:rsidRPr="004B6782">
        <w:rPr>
          <w:b/>
        </w:rPr>
        <w:t>Vzorky séra, plazmy a individuální vzorky mléka:</w:t>
      </w:r>
    </w:p>
    <w:p w:rsidR="00F82F57" w:rsidRPr="004B6782" w:rsidRDefault="00F82F57" w:rsidP="00F82F57">
      <w:pPr>
        <w:pStyle w:val="Odstavecseseznamem"/>
        <w:ind w:left="0"/>
      </w:pPr>
      <w:r w:rsidRPr="004B6782">
        <w:t>Negativní: S/P &lt; 0,20</w:t>
      </w:r>
    </w:p>
    <w:p w:rsidR="00F82F57" w:rsidRPr="004B6782" w:rsidRDefault="00F82F57" w:rsidP="00F82F57">
      <w:pPr>
        <w:pStyle w:val="Odstavecseseznamem"/>
        <w:ind w:left="0"/>
      </w:pPr>
      <w:r w:rsidRPr="004B6782">
        <w:t>Suspektní: 0,20 ≤ S/P &lt; 0,30</w:t>
      </w:r>
    </w:p>
    <w:p w:rsidR="00F82F57" w:rsidRPr="004B6782" w:rsidRDefault="00F82F57" w:rsidP="00F82F57">
      <w:pPr>
        <w:pStyle w:val="Odstavecseseznamem"/>
        <w:ind w:left="0"/>
      </w:pPr>
      <w:r w:rsidRPr="004B6782">
        <w:t>Pozitivní: S/P ≥ 0,30</w:t>
      </w:r>
    </w:p>
    <w:p w:rsidR="00F82F57" w:rsidRPr="004B6782" w:rsidRDefault="00F82F57" w:rsidP="00F82F57">
      <w:pPr>
        <w:pStyle w:val="Odstavecseseznamem"/>
        <w:ind w:left="0"/>
      </w:pPr>
    </w:p>
    <w:p w:rsidR="00F82F57" w:rsidRPr="004B6782" w:rsidRDefault="00F82F57" w:rsidP="00F82F57">
      <w:pPr>
        <w:pStyle w:val="Odstavecseseznamem"/>
        <w:ind w:left="0"/>
        <w:rPr>
          <w:b/>
        </w:rPr>
      </w:pPr>
      <w:r w:rsidRPr="004B6782">
        <w:rPr>
          <w:b/>
        </w:rPr>
        <w:t xml:space="preserve">Hromadné vzorky mléka: </w:t>
      </w:r>
    </w:p>
    <w:p w:rsidR="00F82F57" w:rsidRPr="004B6782" w:rsidRDefault="00F82F57" w:rsidP="00F82F57">
      <w:pPr>
        <w:pStyle w:val="Odstavecseseznamem"/>
        <w:ind w:left="0"/>
      </w:pPr>
      <w:r w:rsidRPr="004B6782">
        <w:t>Negativní: S/P &lt; 0,20</w:t>
      </w:r>
    </w:p>
    <w:p w:rsidR="00F82F57" w:rsidRPr="004B6782" w:rsidRDefault="00F82F57" w:rsidP="00F82F57">
      <w:pPr>
        <w:pStyle w:val="Odstavecseseznamem"/>
        <w:ind w:left="0"/>
      </w:pPr>
      <w:r w:rsidRPr="004B6782">
        <w:t>Pozitivní: S/P ≥ 0,20</w:t>
      </w:r>
    </w:p>
    <w:p w:rsidR="00F82F57" w:rsidRPr="004B6782" w:rsidRDefault="00F82F57" w:rsidP="00F82F57">
      <w:r w:rsidRPr="004B6782">
        <w:rPr>
          <w:b/>
        </w:rPr>
        <w:t>Poznámka</w:t>
      </w:r>
      <w:r w:rsidRPr="004B6782">
        <w:t>: Společnost IDEXX má k dispozici přístrojové a softwarové systémy pro výpočet výsledků a</w:t>
      </w:r>
      <w:r w:rsidR="004B6782" w:rsidRPr="004B6782">
        <w:t> </w:t>
      </w:r>
      <w:r w:rsidRPr="004B6782">
        <w:t>poskytování souhrnů dat.</w:t>
      </w:r>
    </w:p>
    <w:p w:rsidR="00F82F57" w:rsidRPr="004B6782" w:rsidRDefault="00F82F57" w:rsidP="00F82F57">
      <w:pPr>
        <w:spacing w:after="0"/>
        <w:rPr>
          <w:b/>
        </w:rPr>
      </w:pPr>
      <w:r w:rsidRPr="004B6782">
        <w:rPr>
          <w:b/>
        </w:rPr>
        <w:lastRenderedPageBreak/>
        <w:t>Technická podpora:</w:t>
      </w:r>
    </w:p>
    <w:p w:rsidR="00F82F57" w:rsidRPr="004B6782" w:rsidRDefault="00F82F57" w:rsidP="00F82F57">
      <w:pPr>
        <w:spacing w:after="0"/>
      </w:pPr>
      <w:r w:rsidRPr="004B6782">
        <w:t xml:space="preserve">IDEXX USA Tel: +1 800 548 9997 </w:t>
      </w:r>
      <w:r w:rsidR="00BA6367" w:rsidRPr="004B6782">
        <w:t>nebo</w:t>
      </w:r>
      <w:r w:rsidRPr="004B6782">
        <w:t xml:space="preserve"> +1 207 556 4895</w:t>
      </w:r>
    </w:p>
    <w:p w:rsidR="00F82F57" w:rsidRPr="004B6782" w:rsidRDefault="00F82F57" w:rsidP="00F82F57">
      <w:pPr>
        <w:spacing w:after="0"/>
      </w:pPr>
      <w:r w:rsidRPr="004B6782">
        <w:t>IDEXX Evropa Tel: +800 727 43399</w:t>
      </w:r>
    </w:p>
    <w:p w:rsidR="00F82F57" w:rsidRPr="004B6782" w:rsidRDefault="00F82F57" w:rsidP="00F82F57">
      <w:pPr>
        <w:spacing w:after="0"/>
      </w:pPr>
      <w:r w:rsidRPr="004B6782">
        <w:t>Obraťte se na manažera nebo distributora společnosti IDEXX pro Vaši oblast nebo navštivte naši webovou stránku: www.idexx.com/production/contactlpd</w:t>
      </w:r>
    </w:p>
    <w:p w:rsidR="00F82F57" w:rsidRPr="004B6782" w:rsidRDefault="00F82F57" w:rsidP="00F82F57">
      <w:pPr>
        <w:spacing w:after="0"/>
      </w:pPr>
    </w:p>
    <w:p w:rsidR="00F82F57" w:rsidRPr="004B6782" w:rsidRDefault="00F82F57" w:rsidP="00F82F57">
      <w:pPr>
        <w:spacing w:after="0"/>
      </w:pPr>
      <w:r w:rsidRPr="004B6782">
        <w:t>IDEXX a Test With Confidence jsou ochranné známky nebo registrované ochranné známky</w:t>
      </w:r>
    </w:p>
    <w:p w:rsidR="00F82F57" w:rsidRPr="004B6782" w:rsidRDefault="00F82F57" w:rsidP="00F82F57">
      <w:pPr>
        <w:spacing w:after="0"/>
      </w:pPr>
      <w:r w:rsidRPr="004B6782">
        <w:t>společnosti IDEXX Laboratories, Inc. nebo jejích přidružených společností ve Spojených státech amerických a/nebo v jiných zemích.</w:t>
      </w:r>
    </w:p>
    <w:p w:rsidR="00F82F57" w:rsidRPr="004B6782" w:rsidRDefault="00F82F57" w:rsidP="00F82F57">
      <w:pPr>
        <w:spacing w:after="0"/>
      </w:pPr>
      <w:r w:rsidRPr="004B6782">
        <w:t>©20</w:t>
      </w:r>
      <w:r w:rsidR="00FE55D4" w:rsidRPr="004B6782">
        <w:t>22</w:t>
      </w:r>
      <w:r w:rsidRPr="004B6782">
        <w:t xml:space="preserve"> IDEXX Laboratories, Inc. Všechna práva vyhrazena.</w:t>
      </w:r>
    </w:p>
    <w:p w:rsidR="00FE55D4" w:rsidRPr="004B6782" w:rsidRDefault="00FE55D4" w:rsidP="00F82F57">
      <w:pPr>
        <w:spacing w:after="0"/>
      </w:pPr>
    </w:p>
    <w:p w:rsidR="00F82F57" w:rsidRPr="004B6782" w:rsidRDefault="00F82F57" w:rsidP="00F82F57">
      <w:pPr>
        <w:spacing w:after="0"/>
      </w:pPr>
    </w:p>
    <w:p w:rsidR="00F82F57" w:rsidRPr="004B6782" w:rsidRDefault="00FE55D4" w:rsidP="00FE55D4">
      <w:pPr>
        <w:spacing w:after="0"/>
        <w:jc w:val="center"/>
      </w:pPr>
      <w:r w:rsidRPr="004B6782">
        <w:rPr>
          <w:b/>
        </w:rPr>
        <w:t>VAROVÁNÍ</w:t>
      </w:r>
    </w:p>
    <w:p w:rsidR="00F82F57" w:rsidRPr="004B6782" w:rsidRDefault="00F82F57" w:rsidP="00F82F57">
      <w:pPr>
        <w:spacing w:after="0"/>
        <w:rPr>
          <w:b/>
        </w:rPr>
      </w:pPr>
    </w:p>
    <w:p w:rsidR="00517D83" w:rsidRPr="004B6782" w:rsidRDefault="00FE55D4" w:rsidP="00F82F57">
      <w:pPr>
        <w:spacing w:after="0"/>
      </w:pPr>
      <w:r w:rsidRPr="004B6782">
        <w:rPr>
          <w:b/>
          <w:lang w:eastAsia="cs-CZ"/>
        </w:rPr>
        <w:drawing>
          <wp:inline distT="0" distB="0" distL="0" distR="0">
            <wp:extent cx="5752465" cy="30734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307340"/>
                    </a:xfrm>
                    <a:prstGeom prst="rect">
                      <a:avLst/>
                    </a:prstGeom>
                    <a:noFill/>
                    <a:ln>
                      <a:noFill/>
                    </a:ln>
                  </pic:spPr>
                </pic:pic>
              </a:graphicData>
            </a:graphic>
          </wp:inline>
        </w:drawing>
      </w:r>
      <w:r w:rsidRPr="004B6782">
        <w:rPr>
          <w:b/>
        </w:rPr>
        <w:t>Pozitivní kontrola/Negativní kontrola/</w:t>
      </w:r>
      <w:r w:rsidR="00517D83" w:rsidRPr="004B6782">
        <w:rPr>
          <w:b/>
        </w:rPr>
        <w:t>Konjugát</w:t>
      </w:r>
      <w:r w:rsidRPr="004B6782">
        <w:rPr>
          <w:b/>
        </w:rPr>
        <w:t>/Ředící roztok</w:t>
      </w:r>
      <w:r w:rsidR="00517D83" w:rsidRPr="004B6782">
        <w:rPr>
          <w:b/>
        </w:rPr>
        <w:t xml:space="preserve"> – </w:t>
      </w:r>
      <w:r w:rsidRPr="004B6782">
        <w:t>Může vyvolat alergickou kožní reakci. Zamezte vdechování prachu/dýmu/plynu/mlhy/par/aerosolů. Používejte ochranné rukavice. PŘI STYKU S KŮŽÍ: Omyjte velkým množstvím vody s mýdlem. Při podráždění kůže nebo vyrážce: Vyhledejte lékařskou pomoc/ošetření.</w:t>
      </w:r>
    </w:p>
    <w:p w:rsidR="00517D83" w:rsidRPr="004B6782" w:rsidRDefault="00517D83" w:rsidP="00F82F57">
      <w:pPr>
        <w:spacing w:after="0"/>
        <w:rPr>
          <w:b/>
        </w:rPr>
      </w:pPr>
    </w:p>
    <w:p w:rsidR="00FE55D4" w:rsidRPr="004B6782" w:rsidRDefault="00FE55D4" w:rsidP="00F82F57">
      <w:pPr>
        <w:spacing w:after="0"/>
        <w:rPr>
          <w:b/>
        </w:rPr>
      </w:pPr>
      <w:r w:rsidRPr="004B6782">
        <w:rPr>
          <w:b/>
          <w:lang w:eastAsia="cs-CZ"/>
        </w:rPr>
        <w:drawing>
          <wp:inline distT="0" distB="0" distL="0" distR="0">
            <wp:extent cx="5759450" cy="30035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00355"/>
                    </a:xfrm>
                    <a:prstGeom prst="rect">
                      <a:avLst/>
                    </a:prstGeom>
                    <a:noFill/>
                    <a:ln>
                      <a:noFill/>
                    </a:ln>
                  </pic:spPr>
                </pic:pic>
              </a:graphicData>
            </a:graphic>
          </wp:inline>
        </w:drawing>
      </w:r>
    </w:p>
    <w:p w:rsidR="00F82F57" w:rsidRPr="004B6782" w:rsidRDefault="00FE55D4" w:rsidP="00F82F57">
      <w:pPr>
        <w:spacing w:after="0"/>
      </w:pPr>
      <w:r w:rsidRPr="004B6782">
        <w:rPr>
          <w:b/>
        </w:rPr>
        <w:t>Promývací roztok</w:t>
      </w:r>
      <w:r w:rsidR="00F82F57" w:rsidRPr="004B6782">
        <w:t xml:space="preserve"> </w:t>
      </w:r>
      <w:r w:rsidR="00F82F57" w:rsidRPr="004B6782">
        <w:rPr>
          <w:b/>
        </w:rPr>
        <w:t xml:space="preserve">– </w:t>
      </w:r>
      <w:r w:rsidRPr="004B6782">
        <w:t>Může vyvolat alergickou kožní reakci. Škodlivý pro vodní organismy, s dlouhodobými účinky.  Zamezte vdechování mlhy/par. Používejte ochranné rukavice. Při podráždění kůže nebo vyrážce: Vyhledejte lékařskou pomoc/ošetření.</w:t>
      </w:r>
    </w:p>
    <w:p w:rsidR="00F82F57" w:rsidRPr="004B6782" w:rsidRDefault="00F82F57" w:rsidP="00F82F57">
      <w:pPr>
        <w:spacing w:after="0"/>
      </w:pPr>
    </w:p>
    <w:p w:rsidR="00FE55D4" w:rsidRPr="004B6782" w:rsidRDefault="00FE55D4" w:rsidP="00F82F57">
      <w:pPr>
        <w:spacing w:after="0"/>
        <w:rPr>
          <w:b/>
        </w:rPr>
      </w:pPr>
      <w:r w:rsidRPr="004B6782">
        <w:rPr>
          <w:b/>
          <w:lang w:eastAsia="cs-CZ"/>
        </w:rPr>
        <w:drawing>
          <wp:inline distT="0" distB="0" distL="0" distR="0">
            <wp:extent cx="5759450" cy="42291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p w:rsidR="000F5807" w:rsidRPr="004B6782" w:rsidRDefault="00F82F57" w:rsidP="000F5807">
      <w:pPr>
        <w:rPr>
          <w:sz w:val="24"/>
        </w:rPr>
      </w:pPr>
      <w:r w:rsidRPr="004B6782">
        <w:rPr>
          <w:b/>
        </w:rPr>
        <w:t>Zastavovací roztok</w:t>
      </w:r>
      <w:r w:rsidR="00FE55D4" w:rsidRPr="004B6782">
        <w:rPr>
          <w:b/>
        </w:rPr>
        <w:t xml:space="preserve"> – </w:t>
      </w:r>
      <w:r w:rsidR="00FE55D4" w:rsidRPr="004B6782">
        <w:t xml:space="preserve">Způsobuje těžké poleptání kůže a poškození očí. Může vyvolat alergickou kožní reakci. Způsobuje vážné poškození očí. </w:t>
      </w:r>
      <w:r w:rsidR="000F5807" w:rsidRPr="004B6782">
        <w:t>Nevdechujte mlhu/páry. Používejte ochranné rukavice/ochranný oděv/ochranné brýle/obličejový štít.</w:t>
      </w:r>
      <w:r w:rsidR="000F5807" w:rsidRPr="004B6782">
        <w:rPr>
          <w:sz w:val="24"/>
          <w:szCs w:val="24"/>
        </w:rPr>
        <w:t xml:space="preserve"> </w:t>
      </w:r>
      <w:r w:rsidR="000F5807" w:rsidRPr="004B6782">
        <w:t xml:space="preserve">PŘI STYKU S KŮŽÍ (nebo s vlasy): Veškeré kontaminované části oděvu okamžitě svlékněte. Opláchněte kůži vodou. PŘI ZASAŽENÍ OČÍ: Několik minut opatrně vyplachujte vodou. Vyjměte kontaktní čočky, jsou-li </w:t>
      </w:r>
      <w:r w:rsidR="004B6782" w:rsidRPr="004B6782">
        <w:t>nasazeny, a pokud</w:t>
      </w:r>
      <w:r w:rsidR="000F5807" w:rsidRPr="004B6782">
        <w:t xml:space="preserve"> je lze vyjmout snadno. Pokračujte ve vyplachování. Okamžitě volejte TOXIKOLOGICKÉ INFORMAČNÍ STŘEDISKO /lékaře/. Při podráždění kůže nebo vyrážce: Vyhledejte lékařskou pomoc/ošetření.</w:t>
      </w:r>
    </w:p>
    <w:p w:rsidR="00F82F57" w:rsidRPr="004B6782" w:rsidRDefault="00F82F57" w:rsidP="00F82F57">
      <w:pPr>
        <w:spacing w:after="0"/>
      </w:pPr>
    </w:p>
    <w:p w:rsidR="000F5807" w:rsidRPr="004B6782" w:rsidRDefault="000F5807" w:rsidP="000F5807">
      <w:pPr>
        <w:rPr>
          <w:rFonts w:cs="TTE1965D00t00"/>
          <w:b/>
          <w:color w:val="000000"/>
        </w:rPr>
      </w:pPr>
      <w:r w:rsidRPr="004B6782">
        <w:rPr>
          <w:rFonts w:cs="TTE1965D00t00"/>
          <w:b/>
          <w:color w:val="000000"/>
        </w:rPr>
        <w:t>Popis symbolů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45"/>
      </w:tblGrid>
      <w:tr w:rsidR="009D5363" w:rsidRPr="004B6782" w:rsidTr="009E1006">
        <w:tc>
          <w:tcPr>
            <w:tcW w:w="1980" w:type="dxa"/>
          </w:tcPr>
          <w:p w:rsidR="009D5363" w:rsidRPr="004B6782" w:rsidRDefault="009D5363" w:rsidP="000F5807">
            <w:pPr>
              <w:rPr>
                <w:rFonts w:cs="TTE1965D00t00"/>
                <w:b/>
                <w:color w:val="000000"/>
              </w:rPr>
            </w:pPr>
            <w:r w:rsidRPr="004B6782">
              <w:rPr>
                <w:rFonts w:cs="TTE1965D00t00"/>
                <w:color w:val="000000"/>
                <w:lang w:eastAsia="cs-CZ"/>
              </w:rPr>
              <w:drawing>
                <wp:inline distT="0" distB="0" distL="0" distR="0" wp14:anchorId="26E0C6CF" wp14:editId="1837A87A">
                  <wp:extent cx="445135" cy="314960"/>
                  <wp:effectExtent l="0" t="0" r="0" b="889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314960"/>
                          </a:xfrm>
                          <a:prstGeom prst="rect">
                            <a:avLst/>
                          </a:prstGeom>
                          <a:noFill/>
                          <a:ln>
                            <a:noFill/>
                          </a:ln>
                        </pic:spPr>
                      </pic:pic>
                    </a:graphicData>
                  </a:graphic>
                </wp:inline>
              </w:drawing>
            </w:r>
          </w:p>
        </w:tc>
        <w:tc>
          <w:tcPr>
            <w:tcW w:w="5245" w:type="dxa"/>
          </w:tcPr>
          <w:p w:rsidR="009D5363" w:rsidRPr="004B6782" w:rsidRDefault="009D5363" w:rsidP="000F5807">
            <w:pPr>
              <w:rPr>
                <w:rFonts w:cs="TTE1965D00t00"/>
                <w:b/>
                <w:color w:val="000000"/>
              </w:rPr>
            </w:pPr>
            <w:r w:rsidRPr="004B6782">
              <w:rPr>
                <w:rFonts w:cs="TTE1965D00t00"/>
                <w:color w:val="000000"/>
              </w:rPr>
              <w:t>Kód šarže</w:t>
            </w:r>
          </w:p>
        </w:tc>
      </w:tr>
      <w:tr w:rsidR="009D5363" w:rsidRPr="004B6782" w:rsidTr="009E1006">
        <w:tc>
          <w:tcPr>
            <w:tcW w:w="1980" w:type="dxa"/>
          </w:tcPr>
          <w:p w:rsidR="009D5363" w:rsidRPr="004B6782" w:rsidRDefault="009D5363" w:rsidP="000F5807">
            <w:pPr>
              <w:rPr>
                <w:rFonts w:cs="TTE1965D00t00"/>
                <w:b/>
                <w:color w:val="000000"/>
              </w:rPr>
            </w:pPr>
            <w:r w:rsidRPr="004B6782">
              <w:rPr>
                <w:rFonts w:cs="TTE1965D00t00"/>
                <w:color w:val="000000"/>
                <w:lang w:eastAsia="cs-CZ"/>
              </w:rPr>
              <w:drawing>
                <wp:inline distT="0" distB="0" distL="0" distR="0" wp14:anchorId="0948C376" wp14:editId="477F3CDD">
                  <wp:extent cx="522605" cy="42164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421640"/>
                          </a:xfrm>
                          <a:prstGeom prst="rect">
                            <a:avLst/>
                          </a:prstGeom>
                          <a:noFill/>
                          <a:ln>
                            <a:noFill/>
                          </a:ln>
                        </pic:spPr>
                      </pic:pic>
                    </a:graphicData>
                  </a:graphic>
                </wp:inline>
              </w:drawing>
            </w:r>
          </w:p>
        </w:tc>
        <w:tc>
          <w:tcPr>
            <w:tcW w:w="5245" w:type="dxa"/>
          </w:tcPr>
          <w:p w:rsidR="009D5363" w:rsidRPr="004B6782" w:rsidRDefault="009D5363" w:rsidP="000F5807">
            <w:pPr>
              <w:rPr>
                <w:rFonts w:cs="TTE1965D00t00"/>
                <w:b/>
                <w:color w:val="000000"/>
              </w:rPr>
            </w:pPr>
            <w:r w:rsidRPr="004B6782">
              <w:rPr>
                <w:rFonts w:cs="TTE1965D00t00"/>
                <w:color w:val="000000"/>
              </w:rPr>
              <w:t>Sériové číslo</w:t>
            </w:r>
          </w:p>
        </w:tc>
      </w:tr>
      <w:tr w:rsidR="009D5363" w:rsidRPr="004B6782" w:rsidTr="009E1006">
        <w:tc>
          <w:tcPr>
            <w:tcW w:w="1980" w:type="dxa"/>
          </w:tcPr>
          <w:p w:rsidR="009D5363" w:rsidRPr="004B6782" w:rsidRDefault="009D5363" w:rsidP="000F5807">
            <w:pPr>
              <w:rPr>
                <w:rFonts w:cs="TTE1965D00t00"/>
                <w:b/>
                <w:color w:val="000000"/>
              </w:rPr>
            </w:pPr>
            <w:r w:rsidRPr="004B6782">
              <w:rPr>
                <w:rFonts w:cs="TTE1965D00t00"/>
                <w:color w:val="000000"/>
                <w:lang w:eastAsia="cs-CZ"/>
              </w:rPr>
              <w:drawing>
                <wp:inline distT="0" distB="0" distL="0" distR="0" wp14:anchorId="7A56C8C3" wp14:editId="6E60E250">
                  <wp:extent cx="487045" cy="421640"/>
                  <wp:effectExtent l="0" t="0" r="825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045" cy="421640"/>
                          </a:xfrm>
                          <a:prstGeom prst="rect">
                            <a:avLst/>
                          </a:prstGeom>
                          <a:noFill/>
                          <a:ln>
                            <a:noFill/>
                          </a:ln>
                        </pic:spPr>
                      </pic:pic>
                    </a:graphicData>
                  </a:graphic>
                </wp:inline>
              </w:drawing>
            </w:r>
          </w:p>
        </w:tc>
        <w:tc>
          <w:tcPr>
            <w:tcW w:w="5245" w:type="dxa"/>
          </w:tcPr>
          <w:p w:rsidR="009D5363" w:rsidRPr="004B6782" w:rsidRDefault="009D5363" w:rsidP="000F5807">
            <w:pPr>
              <w:rPr>
                <w:rFonts w:cs="TTE1965D00t00"/>
                <w:b/>
                <w:color w:val="000000"/>
              </w:rPr>
            </w:pPr>
            <w:r w:rsidRPr="004B6782">
              <w:rPr>
                <w:rFonts w:cs="TTE1965D00t00"/>
                <w:color w:val="000000"/>
              </w:rPr>
              <w:t>Katalogové číslo</w:t>
            </w:r>
          </w:p>
        </w:tc>
      </w:tr>
      <w:tr w:rsidR="009D5363" w:rsidRPr="004B6782" w:rsidTr="009E1006">
        <w:tc>
          <w:tcPr>
            <w:tcW w:w="1980" w:type="dxa"/>
          </w:tcPr>
          <w:p w:rsidR="009D5363" w:rsidRPr="004B6782" w:rsidRDefault="009D5363" w:rsidP="000F5807">
            <w:pPr>
              <w:rPr>
                <w:rFonts w:cs="TTE1965D00t00"/>
                <w:b/>
                <w:color w:val="000000"/>
              </w:rPr>
            </w:pPr>
            <w:r w:rsidRPr="004B6782">
              <w:rPr>
                <w:rFonts w:cs="TTE1965D00t00"/>
                <w:color w:val="000000"/>
                <w:lang w:eastAsia="cs-CZ"/>
              </w:rPr>
              <w:lastRenderedPageBreak/>
              <w:drawing>
                <wp:inline distT="0" distB="0" distL="0" distR="0" wp14:anchorId="51EEE6D0" wp14:editId="551995E0">
                  <wp:extent cx="563880" cy="409575"/>
                  <wp:effectExtent l="0" t="0" r="7620"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880" cy="409575"/>
                          </a:xfrm>
                          <a:prstGeom prst="rect">
                            <a:avLst/>
                          </a:prstGeom>
                          <a:noFill/>
                          <a:ln>
                            <a:noFill/>
                          </a:ln>
                        </pic:spPr>
                      </pic:pic>
                    </a:graphicData>
                  </a:graphic>
                </wp:inline>
              </w:drawing>
            </w:r>
          </w:p>
        </w:tc>
        <w:tc>
          <w:tcPr>
            <w:tcW w:w="5245" w:type="dxa"/>
          </w:tcPr>
          <w:p w:rsidR="009D5363" w:rsidRPr="004B6782" w:rsidRDefault="009D5363" w:rsidP="000F5807">
            <w:pPr>
              <w:rPr>
                <w:rFonts w:cs="TTE1965D00t00"/>
                <w:b/>
                <w:color w:val="000000"/>
              </w:rPr>
            </w:pPr>
            <w:r w:rsidRPr="004B6782">
              <w:rPr>
                <w:rFonts w:cs="TTE1965D00t00"/>
                <w:color w:val="000000"/>
              </w:rPr>
              <w:t>Diagnostika in vitro</w:t>
            </w:r>
          </w:p>
        </w:tc>
      </w:tr>
      <w:tr w:rsidR="009D5363" w:rsidRPr="004B6782" w:rsidTr="009E1006">
        <w:tc>
          <w:tcPr>
            <w:tcW w:w="1980" w:type="dxa"/>
          </w:tcPr>
          <w:p w:rsidR="009D5363" w:rsidRPr="004B6782" w:rsidRDefault="009D5363" w:rsidP="000F5807">
            <w:pPr>
              <w:rPr>
                <w:rFonts w:cs="TTE1965D00t00"/>
                <w:b/>
                <w:color w:val="000000"/>
              </w:rPr>
            </w:pPr>
            <w:r w:rsidRPr="004B6782">
              <w:rPr>
                <w:rFonts w:cs="TTE1965D00t00"/>
                <w:color w:val="000000"/>
                <w:lang w:eastAsia="cs-CZ"/>
              </w:rPr>
              <w:drawing>
                <wp:inline distT="0" distB="0" distL="0" distR="0" wp14:anchorId="2E06A586" wp14:editId="5008BFE6">
                  <wp:extent cx="563880" cy="445135"/>
                  <wp:effectExtent l="0" t="0" r="762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445135"/>
                          </a:xfrm>
                          <a:prstGeom prst="rect">
                            <a:avLst/>
                          </a:prstGeom>
                          <a:noFill/>
                          <a:ln>
                            <a:noFill/>
                          </a:ln>
                        </pic:spPr>
                      </pic:pic>
                    </a:graphicData>
                  </a:graphic>
                </wp:inline>
              </w:drawing>
            </w:r>
          </w:p>
        </w:tc>
        <w:tc>
          <w:tcPr>
            <w:tcW w:w="5245" w:type="dxa"/>
          </w:tcPr>
          <w:p w:rsidR="009D5363" w:rsidRPr="004B6782" w:rsidRDefault="009D5363" w:rsidP="000F5807">
            <w:pPr>
              <w:rPr>
                <w:rFonts w:cs="TTE1965D00t00"/>
                <w:b/>
                <w:color w:val="000000"/>
              </w:rPr>
            </w:pPr>
            <w:r w:rsidRPr="004B6782">
              <w:rPr>
                <w:rFonts w:cs="TTE1965D00t00"/>
                <w:color w:val="000000"/>
              </w:rPr>
              <w:t>Autorizovaný zástupce v Evropském společenství</w:t>
            </w:r>
          </w:p>
        </w:tc>
      </w:tr>
      <w:tr w:rsidR="009D5363" w:rsidRPr="004B6782" w:rsidTr="009E1006">
        <w:tc>
          <w:tcPr>
            <w:tcW w:w="1980" w:type="dxa"/>
          </w:tcPr>
          <w:p w:rsidR="009D5363" w:rsidRPr="004B6782" w:rsidRDefault="009D5363" w:rsidP="000F5807">
            <w:pPr>
              <w:rPr>
                <w:rFonts w:cs="TTE1965D00t00"/>
                <w:b/>
                <w:color w:val="000000"/>
              </w:rPr>
            </w:pPr>
            <w:r w:rsidRPr="004B6782">
              <w:rPr>
                <w:rFonts w:cs="TTE1965D00t00"/>
                <w:color w:val="000000"/>
                <w:lang w:eastAsia="cs-CZ"/>
              </w:rPr>
              <w:drawing>
                <wp:inline distT="0" distB="0" distL="0" distR="0" wp14:anchorId="79446774" wp14:editId="5041C028">
                  <wp:extent cx="754380" cy="379730"/>
                  <wp:effectExtent l="0" t="0" r="7620" b="127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4380" cy="379730"/>
                          </a:xfrm>
                          <a:prstGeom prst="rect">
                            <a:avLst/>
                          </a:prstGeom>
                          <a:noFill/>
                          <a:ln>
                            <a:noFill/>
                          </a:ln>
                        </pic:spPr>
                      </pic:pic>
                    </a:graphicData>
                  </a:graphic>
                </wp:inline>
              </w:drawing>
            </w:r>
          </w:p>
        </w:tc>
        <w:tc>
          <w:tcPr>
            <w:tcW w:w="5245" w:type="dxa"/>
          </w:tcPr>
          <w:p w:rsidR="009D5363" w:rsidRPr="004B6782" w:rsidRDefault="009D5363" w:rsidP="000F5807">
            <w:pPr>
              <w:rPr>
                <w:rFonts w:cs="TTE1965D00t00"/>
                <w:b/>
                <w:color w:val="000000"/>
              </w:rPr>
            </w:pPr>
            <w:r w:rsidRPr="004B6782">
              <w:rPr>
                <w:rFonts w:cs="TTE1965D00t00"/>
                <w:color w:val="000000"/>
              </w:rPr>
              <w:t>Pozitivní kontrolní vzorek</w:t>
            </w:r>
          </w:p>
        </w:tc>
      </w:tr>
      <w:tr w:rsidR="009D5363" w:rsidRPr="004B6782" w:rsidTr="009E1006">
        <w:tc>
          <w:tcPr>
            <w:tcW w:w="1980" w:type="dxa"/>
          </w:tcPr>
          <w:p w:rsidR="009D5363" w:rsidRPr="004B6782" w:rsidRDefault="009D5363" w:rsidP="000F5807">
            <w:pPr>
              <w:rPr>
                <w:rFonts w:cs="TTE1965D00t00"/>
                <w:b/>
                <w:color w:val="000000"/>
              </w:rPr>
            </w:pPr>
            <w:r w:rsidRPr="004B6782">
              <w:rPr>
                <w:rFonts w:cs="TTE1965D00t00"/>
                <w:color w:val="000000"/>
                <w:lang w:eastAsia="cs-CZ"/>
              </w:rPr>
              <w:drawing>
                <wp:inline distT="0" distB="0" distL="0" distR="0" wp14:anchorId="68524AE8" wp14:editId="3810A596">
                  <wp:extent cx="789940" cy="297180"/>
                  <wp:effectExtent l="0" t="0" r="0" b="762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940" cy="297180"/>
                          </a:xfrm>
                          <a:prstGeom prst="rect">
                            <a:avLst/>
                          </a:prstGeom>
                          <a:noFill/>
                          <a:ln>
                            <a:noFill/>
                          </a:ln>
                        </pic:spPr>
                      </pic:pic>
                    </a:graphicData>
                  </a:graphic>
                </wp:inline>
              </w:drawing>
            </w:r>
          </w:p>
        </w:tc>
        <w:tc>
          <w:tcPr>
            <w:tcW w:w="5245" w:type="dxa"/>
          </w:tcPr>
          <w:p w:rsidR="009D5363" w:rsidRPr="004B6782" w:rsidRDefault="009D5363" w:rsidP="000F5807">
            <w:pPr>
              <w:rPr>
                <w:rFonts w:cs="TTE1965D00t00"/>
                <w:b/>
                <w:color w:val="000000"/>
              </w:rPr>
            </w:pPr>
            <w:r w:rsidRPr="004B6782">
              <w:rPr>
                <w:rFonts w:cs="TTE1965D00t00"/>
                <w:color w:val="000000"/>
              </w:rPr>
              <w:t>Negativní kontrolní vzorek</w:t>
            </w:r>
          </w:p>
        </w:tc>
      </w:tr>
      <w:tr w:rsidR="009D5363" w:rsidRPr="004B6782" w:rsidTr="009E1006">
        <w:tc>
          <w:tcPr>
            <w:tcW w:w="1980" w:type="dxa"/>
          </w:tcPr>
          <w:p w:rsidR="009D5363" w:rsidRPr="004B6782" w:rsidRDefault="009D5363" w:rsidP="000F5807">
            <w:pPr>
              <w:rPr>
                <w:rFonts w:cs="TTE1965D00t00"/>
                <w:b/>
                <w:color w:val="000000"/>
              </w:rPr>
            </w:pPr>
            <w:r w:rsidRPr="004B6782">
              <w:rPr>
                <w:rFonts w:cs="TTE1965D00t00"/>
                <w:color w:val="000000"/>
                <w:lang w:eastAsia="cs-CZ"/>
              </w:rPr>
              <w:drawing>
                <wp:inline distT="0" distB="0" distL="0" distR="0" wp14:anchorId="4347AF3A" wp14:editId="301A09D4">
                  <wp:extent cx="445135" cy="58166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581660"/>
                          </a:xfrm>
                          <a:prstGeom prst="rect">
                            <a:avLst/>
                          </a:prstGeom>
                          <a:noFill/>
                          <a:ln>
                            <a:noFill/>
                          </a:ln>
                        </pic:spPr>
                      </pic:pic>
                    </a:graphicData>
                  </a:graphic>
                </wp:inline>
              </w:drawing>
            </w:r>
          </w:p>
        </w:tc>
        <w:tc>
          <w:tcPr>
            <w:tcW w:w="5245" w:type="dxa"/>
          </w:tcPr>
          <w:p w:rsidR="009D7880" w:rsidRPr="004B6782" w:rsidRDefault="009D7880" w:rsidP="000F5807">
            <w:pPr>
              <w:rPr>
                <w:rFonts w:cs="TTE1965D00t00"/>
                <w:color w:val="000000"/>
              </w:rPr>
            </w:pPr>
          </w:p>
          <w:p w:rsidR="009D5363" w:rsidRPr="004B6782" w:rsidRDefault="009D5363" w:rsidP="000F5807">
            <w:pPr>
              <w:rPr>
                <w:rFonts w:cs="TTE1965D00t00"/>
                <w:b/>
                <w:color w:val="000000"/>
              </w:rPr>
            </w:pPr>
            <w:r w:rsidRPr="004B6782">
              <w:rPr>
                <w:rFonts w:cs="TTE1965D00t00"/>
                <w:color w:val="000000"/>
              </w:rPr>
              <w:t>Použijte do</w:t>
            </w:r>
          </w:p>
        </w:tc>
      </w:tr>
      <w:tr w:rsidR="009D5363" w:rsidRPr="004B6782" w:rsidTr="009E1006">
        <w:tc>
          <w:tcPr>
            <w:tcW w:w="1980" w:type="dxa"/>
          </w:tcPr>
          <w:p w:rsidR="009D5363" w:rsidRPr="004B6782" w:rsidRDefault="009D5363" w:rsidP="000F5807">
            <w:pPr>
              <w:rPr>
                <w:rFonts w:cs="TTE1965D00t00"/>
                <w:color w:val="000000"/>
              </w:rPr>
            </w:pPr>
            <w:r w:rsidRPr="004B6782">
              <w:rPr>
                <w:rFonts w:cs="TTE1965D00t00"/>
                <w:color w:val="000000"/>
                <w:lang w:eastAsia="cs-CZ"/>
              </w:rPr>
              <w:drawing>
                <wp:inline distT="0" distB="0" distL="0" distR="0" wp14:anchorId="1DC8CDC3" wp14:editId="3B8A6551">
                  <wp:extent cx="487045" cy="487045"/>
                  <wp:effectExtent l="0" t="0"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p>
        </w:tc>
        <w:tc>
          <w:tcPr>
            <w:tcW w:w="5245" w:type="dxa"/>
          </w:tcPr>
          <w:p w:rsidR="009D7880" w:rsidRPr="004B6782" w:rsidRDefault="009D7880" w:rsidP="000F5807">
            <w:pPr>
              <w:rPr>
                <w:rFonts w:cs="TTE1965D00t00"/>
                <w:color w:val="000000"/>
              </w:rPr>
            </w:pPr>
          </w:p>
          <w:p w:rsidR="009D5363" w:rsidRPr="004B6782" w:rsidRDefault="009D5363" w:rsidP="000F5807">
            <w:pPr>
              <w:rPr>
                <w:rFonts w:cs="TTE1965D00t00"/>
                <w:color w:val="000000"/>
              </w:rPr>
            </w:pPr>
            <w:r w:rsidRPr="004B6782">
              <w:rPr>
                <w:rFonts w:cs="TTE1965D00t00"/>
                <w:color w:val="000000"/>
              </w:rPr>
              <w:t>Datum výroby</w:t>
            </w:r>
          </w:p>
        </w:tc>
      </w:tr>
      <w:tr w:rsidR="009D5363" w:rsidRPr="004B6782" w:rsidTr="009E1006">
        <w:tc>
          <w:tcPr>
            <w:tcW w:w="1980" w:type="dxa"/>
          </w:tcPr>
          <w:p w:rsidR="009D5363" w:rsidRPr="004B6782" w:rsidRDefault="009D5363" w:rsidP="000F5807">
            <w:pPr>
              <w:rPr>
                <w:rFonts w:cs="TTE1965D00t00"/>
                <w:color w:val="000000"/>
              </w:rPr>
            </w:pPr>
            <w:r w:rsidRPr="004B6782">
              <w:rPr>
                <w:rFonts w:cs="TTE1965D00t00"/>
                <w:color w:val="000000"/>
                <w:lang w:eastAsia="cs-CZ"/>
              </w:rPr>
              <w:drawing>
                <wp:inline distT="0" distB="0" distL="0" distR="0" wp14:anchorId="4D648666" wp14:editId="2484C74E">
                  <wp:extent cx="487045" cy="611505"/>
                  <wp:effectExtent l="0" t="0" r="825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045" cy="611505"/>
                          </a:xfrm>
                          <a:prstGeom prst="rect">
                            <a:avLst/>
                          </a:prstGeom>
                          <a:noFill/>
                          <a:ln>
                            <a:noFill/>
                          </a:ln>
                        </pic:spPr>
                      </pic:pic>
                    </a:graphicData>
                  </a:graphic>
                </wp:inline>
              </w:drawing>
            </w:r>
          </w:p>
        </w:tc>
        <w:tc>
          <w:tcPr>
            <w:tcW w:w="5245" w:type="dxa"/>
          </w:tcPr>
          <w:p w:rsidR="009D7880" w:rsidRPr="004B6782" w:rsidRDefault="009D7880" w:rsidP="000F5807">
            <w:pPr>
              <w:rPr>
                <w:rFonts w:cs="TTE1965D00t00"/>
                <w:color w:val="000000"/>
              </w:rPr>
            </w:pPr>
          </w:p>
          <w:p w:rsidR="009D5363" w:rsidRPr="004B6782" w:rsidRDefault="009D5363" w:rsidP="000F5807">
            <w:pPr>
              <w:rPr>
                <w:rFonts w:cs="TTE1965D00t00"/>
                <w:color w:val="000000"/>
              </w:rPr>
            </w:pPr>
            <w:r w:rsidRPr="004B6782">
              <w:rPr>
                <w:rFonts w:cs="TTE1965D00t00"/>
                <w:color w:val="000000"/>
              </w:rPr>
              <w:t>Výrobce</w:t>
            </w:r>
          </w:p>
        </w:tc>
      </w:tr>
      <w:tr w:rsidR="009D5363" w:rsidRPr="004B6782" w:rsidTr="009E1006">
        <w:tc>
          <w:tcPr>
            <w:tcW w:w="1980" w:type="dxa"/>
          </w:tcPr>
          <w:p w:rsidR="009D5363" w:rsidRPr="004B6782" w:rsidRDefault="009D5363" w:rsidP="000F5807">
            <w:pPr>
              <w:rPr>
                <w:rFonts w:cs="TTE1965D00t00"/>
                <w:color w:val="000000"/>
              </w:rPr>
            </w:pPr>
            <w:r w:rsidRPr="004B6782">
              <w:rPr>
                <w:rFonts w:cs="TTE1965D00t00"/>
                <w:color w:val="000000"/>
                <w:lang w:eastAsia="cs-CZ"/>
              </w:rPr>
              <w:drawing>
                <wp:inline distT="0" distB="0" distL="0" distR="0" wp14:anchorId="0F560625" wp14:editId="72366DE3">
                  <wp:extent cx="445135" cy="647065"/>
                  <wp:effectExtent l="0" t="0" r="0" b="63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35" cy="647065"/>
                          </a:xfrm>
                          <a:prstGeom prst="rect">
                            <a:avLst/>
                          </a:prstGeom>
                          <a:noFill/>
                          <a:ln>
                            <a:noFill/>
                          </a:ln>
                        </pic:spPr>
                      </pic:pic>
                    </a:graphicData>
                  </a:graphic>
                </wp:inline>
              </w:drawing>
            </w:r>
          </w:p>
        </w:tc>
        <w:tc>
          <w:tcPr>
            <w:tcW w:w="5245" w:type="dxa"/>
          </w:tcPr>
          <w:p w:rsidR="009D7880" w:rsidRPr="004B6782" w:rsidRDefault="009D7880" w:rsidP="000F5807">
            <w:pPr>
              <w:rPr>
                <w:rFonts w:cs="TTE1965D00t00"/>
                <w:color w:val="000000"/>
              </w:rPr>
            </w:pPr>
          </w:p>
          <w:p w:rsidR="009D5363" w:rsidRPr="004B6782" w:rsidRDefault="009D5363" w:rsidP="000F5807">
            <w:pPr>
              <w:rPr>
                <w:rFonts w:cs="TTE1965D00t00"/>
                <w:color w:val="000000"/>
              </w:rPr>
            </w:pPr>
            <w:r w:rsidRPr="004B6782">
              <w:rPr>
                <w:rFonts w:cs="TTE1965D00t00"/>
                <w:color w:val="000000"/>
              </w:rPr>
              <w:t>Teplotní omezení</w:t>
            </w:r>
          </w:p>
        </w:tc>
      </w:tr>
      <w:tr w:rsidR="009D5363" w:rsidRPr="004B6782" w:rsidTr="009E1006">
        <w:tc>
          <w:tcPr>
            <w:tcW w:w="1980" w:type="dxa"/>
          </w:tcPr>
          <w:p w:rsidR="009D5363" w:rsidRPr="004B6782" w:rsidRDefault="009D7880" w:rsidP="000F5807">
            <w:pPr>
              <w:rPr>
                <w:rFonts w:cs="TTE1965D00t00"/>
                <w:color w:val="000000"/>
              </w:rPr>
            </w:pPr>
            <w:r w:rsidRPr="004B6782">
              <w:rPr>
                <w:rFonts w:cs="TTE1965D00t00"/>
                <w:color w:val="000000"/>
                <w:lang w:eastAsia="cs-CZ"/>
              </w:rPr>
              <w:drawing>
                <wp:inline distT="0" distB="0" distL="0" distR="0" wp14:anchorId="051882BD" wp14:editId="185C4D2D">
                  <wp:extent cx="599440" cy="647065"/>
                  <wp:effectExtent l="0" t="0" r="0" b="6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440" cy="647065"/>
                          </a:xfrm>
                          <a:prstGeom prst="rect">
                            <a:avLst/>
                          </a:prstGeom>
                          <a:noFill/>
                          <a:ln>
                            <a:noFill/>
                          </a:ln>
                        </pic:spPr>
                      </pic:pic>
                    </a:graphicData>
                  </a:graphic>
                </wp:inline>
              </w:drawing>
            </w:r>
          </w:p>
        </w:tc>
        <w:tc>
          <w:tcPr>
            <w:tcW w:w="5245" w:type="dxa"/>
          </w:tcPr>
          <w:p w:rsidR="009D7880" w:rsidRPr="004B6782" w:rsidRDefault="009D7880" w:rsidP="000F5807">
            <w:pPr>
              <w:rPr>
                <w:rFonts w:cs="TTE1965D00t00"/>
                <w:color w:val="000000"/>
              </w:rPr>
            </w:pPr>
          </w:p>
          <w:p w:rsidR="009D5363" w:rsidRPr="004B6782" w:rsidRDefault="009D7880" w:rsidP="000F5807">
            <w:pPr>
              <w:rPr>
                <w:rFonts w:cs="TTE1965D00t00"/>
                <w:color w:val="000000"/>
              </w:rPr>
            </w:pPr>
            <w:r w:rsidRPr="004B6782">
              <w:rPr>
                <w:rFonts w:cs="TTE1965D00t00"/>
                <w:color w:val="000000"/>
              </w:rPr>
              <w:t>Čtěte návod na použití</w:t>
            </w:r>
          </w:p>
        </w:tc>
      </w:tr>
      <w:tr w:rsidR="009D7880" w:rsidRPr="004B6782" w:rsidTr="009E1006">
        <w:tc>
          <w:tcPr>
            <w:tcW w:w="1980" w:type="dxa"/>
          </w:tcPr>
          <w:p w:rsidR="009D7880" w:rsidRPr="004B6782" w:rsidRDefault="009D7880" w:rsidP="000F5807">
            <w:pPr>
              <w:rPr>
                <w:rFonts w:cs="TTE1965D00t00"/>
                <w:color w:val="000000"/>
              </w:rPr>
            </w:pPr>
            <w:r w:rsidRPr="004B6782">
              <w:rPr>
                <w:rFonts w:cs="Swiss721BT-Bold"/>
                <w:b/>
                <w:bCs/>
                <w:color w:val="000000"/>
                <w:sz w:val="24"/>
                <w:szCs w:val="24"/>
                <w:lang w:eastAsia="cs-CZ"/>
              </w:rPr>
              <w:drawing>
                <wp:inline distT="0" distB="0" distL="0" distR="0" wp14:anchorId="2E300AA6" wp14:editId="041558DA">
                  <wp:extent cx="332740" cy="302895"/>
                  <wp:effectExtent l="0" t="0" r="0" b="190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740" cy="302895"/>
                          </a:xfrm>
                          <a:prstGeom prst="rect">
                            <a:avLst/>
                          </a:prstGeom>
                          <a:noFill/>
                          <a:ln>
                            <a:noFill/>
                          </a:ln>
                        </pic:spPr>
                      </pic:pic>
                    </a:graphicData>
                  </a:graphic>
                </wp:inline>
              </w:drawing>
            </w:r>
          </w:p>
        </w:tc>
        <w:tc>
          <w:tcPr>
            <w:tcW w:w="5245" w:type="dxa"/>
          </w:tcPr>
          <w:p w:rsidR="009D7880" w:rsidRPr="004B6782" w:rsidRDefault="009D7880" w:rsidP="000F5807">
            <w:pPr>
              <w:rPr>
                <w:rFonts w:cs="TTE1965D00t00"/>
                <w:color w:val="000000"/>
              </w:rPr>
            </w:pPr>
            <w:r w:rsidRPr="004B6782">
              <w:rPr>
                <w:rFonts w:cs="Swiss721BT-Bold"/>
                <w:bCs/>
                <w:color w:val="000000"/>
              </w:rPr>
              <w:t>Větší změna v návodu na použití</w:t>
            </w:r>
          </w:p>
        </w:tc>
      </w:tr>
    </w:tbl>
    <w:p w:rsidR="000F5807" w:rsidRPr="004B6782" w:rsidRDefault="000F5807" w:rsidP="000F5807">
      <w:pPr>
        <w:autoSpaceDE w:val="0"/>
        <w:autoSpaceDN w:val="0"/>
        <w:adjustRightInd w:val="0"/>
        <w:spacing w:after="0" w:line="240" w:lineRule="auto"/>
        <w:ind w:left="2268" w:hanging="2268"/>
        <w:jc w:val="both"/>
        <w:rPr>
          <w:rFonts w:cs="TTE1965D00t00"/>
          <w:color w:val="000000"/>
        </w:rPr>
      </w:pPr>
    </w:p>
    <w:p w:rsidR="000F5807" w:rsidRPr="004B6782" w:rsidRDefault="000F5807" w:rsidP="00F82F57">
      <w:pPr>
        <w:spacing w:after="0"/>
      </w:pPr>
      <w:r w:rsidRPr="004B6782">
        <w:rPr>
          <w:rFonts w:cs="Swiss721BT-Bold"/>
          <w:bCs/>
          <w:color w:val="000000"/>
          <w:sz w:val="24"/>
          <w:szCs w:val="24"/>
        </w:rPr>
        <w:t xml:space="preserve"> </w:t>
      </w:r>
      <w:r w:rsidRPr="004B6782">
        <w:rPr>
          <w:rFonts w:cs="Swiss721BT-Bold"/>
          <w:bCs/>
          <w:color w:val="000000"/>
          <w:sz w:val="24"/>
          <w:szCs w:val="24"/>
        </w:rPr>
        <w:tab/>
      </w:r>
      <w:r w:rsidRPr="004B6782">
        <w:rPr>
          <w:rFonts w:cs="Swiss721BT-Bold"/>
          <w:bCs/>
          <w:color w:val="000000"/>
          <w:sz w:val="24"/>
          <w:szCs w:val="24"/>
        </w:rPr>
        <w:tab/>
      </w:r>
      <w:r w:rsidRPr="004B6782">
        <w:rPr>
          <w:rFonts w:cs="Swiss721BT-Bold"/>
          <w:bCs/>
          <w:color w:val="000000"/>
          <w:sz w:val="24"/>
          <w:szCs w:val="24"/>
        </w:rPr>
        <w:tab/>
      </w:r>
    </w:p>
    <w:p w:rsidR="00F82F57" w:rsidRPr="004B6782" w:rsidRDefault="00F82F57" w:rsidP="000F5807">
      <w:pPr>
        <w:spacing w:after="0"/>
        <w:jc w:val="right"/>
      </w:pPr>
      <w:r w:rsidRPr="004B6782">
        <w:t>IDEXX Laboratories, Inc.</w:t>
      </w:r>
    </w:p>
    <w:p w:rsidR="00F82F57" w:rsidRPr="004B6782" w:rsidRDefault="00F82F57" w:rsidP="000F5807">
      <w:pPr>
        <w:spacing w:after="0"/>
        <w:jc w:val="right"/>
      </w:pPr>
      <w:r w:rsidRPr="004B6782">
        <w:t>One IDEXX Drive</w:t>
      </w:r>
    </w:p>
    <w:p w:rsidR="00F82F57" w:rsidRPr="004B6782" w:rsidRDefault="00F82F57" w:rsidP="000F5807">
      <w:pPr>
        <w:spacing w:after="0"/>
        <w:jc w:val="right"/>
      </w:pPr>
      <w:r w:rsidRPr="004B6782">
        <w:t>Westbrook, Maine 04092</w:t>
      </w:r>
    </w:p>
    <w:p w:rsidR="00F82F57" w:rsidRPr="004B6782" w:rsidRDefault="00F82F57" w:rsidP="000F5807">
      <w:pPr>
        <w:spacing w:after="0"/>
        <w:jc w:val="right"/>
      </w:pPr>
      <w:r w:rsidRPr="004B6782">
        <w:t>USA</w:t>
      </w:r>
    </w:p>
    <w:p w:rsidR="00F82F57" w:rsidRPr="004B6782" w:rsidRDefault="00F82F57" w:rsidP="000F5807">
      <w:pPr>
        <w:spacing w:after="0"/>
        <w:jc w:val="right"/>
      </w:pPr>
    </w:p>
    <w:p w:rsidR="00F82F57" w:rsidRPr="004B6782" w:rsidRDefault="00F82F57" w:rsidP="000F5807">
      <w:pPr>
        <w:spacing w:after="0"/>
        <w:jc w:val="right"/>
        <w:rPr>
          <w:i/>
        </w:rPr>
      </w:pPr>
      <w:r w:rsidRPr="004B6782">
        <w:rPr>
          <w:i/>
        </w:rPr>
        <w:t>Výrobce</w:t>
      </w:r>
    </w:p>
    <w:p w:rsidR="00517D83" w:rsidRPr="004B6782" w:rsidRDefault="00517D83" w:rsidP="000F5807">
      <w:pPr>
        <w:spacing w:after="0"/>
        <w:jc w:val="right"/>
      </w:pPr>
      <w:r w:rsidRPr="004B6782">
        <w:t>IDEXX Switzerland AG</w:t>
      </w:r>
    </w:p>
    <w:p w:rsidR="00517D83" w:rsidRPr="004B6782" w:rsidRDefault="00517D83" w:rsidP="000F5807">
      <w:pPr>
        <w:spacing w:after="0"/>
        <w:jc w:val="right"/>
      </w:pPr>
      <w:r w:rsidRPr="004B6782">
        <w:t>Stationsstrasse 12</w:t>
      </w:r>
    </w:p>
    <w:p w:rsidR="00517D83" w:rsidRPr="004B6782" w:rsidRDefault="00517D83" w:rsidP="000F5807">
      <w:pPr>
        <w:spacing w:after="0"/>
        <w:jc w:val="right"/>
      </w:pPr>
      <w:r w:rsidRPr="004B6782">
        <w:t>CH-3097 Liebefeld-Bern</w:t>
      </w:r>
    </w:p>
    <w:p w:rsidR="00F82F57" w:rsidRPr="004B6782" w:rsidRDefault="00517D83" w:rsidP="000F5807">
      <w:pPr>
        <w:spacing w:after="0"/>
        <w:jc w:val="right"/>
      </w:pPr>
      <w:r w:rsidRPr="004B6782">
        <w:t>Švýcarsko</w:t>
      </w:r>
    </w:p>
    <w:p w:rsidR="00517D83" w:rsidRPr="004B6782" w:rsidRDefault="00517D83" w:rsidP="000F5807">
      <w:pPr>
        <w:spacing w:after="0"/>
        <w:jc w:val="right"/>
      </w:pPr>
    </w:p>
    <w:p w:rsidR="00F82F57" w:rsidRPr="004B6782" w:rsidRDefault="00F82F57" w:rsidP="000F5807">
      <w:pPr>
        <w:spacing w:after="0"/>
        <w:jc w:val="right"/>
        <w:rPr>
          <w:i/>
        </w:rPr>
      </w:pPr>
      <w:r w:rsidRPr="004B6782">
        <w:rPr>
          <w:i/>
        </w:rPr>
        <w:t>Zástupce pro EU</w:t>
      </w:r>
    </w:p>
    <w:p w:rsidR="00F82F57" w:rsidRPr="004B6782" w:rsidRDefault="00F82F57" w:rsidP="000F5807">
      <w:pPr>
        <w:spacing w:after="0"/>
        <w:jc w:val="right"/>
      </w:pPr>
      <w:r w:rsidRPr="004B6782">
        <w:t>IDEXX Europe B.V.</w:t>
      </w:r>
    </w:p>
    <w:p w:rsidR="00F82F57" w:rsidRPr="004B6782" w:rsidRDefault="00F82F57" w:rsidP="000F5807">
      <w:pPr>
        <w:spacing w:after="0"/>
        <w:jc w:val="right"/>
      </w:pPr>
      <w:r w:rsidRPr="004B6782">
        <w:t>P.O. Box 1334</w:t>
      </w:r>
    </w:p>
    <w:p w:rsidR="00F82F57" w:rsidRPr="004B6782" w:rsidRDefault="00F82F57" w:rsidP="000F5807">
      <w:pPr>
        <w:spacing w:after="0"/>
        <w:jc w:val="right"/>
      </w:pPr>
      <w:r w:rsidRPr="004B6782">
        <w:t>2130 EK Hoofddorp</w:t>
      </w:r>
    </w:p>
    <w:p w:rsidR="00F82F57" w:rsidRPr="004B6782" w:rsidRDefault="00F82F57" w:rsidP="000F5807">
      <w:pPr>
        <w:spacing w:after="0"/>
        <w:jc w:val="right"/>
      </w:pPr>
      <w:r w:rsidRPr="004B6782">
        <w:t>Nizozemsko</w:t>
      </w:r>
    </w:p>
    <w:p w:rsidR="000F5807" w:rsidRPr="004B6782" w:rsidRDefault="000F5807" w:rsidP="000F5807">
      <w:pPr>
        <w:spacing w:after="0"/>
        <w:jc w:val="right"/>
      </w:pPr>
      <w:r w:rsidRPr="004B6782">
        <w:t>idexx.com</w:t>
      </w:r>
    </w:p>
    <w:p w:rsidR="00EC542C" w:rsidRPr="004B6782" w:rsidRDefault="000F5807" w:rsidP="00D2686C">
      <w:pPr>
        <w:spacing w:after="0"/>
        <w:jc w:val="right"/>
      </w:pPr>
      <w:r w:rsidRPr="004B6782">
        <w:t>IDEXX</w:t>
      </w:r>
      <w:bookmarkStart w:id="1" w:name="_GoBack"/>
      <w:bookmarkEnd w:id="1"/>
    </w:p>
    <w:sectPr w:rsidR="00EC542C" w:rsidRPr="004B6782">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AD" w:rsidRDefault="005D65AD" w:rsidP="00AB5B7C">
      <w:pPr>
        <w:spacing w:after="0" w:line="240" w:lineRule="auto"/>
      </w:pPr>
      <w:r>
        <w:separator/>
      </w:r>
    </w:p>
  </w:endnote>
  <w:endnote w:type="continuationSeparator" w:id="0">
    <w:p w:rsidR="005D65AD" w:rsidRDefault="005D65AD" w:rsidP="00AB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Swiss721BT-Bold">
    <w:altName w:val="Arial"/>
    <w:panose1 w:val="00000000000000000000"/>
    <w:charset w:val="EE"/>
    <w:family w:val="swiss"/>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AD" w:rsidRDefault="005D65AD" w:rsidP="00AB5B7C">
      <w:pPr>
        <w:spacing w:after="0" w:line="240" w:lineRule="auto"/>
      </w:pPr>
      <w:r>
        <w:separator/>
      </w:r>
    </w:p>
  </w:footnote>
  <w:footnote w:type="continuationSeparator" w:id="0">
    <w:p w:rsidR="005D65AD" w:rsidRDefault="005D65AD" w:rsidP="00AB5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7C" w:rsidRDefault="00AB5B7C" w:rsidP="0060208E">
    <w:pPr>
      <w:jc w:val="both"/>
      <w:rPr>
        <w:b/>
        <w:bCs/>
      </w:rPr>
    </w:pPr>
    <w:r w:rsidRPr="00AD42B7">
      <w:rPr>
        <w:bCs/>
      </w:rPr>
      <w:t>Text příbalové informace</w:t>
    </w:r>
    <w:r w:rsidR="004B6782">
      <w:rPr>
        <w:bCs/>
      </w:rPr>
      <w:t xml:space="preserve"> </w:t>
    </w:r>
    <w:r w:rsidRPr="00AD42B7">
      <w:rPr>
        <w:bCs/>
      </w:rPr>
      <w:t>součást dokumentace schválené rozhodnutím sp.</w:t>
    </w:r>
    <w:r w:rsidR="004B6782">
      <w:rPr>
        <w:bCs/>
      </w:rPr>
      <w:t> </w:t>
    </w:r>
    <w:r w:rsidRPr="00AD42B7">
      <w:rPr>
        <w:bCs/>
      </w:rPr>
      <w:t>zn.</w:t>
    </w:r>
    <w:r w:rsidR="004B6782">
      <w:rPr>
        <w:bCs/>
      </w:rPr>
      <w:t> </w:t>
    </w:r>
    <w:sdt>
      <w:sdtPr>
        <w:rPr>
          <w:bCs/>
        </w:rPr>
        <w:id w:val="485062483"/>
        <w:placeholder>
          <w:docPart w:val="FF15953A59BD4AA3AF0FE248F40643B5"/>
        </w:placeholder>
        <w:text/>
      </w:sdtPr>
      <w:sdtEndPr/>
      <w:sdtContent>
        <w:r w:rsidR="00D421C8" w:rsidRPr="00D421C8">
          <w:rPr>
            <w:bCs/>
          </w:rPr>
          <w:t>USKVBL/2978/2023/POD</w:t>
        </w:r>
        <w:r w:rsidR="00D421C8">
          <w:rPr>
            <w:bCs/>
          </w:rPr>
          <w:t>,</w:t>
        </w:r>
      </w:sdtContent>
    </w:sdt>
    <w:r w:rsidRPr="00AD42B7">
      <w:rPr>
        <w:bCs/>
      </w:rPr>
      <w:t xml:space="preserve"> č.j. </w:t>
    </w:r>
    <w:sdt>
      <w:sdtPr>
        <w:rPr>
          <w:bCs/>
        </w:rPr>
        <w:id w:val="422995688"/>
        <w:placeholder>
          <w:docPart w:val="FF15953A59BD4AA3AF0FE248F40643B5"/>
        </w:placeholder>
        <w:text/>
      </w:sdtPr>
      <w:sdtEndPr/>
      <w:sdtContent>
        <w:r w:rsidR="00D421C8" w:rsidRPr="00D421C8">
          <w:rPr>
            <w:bCs/>
          </w:rPr>
          <w:t>USKVBL/14788/2023/REG-Gro</w:t>
        </w:r>
      </w:sdtContent>
    </w:sdt>
    <w:r w:rsidRPr="00AD42B7">
      <w:rPr>
        <w:bCs/>
      </w:rPr>
      <w:t xml:space="preserve"> ze dne </w:t>
    </w:r>
    <w:sdt>
      <w:sdtPr>
        <w:rPr>
          <w:bCs/>
        </w:rPr>
        <w:id w:val="883596329"/>
        <w:placeholder>
          <w:docPart w:val="33EAFB41F9034174A18D85737C768964"/>
        </w:placeholder>
        <w:date w:fullDate="2023-11-16T00:00:00Z">
          <w:dateFormat w:val="d.M.yyyy"/>
          <w:lid w:val="cs-CZ"/>
          <w:storeMappedDataAs w:val="dateTime"/>
          <w:calendar w:val="gregorian"/>
        </w:date>
      </w:sdtPr>
      <w:sdtEndPr/>
      <w:sdtContent>
        <w:r w:rsidR="00D421C8">
          <w:rPr>
            <w:bCs/>
          </w:rPr>
          <w:t>16.11.2023</w:t>
        </w:r>
      </w:sdtContent>
    </w:sdt>
    <w:r w:rsidRPr="00AD42B7">
      <w:rPr>
        <w:bCs/>
      </w:rPr>
      <w:t xml:space="preserve"> o </w:t>
    </w:r>
    <w:sdt>
      <w:sdtPr>
        <w:id w:val="1062983426"/>
        <w:placeholder>
          <w:docPart w:val="194DDB3A63CC4B48B7386810DAF08402"/>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D421C8">
          <w:t>prodloužení platnosti rozhodnutí o schválení veterinárního přípravku</w:t>
        </w:r>
      </w:sdtContent>
    </w:sdt>
    <w:r w:rsidRPr="00AD42B7">
      <w:rPr>
        <w:bCs/>
      </w:rPr>
      <w:t xml:space="preserve"> </w:t>
    </w:r>
    <w:sdt>
      <w:sdtPr>
        <w:id w:val="-773553566"/>
        <w:placeholder>
          <w:docPart w:val="939AE931AF1D4899B6119D989D6C645A"/>
        </w:placeholder>
        <w:text/>
      </w:sdtPr>
      <w:sdtEndPr/>
      <w:sdtContent>
        <w:r w:rsidR="00D421C8" w:rsidRPr="00D421C8">
          <w:t>IDEXX BVDV Total Ab</w:t>
        </w:r>
      </w:sdtContent>
    </w:sdt>
  </w:p>
  <w:p w:rsidR="00AB5B7C" w:rsidRDefault="00AB5B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7607"/>
    <w:multiLevelType w:val="hybridMultilevel"/>
    <w:tmpl w:val="28AEF0F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655FF5"/>
    <w:multiLevelType w:val="hybridMultilevel"/>
    <w:tmpl w:val="9350D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E1C54D9"/>
    <w:multiLevelType w:val="hybridMultilevel"/>
    <w:tmpl w:val="1522F7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1EB490A"/>
    <w:multiLevelType w:val="hybridMultilevel"/>
    <w:tmpl w:val="8B18B9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E6"/>
    <w:rsid w:val="000C650D"/>
    <w:rsid w:val="000F5807"/>
    <w:rsid w:val="00173C74"/>
    <w:rsid w:val="00315045"/>
    <w:rsid w:val="00321BCA"/>
    <w:rsid w:val="003435DD"/>
    <w:rsid w:val="003609E6"/>
    <w:rsid w:val="003C10BA"/>
    <w:rsid w:val="00442AD8"/>
    <w:rsid w:val="004B6782"/>
    <w:rsid w:val="00517D83"/>
    <w:rsid w:val="00554C0C"/>
    <w:rsid w:val="005D65AD"/>
    <w:rsid w:val="005E2591"/>
    <w:rsid w:val="0060208E"/>
    <w:rsid w:val="0063160E"/>
    <w:rsid w:val="006834A5"/>
    <w:rsid w:val="00697B36"/>
    <w:rsid w:val="006F1A98"/>
    <w:rsid w:val="00847CCD"/>
    <w:rsid w:val="009075D0"/>
    <w:rsid w:val="00983CD5"/>
    <w:rsid w:val="00991F01"/>
    <w:rsid w:val="009D5363"/>
    <w:rsid w:val="009D63F3"/>
    <w:rsid w:val="009D7880"/>
    <w:rsid w:val="009E1006"/>
    <w:rsid w:val="00AB5B7C"/>
    <w:rsid w:val="00BA6367"/>
    <w:rsid w:val="00C542E3"/>
    <w:rsid w:val="00C71D32"/>
    <w:rsid w:val="00D2686C"/>
    <w:rsid w:val="00D421C8"/>
    <w:rsid w:val="00DA2387"/>
    <w:rsid w:val="00DC3218"/>
    <w:rsid w:val="00E0743B"/>
    <w:rsid w:val="00E779C8"/>
    <w:rsid w:val="00EC542C"/>
    <w:rsid w:val="00F3286F"/>
    <w:rsid w:val="00F82F57"/>
    <w:rsid w:val="00FE55D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35B15-65E2-46EE-9BBD-983E64DA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C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C542C"/>
    <w:pPr>
      <w:spacing w:after="200" w:line="276" w:lineRule="auto"/>
      <w:ind w:left="720"/>
      <w:contextualSpacing/>
    </w:pPr>
  </w:style>
  <w:style w:type="paragraph" w:styleId="Zhlav">
    <w:name w:val="header"/>
    <w:basedOn w:val="Normln"/>
    <w:link w:val="ZhlavChar"/>
    <w:uiPriority w:val="99"/>
    <w:unhideWhenUsed/>
    <w:rsid w:val="00AB5B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5B7C"/>
  </w:style>
  <w:style w:type="paragraph" w:styleId="Zpat">
    <w:name w:val="footer"/>
    <w:basedOn w:val="Normln"/>
    <w:link w:val="ZpatChar"/>
    <w:uiPriority w:val="99"/>
    <w:unhideWhenUsed/>
    <w:rsid w:val="00AB5B7C"/>
    <w:pPr>
      <w:tabs>
        <w:tab w:val="center" w:pos="4536"/>
        <w:tab w:val="right" w:pos="9072"/>
      </w:tabs>
      <w:spacing w:after="0" w:line="240" w:lineRule="auto"/>
    </w:pPr>
  </w:style>
  <w:style w:type="character" w:customStyle="1" w:styleId="ZpatChar">
    <w:name w:val="Zápatí Char"/>
    <w:basedOn w:val="Standardnpsmoodstavce"/>
    <w:link w:val="Zpat"/>
    <w:uiPriority w:val="99"/>
    <w:rsid w:val="00AB5B7C"/>
  </w:style>
  <w:style w:type="character" w:styleId="Zstupntext">
    <w:name w:val="Placeholder Text"/>
    <w:rsid w:val="00AB5B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15953A59BD4AA3AF0FE248F40643B5"/>
        <w:category>
          <w:name w:val="Obecné"/>
          <w:gallery w:val="placeholder"/>
        </w:category>
        <w:types>
          <w:type w:val="bbPlcHdr"/>
        </w:types>
        <w:behaviors>
          <w:behavior w:val="content"/>
        </w:behaviors>
        <w:guid w:val="{DE34928D-4B39-4BC9-82EE-060550330F3E}"/>
      </w:docPartPr>
      <w:docPartBody>
        <w:p w:rsidR="006F2D71" w:rsidRDefault="00171815" w:rsidP="00171815">
          <w:pPr>
            <w:pStyle w:val="FF15953A59BD4AA3AF0FE248F40643B5"/>
          </w:pPr>
          <w:r w:rsidRPr="00AD42B7">
            <w:rPr>
              <w:rStyle w:val="Zstupntext"/>
            </w:rPr>
            <w:t>Klikněte sem a zadejte text.</w:t>
          </w:r>
        </w:p>
      </w:docPartBody>
    </w:docPart>
    <w:docPart>
      <w:docPartPr>
        <w:name w:val="33EAFB41F9034174A18D85737C768964"/>
        <w:category>
          <w:name w:val="Obecné"/>
          <w:gallery w:val="placeholder"/>
        </w:category>
        <w:types>
          <w:type w:val="bbPlcHdr"/>
        </w:types>
        <w:behaviors>
          <w:behavior w:val="content"/>
        </w:behaviors>
        <w:guid w:val="{343C183E-B00B-4B2F-9ACC-7919F6E27195}"/>
      </w:docPartPr>
      <w:docPartBody>
        <w:p w:rsidR="006F2D71" w:rsidRDefault="00171815" w:rsidP="00171815">
          <w:pPr>
            <w:pStyle w:val="33EAFB41F9034174A18D85737C768964"/>
          </w:pPr>
          <w:r w:rsidRPr="00AD42B7">
            <w:rPr>
              <w:rStyle w:val="Zstupntext"/>
            </w:rPr>
            <w:t>Klikněte sem a zadejte datum.</w:t>
          </w:r>
        </w:p>
      </w:docPartBody>
    </w:docPart>
    <w:docPart>
      <w:docPartPr>
        <w:name w:val="194DDB3A63CC4B48B7386810DAF08402"/>
        <w:category>
          <w:name w:val="Obecné"/>
          <w:gallery w:val="placeholder"/>
        </w:category>
        <w:types>
          <w:type w:val="bbPlcHdr"/>
        </w:types>
        <w:behaviors>
          <w:behavior w:val="content"/>
        </w:behaviors>
        <w:guid w:val="{D99A5C7D-450B-4781-953D-2365BF2B67FA}"/>
      </w:docPartPr>
      <w:docPartBody>
        <w:p w:rsidR="006F2D71" w:rsidRDefault="00171815" w:rsidP="00171815">
          <w:pPr>
            <w:pStyle w:val="194DDB3A63CC4B48B7386810DAF08402"/>
          </w:pPr>
          <w:r w:rsidRPr="00AD42B7">
            <w:rPr>
              <w:rStyle w:val="Zstupntext"/>
            </w:rPr>
            <w:t>Zvolte položku.</w:t>
          </w:r>
        </w:p>
      </w:docPartBody>
    </w:docPart>
    <w:docPart>
      <w:docPartPr>
        <w:name w:val="939AE931AF1D4899B6119D989D6C645A"/>
        <w:category>
          <w:name w:val="Obecné"/>
          <w:gallery w:val="placeholder"/>
        </w:category>
        <w:types>
          <w:type w:val="bbPlcHdr"/>
        </w:types>
        <w:behaviors>
          <w:behavior w:val="content"/>
        </w:behaviors>
        <w:guid w:val="{940BBB1C-8C3D-46DD-971C-1DBF8D61E895}"/>
      </w:docPartPr>
      <w:docPartBody>
        <w:p w:rsidR="006F2D71" w:rsidRDefault="00171815" w:rsidP="00171815">
          <w:pPr>
            <w:pStyle w:val="939AE931AF1D4899B6119D989D6C645A"/>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Swiss721BT-Bold">
    <w:altName w:val="Arial"/>
    <w:panose1 w:val="00000000000000000000"/>
    <w:charset w:val="EE"/>
    <w:family w:val="swiss"/>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15"/>
    <w:rsid w:val="00171815"/>
    <w:rsid w:val="0019648B"/>
    <w:rsid w:val="00466EDA"/>
    <w:rsid w:val="00490D92"/>
    <w:rsid w:val="006F2D71"/>
    <w:rsid w:val="00B3331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171815"/>
    <w:rPr>
      <w:color w:val="808080"/>
    </w:rPr>
  </w:style>
  <w:style w:type="paragraph" w:customStyle="1" w:styleId="FF15953A59BD4AA3AF0FE248F40643B5">
    <w:name w:val="FF15953A59BD4AA3AF0FE248F40643B5"/>
    <w:rsid w:val="00171815"/>
  </w:style>
  <w:style w:type="paragraph" w:customStyle="1" w:styleId="33EAFB41F9034174A18D85737C768964">
    <w:name w:val="33EAFB41F9034174A18D85737C768964"/>
    <w:rsid w:val="00171815"/>
  </w:style>
  <w:style w:type="paragraph" w:customStyle="1" w:styleId="194DDB3A63CC4B48B7386810DAF08402">
    <w:name w:val="194DDB3A63CC4B48B7386810DAF08402"/>
    <w:rsid w:val="00171815"/>
  </w:style>
  <w:style w:type="paragraph" w:customStyle="1" w:styleId="939AE931AF1D4899B6119D989D6C645A">
    <w:name w:val="939AE931AF1D4899B6119D989D6C645A"/>
    <w:rsid w:val="00171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1655</Words>
  <Characters>9767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Nekvapilová Alena</dc:creator>
  <cp:keywords/>
  <dc:description/>
  <cp:lastModifiedBy>Nepejchalová Leona</cp:lastModifiedBy>
  <cp:revision>12</cp:revision>
  <cp:lastPrinted>2023-11-20T17:11:00Z</cp:lastPrinted>
  <dcterms:created xsi:type="dcterms:W3CDTF">2023-11-08T10:49:00Z</dcterms:created>
  <dcterms:modified xsi:type="dcterms:W3CDTF">2023-11-20T17:11:00Z</dcterms:modified>
</cp:coreProperties>
</file>