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547" w:rsidRPr="00EE1A6A" w:rsidRDefault="007C2547">
      <w:pPr>
        <w:rPr>
          <w:b/>
        </w:rPr>
      </w:pPr>
      <w:r w:rsidRPr="00EE1A6A">
        <w:rPr>
          <w:b/>
        </w:rPr>
        <w:t>IDEXX</w:t>
      </w:r>
      <w:r w:rsidRPr="00EE1A6A">
        <w:t xml:space="preserve"> </w:t>
      </w:r>
      <w:r w:rsidR="00EE1A6A" w:rsidRPr="00EE1A6A">
        <w:rPr>
          <w:b/>
        </w:rPr>
        <w:t>CSFV Ab</w:t>
      </w:r>
    </w:p>
    <w:p w:rsidR="00AC388F" w:rsidRPr="00EE1A6A" w:rsidRDefault="00153AE3" w:rsidP="00CC2DEF">
      <w:pPr>
        <w:rPr>
          <w:b/>
        </w:rPr>
      </w:pPr>
      <w:r w:rsidRPr="00EE1A6A">
        <w:rPr>
          <w:b/>
        </w:rPr>
        <w:t xml:space="preserve">Testovací souprava na průkaz </w:t>
      </w:r>
      <w:r w:rsidR="00E02706" w:rsidRPr="00EE1A6A">
        <w:rPr>
          <w:b/>
        </w:rPr>
        <w:t xml:space="preserve">protilátek proti </w:t>
      </w:r>
      <w:r w:rsidRPr="00EE1A6A">
        <w:rPr>
          <w:b/>
        </w:rPr>
        <w:t xml:space="preserve">viru klasického moru prasat (CSFV) </w:t>
      </w:r>
    </w:p>
    <w:p w:rsidR="00153AE3" w:rsidRPr="00EE1A6A" w:rsidRDefault="00153AE3" w:rsidP="00CC2DEF">
      <w:pPr>
        <w:rPr>
          <w:b/>
        </w:rPr>
      </w:pPr>
      <w:r w:rsidRPr="00EE1A6A">
        <w:rPr>
          <w:b/>
        </w:rPr>
        <w:t>Pouze k veterinárnímu užití.</w:t>
      </w:r>
    </w:p>
    <w:p w:rsidR="00153AE3" w:rsidRPr="00EE1A6A" w:rsidRDefault="00153AE3">
      <w:pPr>
        <w:rPr>
          <w:b/>
        </w:rPr>
      </w:pPr>
      <w:r w:rsidRPr="00EE1A6A">
        <w:rPr>
          <w:b/>
        </w:rPr>
        <w:t xml:space="preserve">Název a </w:t>
      </w:r>
      <w:r w:rsidR="00CC2DEF" w:rsidRPr="00EE1A6A">
        <w:rPr>
          <w:b/>
        </w:rPr>
        <w:t>způsob</w:t>
      </w:r>
      <w:r w:rsidRPr="00EE1A6A">
        <w:rPr>
          <w:b/>
        </w:rPr>
        <w:t xml:space="preserve"> </w:t>
      </w:r>
      <w:r w:rsidR="00CC2DEF" w:rsidRPr="00EE1A6A">
        <w:rPr>
          <w:b/>
        </w:rPr>
        <w:t>po</w:t>
      </w:r>
      <w:r w:rsidRPr="00EE1A6A">
        <w:rPr>
          <w:b/>
        </w:rPr>
        <w:t>užití</w:t>
      </w:r>
    </w:p>
    <w:p w:rsidR="00153AE3" w:rsidRPr="00EE1A6A" w:rsidRDefault="00153AE3">
      <w:r w:rsidRPr="00EE1A6A">
        <w:t>IDEXX CSFV A</w:t>
      </w:r>
      <w:r w:rsidR="00E02706" w:rsidRPr="00EE1A6A">
        <w:t>b</w:t>
      </w:r>
      <w:r w:rsidRPr="00EE1A6A">
        <w:t xml:space="preserve"> je enzymatický imunologický test pro detekci antigenů CSFV v</w:t>
      </w:r>
      <w:r w:rsidR="00FD44FF" w:rsidRPr="00EE1A6A">
        <w:t>e vzorcích</w:t>
      </w:r>
      <w:r w:rsidRPr="00EE1A6A">
        <w:t> </w:t>
      </w:r>
      <w:r w:rsidR="00E02706" w:rsidRPr="00EE1A6A">
        <w:t xml:space="preserve">prasečího </w:t>
      </w:r>
      <w:r w:rsidRPr="00EE1A6A">
        <w:t>sér</w:t>
      </w:r>
      <w:r w:rsidR="00FD44FF" w:rsidRPr="00EE1A6A">
        <w:t>a</w:t>
      </w:r>
      <w:r w:rsidR="00E02706" w:rsidRPr="00EE1A6A">
        <w:t xml:space="preserve"> a </w:t>
      </w:r>
      <w:r w:rsidRPr="00EE1A6A">
        <w:t>plazm</w:t>
      </w:r>
      <w:r w:rsidR="00E02706" w:rsidRPr="00EE1A6A">
        <w:t>y.</w:t>
      </w:r>
    </w:p>
    <w:p w:rsidR="00FD44FF" w:rsidRPr="00EE1A6A" w:rsidRDefault="00FD44FF">
      <w:pPr>
        <w:rPr>
          <w:b/>
        </w:rPr>
      </w:pPr>
      <w:r w:rsidRPr="00EE1A6A">
        <w:rPr>
          <w:b/>
        </w:rPr>
        <w:t>Obecné informace</w:t>
      </w:r>
    </w:p>
    <w:p w:rsidR="00C628AA" w:rsidRPr="00EE1A6A" w:rsidRDefault="00FD44FF">
      <w:r w:rsidRPr="00EE1A6A">
        <w:t xml:space="preserve">Virus klasického moru prasat (CSFV), bovinní virové diarey (BVDV) a hraniční choroby (BDV) společně patří do rodu Pestivirus z čeledi Flaviviridae. </w:t>
      </w:r>
      <w:r w:rsidR="00C628AA" w:rsidRPr="00EE1A6A">
        <w:t>CSFV vzhledem ke své vysoké nakažlivosti, patogeni</w:t>
      </w:r>
      <w:bookmarkStart w:id="0" w:name="_GoBack"/>
      <w:bookmarkEnd w:id="0"/>
      <w:r w:rsidR="00C628AA" w:rsidRPr="00EE1A6A">
        <w:t>tě a</w:t>
      </w:r>
      <w:r w:rsidR="00EE1A6A" w:rsidRPr="00EE1A6A">
        <w:t> </w:t>
      </w:r>
      <w:r w:rsidR="00C628AA" w:rsidRPr="00EE1A6A">
        <w:t xml:space="preserve">schopnosti způsobovat masová úmrtí odpovídá za závažné škody v chovech prasat. </w:t>
      </w:r>
      <w:r w:rsidRPr="00EE1A6A">
        <w:t>Prasat</w:t>
      </w:r>
      <w:r w:rsidR="00AD5E6D" w:rsidRPr="00EE1A6A">
        <w:t>a</w:t>
      </w:r>
      <w:r w:rsidRPr="00EE1A6A">
        <w:t xml:space="preserve"> infikovaná CSFV mohou před objevením klinických příznaků onemocnění vylučovat velká množství viru. Zvířata, která přežijí akutní nebo subakutní infekci si vy</w:t>
      </w:r>
      <w:r w:rsidR="00C628AA" w:rsidRPr="00EE1A6A">
        <w:t>tvoří</w:t>
      </w:r>
      <w:r w:rsidRPr="00EE1A6A">
        <w:t xml:space="preserve"> protilátky </w:t>
      </w:r>
      <w:r w:rsidR="00C628AA" w:rsidRPr="00EE1A6A">
        <w:t>nebo se stanou chronicky infikovanými – stav, při němž</w:t>
      </w:r>
      <w:r w:rsidRPr="00EE1A6A">
        <w:t xml:space="preserve"> vylučují virus kontinuálně nebo přerušovaně až do smrti. </w:t>
      </w:r>
      <w:r w:rsidR="00C628AA" w:rsidRPr="00EE1A6A">
        <w:t>U březích prasnic může CSFV projít přes placentu a infikovat plody. Způsobuje pak potraty, mumifikaci plodů a</w:t>
      </w:r>
      <w:r w:rsidR="00EE1A6A" w:rsidRPr="00EE1A6A">
        <w:t> </w:t>
      </w:r>
      <w:r w:rsidR="00C628AA" w:rsidRPr="00EE1A6A">
        <w:t xml:space="preserve">narození mrtvých selat; dojde-li k infekci uprostřed gestace (~50-70 dní březosti), mohou se narodit slabá nebo perzistentně viremická selata. Tato perzistentně infikovaná selata mohou díky absenci imunitní odpovědi virus volně šířit. Příležitostně se mohou prasata nakazit také BVDV nebo BDV. Tyto infekce jsou </w:t>
      </w:r>
      <w:r w:rsidR="007C2547" w:rsidRPr="00EE1A6A">
        <w:t>u</w:t>
      </w:r>
      <w:r w:rsidR="00C628AA" w:rsidRPr="00EE1A6A">
        <w:t xml:space="preserve"> prasat obvykle mírné a sebeomezující, přesto je však důležité je odlišit od infekce CSFV.</w:t>
      </w:r>
    </w:p>
    <w:p w:rsidR="006F1F67" w:rsidRPr="00EE1A6A" w:rsidRDefault="006F1F67">
      <w:pPr>
        <w:rPr>
          <w:b/>
        </w:rPr>
      </w:pPr>
      <w:r w:rsidRPr="00EE1A6A">
        <w:rPr>
          <w:b/>
        </w:rPr>
        <w:t>Popis a principy</w:t>
      </w:r>
    </w:p>
    <w:p w:rsidR="00C628AA" w:rsidRPr="00EE1A6A" w:rsidRDefault="00C628AA" w:rsidP="00CB758E">
      <w:r w:rsidRPr="00EE1A6A">
        <w:t>IDEXX CSFV Ab je enzymatický imunologický test firmy IDEXX, určený k detekci specifických protilátek proti CSFV v séru nebo plazmě prasat. Jedná se o blokující ELISA test, který využívá mikrotitrační destičky potažené antigenem CSFV. Protilátky přítomné v testovaném vzorku blokují navázání CSFV-specifických monoklonálních protilátek konjugovaných s křenovou peroxidázou.</w:t>
      </w:r>
      <w:r w:rsidR="007C2547" w:rsidRPr="00EE1A6A">
        <w:t xml:space="preserve"> Navázané monoklonální protilátky jsou detekovány reaktivním substrátem s křenovou peroxidázou.</w:t>
      </w:r>
      <w:r w:rsidRPr="00EE1A6A">
        <w:t xml:space="preserve"> Výsledek je indikován rozvojem zbarvení. Optická hustota se měří pomocí čtečky mikrodestiček při vlnové délce 4</w:t>
      </w:r>
      <w:r w:rsidR="007C2547" w:rsidRPr="00EE1A6A">
        <w:t>5</w:t>
      </w:r>
      <w:r w:rsidRPr="00EE1A6A">
        <w:t>0 nm nebo</w:t>
      </w:r>
      <w:r w:rsidR="007C2547" w:rsidRPr="00EE1A6A">
        <w:t xml:space="preserve"> při</w:t>
      </w:r>
      <w:r w:rsidRPr="00EE1A6A">
        <w:t xml:space="preserve"> duálních vlnových délkách 450</w:t>
      </w:r>
      <w:r w:rsidR="007C2547" w:rsidRPr="00EE1A6A">
        <w:t xml:space="preserve"> nm</w:t>
      </w:r>
      <w:r w:rsidRPr="00EE1A6A">
        <w:t xml:space="preserve"> a 650 nm. V přítomnosti CSFV-specifických protilátek v testovaném vzorku je rozvoj zbarvení slabý (pozitivní výsledek). V nepřítomnosti specifických protilátek je rozvoj zbarvení maximální (negativní výsledek). Procento blokování vzorku se vypočítá z optické hustoty (O</w:t>
      </w:r>
      <w:r w:rsidR="007C2547" w:rsidRPr="00EE1A6A">
        <w:t>H</w:t>
      </w:r>
      <w:r w:rsidRPr="00EE1A6A">
        <w:t xml:space="preserve"> 450) testovaného vzorku a </w:t>
      </w:r>
      <w:r w:rsidR="007C2547" w:rsidRPr="00EE1A6A">
        <w:t xml:space="preserve">OH </w:t>
      </w:r>
      <w:r w:rsidRPr="00EE1A6A">
        <w:t>450 negativní kontroly.</w:t>
      </w:r>
    </w:p>
    <w:p w:rsidR="00CB758E" w:rsidRPr="00EE1A6A" w:rsidRDefault="007C2547" w:rsidP="00CB758E">
      <w:r w:rsidRPr="00EE1A6A">
        <w:t xml:space="preserve">Činidla                         </w:t>
      </w:r>
      <w:r w:rsidR="00CB758E" w:rsidRPr="00EE1A6A">
        <w:t xml:space="preserve">                                                                                                    Objem</w:t>
      </w:r>
    </w:p>
    <w:tbl>
      <w:tblPr>
        <w:tblStyle w:val="Mkatabulky"/>
        <w:tblW w:w="0" w:type="auto"/>
        <w:tblLook w:val="04A0" w:firstRow="1" w:lastRow="0" w:firstColumn="1" w:lastColumn="0" w:noHBand="0" w:noVBand="1"/>
      </w:tblPr>
      <w:tblGrid>
        <w:gridCol w:w="421"/>
        <w:gridCol w:w="5670"/>
        <w:gridCol w:w="1134"/>
        <w:gridCol w:w="1134"/>
      </w:tblGrid>
      <w:tr w:rsidR="00CB758E" w:rsidRPr="00EE1A6A" w:rsidTr="00CB758E">
        <w:tc>
          <w:tcPr>
            <w:tcW w:w="421" w:type="dxa"/>
          </w:tcPr>
          <w:p w:rsidR="00CB758E" w:rsidRPr="00EE1A6A" w:rsidRDefault="00CB758E" w:rsidP="00400213">
            <w:r w:rsidRPr="00EE1A6A">
              <w:t>1</w:t>
            </w:r>
          </w:p>
        </w:tc>
        <w:tc>
          <w:tcPr>
            <w:tcW w:w="5670" w:type="dxa"/>
          </w:tcPr>
          <w:p w:rsidR="00CB758E" w:rsidRPr="00EE1A6A" w:rsidRDefault="00CB758E" w:rsidP="00400213">
            <w:r w:rsidRPr="00EE1A6A">
              <w:t>Destička potažená Anti</w:t>
            </w:r>
            <w:r w:rsidR="00C86BD1" w:rsidRPr="00EE1A6A">
              <w:t>genem CSFV</w:t>
            </w:r>
          </w:p>
        </w:tc>
        <w:tc>
          <w:tcPr>
            <w:tcW w:w="1134" w:type="dxa"/>
          </w:tcPr>
          <w:p w:rsidR="00CB758E" w:rsidRPr="00EE1A6A" w:rsidRDefault="00CB758E" w:rsidP="00400213">
            <w:r w:rsidRPr="00EE1A6A">
              <w:t>2</w:t>
            </w:r>
          </w:p>
        </w:tc>
        <w:tc>
          <w:tcPr>
            <w:tcW w:w="1134" w:type="dxa"/>
          </w:tcPr>
          <w:p w:rsidR="00CB758E" w:rsidRPr="00EE1A6A" w:rsidRDefault="00CB758E" w:rsidP="00400213">
            <w:r w:rsidRPr="00EE1A6A">
              <w:t>5</w:t>
            </w:r>
          </w:p>
        </w:tc>
      </w:tr>
      <w:tr w:rsidR="00CB758E" w:rsidRPr="00EE1A6A" w:rsidTr="00CB758E">
        <w:tc>
          <w:tcPr>
            <w:tcW w:w="421" w:type="dxa"/>
          </w:tcPr>
          <w:p w:rsidR="00CB758E" w:rsidRPr="00EE1A6A" w:rsidRDefault="00CB758E" w:rsidP="00400213">
            <w:r w:rsidRPr="00EE1A6A">
              <w:t>2</w:t>
            </w:r>
          </w:p>
        </w:tc>
        <w:tc>
          <w:tcPr>
            <w:tcW w:w="5670" w:type="dxa"/>
          </w:tcPr>
          <w:p w:rsidR="00CB758E" w:rsidRPr="00EE1A6A" w:rsidRDefault="00CB758E" w:rsidP="00400213">
            <w:r w:rsidRPr="00EE1A6A">
              <w:t>Pozitivní kontrolní vzorek</w:t>
            </w:r>
          </w:p>
        </w:tc>
        <w:tc>
          <w:tcPr>
            <w:tcW w:w="1134" w:type="dxa"/>
          </w:tcPr>
          <w:p w:rsidR="00CB758E" w:rsidRPr="00EE1A6A" w:rsidRDefault="00CB758E" w:rsidP="00400213">
            <w:r w:rsidRPr="00EE1A6A">
              <w:t>1 x 1,</w:t>
            </w:r>
            <w:r w:rsidR="00F66752" w:rsidRPr="00EE1A6A">
              <w:t>0</w:t>
            </w:r>
            <w:r w:rsidRPr="00EE1A6A">
              <w:t xml:space="preserve"> ml</w:t>
            </w:r>
          </w:p>
        </w:tc>
        <w:tc>
          <w:tcPr>
            <w:tcW w:w="1134" w:type="dxa"/>
          </w:tcPr>
          <w:p w:rsidR="00CB758E" w:rsidRPr="00EE1A6A" w:rsidRDefault="00CB758E" w:rsidP="00400213">
            <w:r w:rsidRPr="00EE1A6A">
              <w:t xml:space="preserve">1 x </w:t>
            </w:r>
            <w:r w:rsidR="00F66752" w:rsidRPr="00EE1A6A">
              <w:t>1</w:t>
            </w:r>
            <w:r w:rsidRPr="00EE1A6A">
              <w:t>,0 ml</w:t>
            </w:r>
          </w:p>
        </w:tc>
      </w:tr>
      <w:tr w:rsidR="00CB758E" w:rsidRPr="00EE1A6A" w:rsidTr="00CB758E">
        <w:tc>
          <w:tcPr>
            <w:tcW w:w="421" w:type="dxa"/>
          </w:tcPr>
          <w:p w:rsidR="00CB758E" w:rsidRPr="00EE1A6A" w:rsidRDefault="00CB758E" w:rsidP="00400213">
            <w:r w:rsidRPr="00EE1A6A">
              <w:t>3</w:t>
            </w:r>
          </w:p>
        </w:tc>
        <w:tc>
          <w:tcPr>
            <w:tcW w:w="5670" w:type="dxa"/>
          </w:tcPr>
          <w:p w:rsidR="00CB758E" w:rsidRPr="00EE1A6A" w:rsidRDefault="00CB758E" w:rsidP="00400213">
            <w:r w:rsidRPr="00EE1A6A">
              <w:t>Negativní kontrolní vzorek</w:t>
            </w:r>
          </w:p>
        </w:tc>
        <w:tc>
          <w:tcPr>
            <w:tcW w:w="1134" w:type="dxa"/>
          </w:tcPr>
          <w:p w:rsidR="00CB758E" w:rsidRPr="00EE1A6A" w:rsidRDefault="00CB758E" w:rsidP="00400213">
            <w:r w:rsidRPr="00EE1A6A">
              <w:t>1 x 1,</w:t>
            </w:r>
            <w:r w:rsidR="00F66752" w:rsidRPr="00EE1A6A">
              <w:t>0</w:t>
            </w:r>
            <w:r w:rsidRPr="00EE1A6A">
              <w:t xml:space="preserve"> ml</w:t>
            </w:r>
          </w:p>
        </w:tc>
        <w:tc>
          <w:tcPr>
            <w:tcW w:w="1134" w:type="dxa"/>
          </w:tcPr>
          <w:p w:rsidR="00CB758E" w:rsidRPr="00EE1A6A" w:rsidRDefault="00CB758E" w:rsidP="00400213">
            <w:r w:rsidRPr="00EE1A6A">
              <w:t xml:space="preserve">1 x </w:t>
            </w:r>
            <w:r w:rsidR="00F66752" w:rsidRPr="00EE1A6A">
              <w:t>1</w:t>
            </w:r>
            <w:r w:rsidRPr="00EE1A6A">
              <w:t>,0 ml</w:t>
            </w:r>
          </w:p>
        </w:tc>
      </w:tr>
      <w:tr w:rsidR="00CB758E" w:rsidRPr="00EE1A6A" w:rsidTr="00CB758E">
        <w:tc>
          <w:tcPr>
            <w:tcW w:w="421" w:type="dxa"/>
          </w:tcPr>
          <w:p w:rsidR="00CB758E" w:rsidRPr="00EE1A6A" w:rsidRDefault="00CB758E" w:rsidP="00400213">
            <w:r w:rsidRPr="00EE1A6A">
              <w:t>4</w:t>
            </w:r>
          </w:p>
        </w:tc>
        <w:tc>
          <w:tcPr>
            <w:tcW w:w="5670" w:type="dxa"/>
          </w:tcPr>
          <w:p w:rsidR="00CB758E" w:rsidRPr="00EE1A6A" w:rsidRDefault="00CB758E" w:rsidP="00400213">
            <w:r w:rsidRPr="00EE1A6A">
              <w:t>Konjugát</w:t>
            </w:r>
          </w:p>
        </w:tc>
        <w:tc>
          <w:tcPr>
            <w:tcW w:w="1134" w:type="dxa"/>
          </w:tcPr>
          <w:p w:rsidR="00CB758E" w:rsidRPr="00EE1A6A" w:rsidRDefault="00CB758E" w:rsidP="00400213">
            <w:r w:rsidRPr="00EE1A6A">
              <w:t>1 x 25 ml</w:t>
            </w:r>
          </w:p>
        </w:tc>
        <w:tc>
          <w:tcPr>
            <w:tcW w:w="1134" w:type="dxa"/>
          </w:tcPr>
          <w:p w:rsidR="00CB758E" w:rsidRPr="00EE1A6A" w:rsidRDefault="00CB758E" w:rsidP="00400213">
            <w:r w:rsidRPr="00EE1A6A">
              <w:t>1 x 60 ml</w:t>
            </w:r>
          </w:p>
        </w:tc>
      </w:tr>
      <w:tr w:rsidR="00CB758E" w:rsidRPr="00EE1A6A" w:rsidTr="00CB758E">
        <w:tc>
          <w:tcPr>
            <w:tcW w:w="421" w:type="dxa"/>
          </w:tcPr>
          <w:p w:rsidR="00CB758E" w:rsidRPr="00EE1A6A" w:rsidRDefault="00CB758E" w:rsidP="00400213">
            <w:r w:rsidRPr="00EE1A6A">
              <w:t>5</w:t>
            </w:r>
          </w:p>
        </w:tc>
        <w:tc>
          <w:tcPr>
            <w:tcW w:w="5670" w:type="dxa"/>
          </w:tcPr>
          <w:p w:rsidR="00CB758E" w:rsidRPr="00EE1A6A" w:rsidRDefault="00C86BD1" w:rsidP="00400213">
            <w:r w:rsidRPr="00EE1A6A">
              <w:t>Ředicí roztok</w:t>
            </w:r>
          </w:p>
        </w:tc>
        <w:tc>
          <w:tcPr>
            <w:tcW w:w="1134" w:type="dxa"/>
          </w:tcPr>
          <w:p w:rsidR="00CB758E" w:rsidRPr="00EE1A6A" w:rsidRDefault="00CB758E" w:rsidP="00400213">
            <w:r w:rsidRPr="00EE1A6A">
              <w:t xml:space="preserve">1 x </w:t>
            </w:r>
            <w:r w:rsidR="00703742" w:rsidRPr="00EE1A6A">
              <w:t>1</w:t>
            </w:r>
            <w:r w:rsidRPr="00EE1A6A">
              <w:t>5 ml</w:t>
            </w:r>
          </w:p>
        </w:tc>
        <w:tc>
          <w:tcPr>
            <w:tcW w:w="1134" w:type="dxa"/>
          </w:tcPr>
          <w:p w:rsidR="00CB758E" w:rsidRPr="00EE1A6A" w:rsidRDefault="00703742" w:rsidP="00400213">
            <w:r w:rsidRPr="00EE1A6A">
              <w:t>1</w:t>
            </w:r>
            <w:r w:rsidR="00CB758E" w:rsidRPr="00EE1A6A">
              <w:t xml:space="preserve"> x </w:t>
            </w:r>
            <w:r w:rsidRPr="00EE1A6A">
              <w:t>4</w:t>
            </w:r>
            <w:r w:rsidR="00CB758E" w:rsidRPr="00EE1A6A">
              <w:t>5 ml</w:t>
            </w:r>
          </w:p>
        </w:tc>
      </w:tr>
      <w:tr w:rsidR="00CB758E" w:rsidRPr="00EE1A6A" w:rsidTr="00CB758E">
        <w:tc>
          <w:tcPr>
            <w:tcW w:w="421" w:type="dxa"/>
          </w:tcPr>
          <w:p w:rsidR="00CB758E" w:rsidRPr="00EE1A6A" w:rsidRDefault="00CB758E" w:rsidP="00400213">
            <w:r w:rsidRPr="00EE1A6A">
              <w:t>A</w:t>
            </w:r>
          </w:p>
        </w:tc>
        <w:tc>
          <w:tcPr>
            <w:tcW w:w="5670" w:type="dxa"/>
          </w:tcPr>
          <w:p w:rsidR="00CB758E" w:rsidRPr="00EE1A6A" w:rsidRDefault="00CB758E" w:rsidP="00400213">
            <w:r w:rsidRPr="00EE1A6A">
              <w:t>TMB substrát č. 12</w:t>
            </w:r>
          </w:p>
        </w:tc>
        <w:tc>
          <w:tcPr>
            <w:tcW w:w="1134" w:type="dxa"/>
          </w:tcPr>
          <w:p w:rsidR="00CB758E" w:rsidRPr="00EE1A6A" w:rsidRDefault="00CB758E" w:rsidP="00400213">
            <w:r w:rsidRPr="00EE1A6A">
              <w:t>1 x 20 ml</w:t>
            </w:r>
          </w:p>
        </w:tc>
        <w:tc>
          <w:tcPr>
            <w:tcW w:w="1134" w:type="dxa"/>
          </w:tcPr>
          <w:p w:rsidR="00CB758E" w:rsidRPr="00EE1A6A" w:rsidRDefault="00CB758E" w:rsidP="00400213">
            <w:r w:rsidRPr="00EE1A6A">
              <w:t xml:space="preserve">1 x </w:t>
            </w:r>
            <w:r w:rsidR="00993EA2" w:rsidRPr="00EE1A6A">
              <w:t>6</w:t>
            </w:r>
            <w:r w:rsidRPr="00EE1A6A">
              <w:t>0 ml</w:t>
            </w:r>
          </w:p>
        </w:tc>
      </w:tr>
      <w:tr w:rsidR="00CB758E" w:rsidRPr="00EE1A6A" w:rsidTr="00CB758E">
        <w:tc>
          <w:tcPr>
            <w:tcW w:w="421" w:type="dxa"/>
          </w:tcPr>
          <w:p w:rsidR="00CB758E" w:rsidRPr="00EE1A6A" w:rsidRDefault="00CB758E" w:rsidP="00400213">
            <w:r w:rsidRPr="00EE1A6A">
              <w:t>B</w:t>
            </w:r>
          </w:p>
        </w:tc>
        <w:tc>
          <w:tcPr>
            <w:tcW w:w="5670" w:type="dxa"/>
          </w:tcPr>
          <w:p w:rsidR="00CB758E" w:rsidRPr="00EE1A6A" w:rsidRDefault="00CB758E" w:rsidP="00400213">
            <w:r w:rsidRPr="00EE1A6A">
              <w:t>Zastavovací roztok č. 3</w:t>
            </w:r>
          </w:p>
        </w:tc>
        <w:tc>
          <w:tcPr>
            <w:tcW w:w="1134" w:type="dxa"/>
          </w:tcPr>
          <w:p w:rsidR="00CB758E" w:rsidRPr="00EE1A6A" w:rsidRDefault="00CB758E" w:rsidP="00400213">
            <w:r w:rsidRPr="00EE1A6A">
              <w:t>1 x 20 ml</w:t>
            </w:r>
          </w:p>
        </w:tc>
        <w:tc>
          <w:tcPr>
            <w:tcW w:w="1134" w:type="dxa"/>
          </w:tcPr>
          <w:p w:rsidR="00CB758E" w:rsidRPr="00EE1A6A" w:rsidRDefault="00CB758E" w:rsidP="00400213">
            <w:r w:rsidRPr="00EE1A6A">
              <w:t xml:space="preserve">1 x </w:t>
            </w:r>
            <w:r w:rsidR="00993EA2" w:rsidRPr="00EE1A6A">
              <w:t>6</w:t>
            </w:r>
            <w:r w:rsidRPr="00EE1A6A">
              <w:t>0 ml</w:t>
            </w:r>
          </w:p>
        </w:tc>
      </w:tr>
      <w:tr w:rsidR="00CB758E" w:rsidRPr="00EE1A6A" w:rsidTr="00CB758E">
        <w:tc>
          <w:tcPr>
            <w:tcW w:w="421" w:type="dxa"/>
          </w:tcPr>
          <w:p w:rsidR="00CB758E" w:rsidRPr="00EE1A6A" w:rsidRDefault="00CB758E" w:rsidP="00400213">
            <w:r w:rsidRPr="00EE1A6A">
              <w:t>C</w:t>
            </w:r>
          </w:p>
        </w:tc>
        <w:tc>
          <w:tcPr>
            <w:tcW w:w="5670" w:type="dxa"/>
          </w:tcPr>
          <w:p w:rsidR="00CB758E" w:rsidRPr="00EE1A6A" w:rsidRDefault="00993EA2" w:rsidP="00400213">
            <w:r w:rsidRPr="00EE1A6A">
              <w:t>K</w:t>
            </w:r>
            <w:r w:rsidR="00CB758E" w:rsidRPr="00EE1A6A">
              <w:t>oncentrát</w:t>
            </w:r>
            <w:r w:rsidRPr="00EE1A6A">
              <w:t xml:space="preserve"> mycího roztoku</w:t>
            </w:r>
            <w:r w:rsidR="00CB758E" w:rsidRPr="00EE1A6A">
              <w:t xml:space="preserve"> (10 X)</w:t>
            </w:r>
          </w:p>
        </w:tc>
        <w:tc>
          <w:tcPr>
            <w:tcW w:w="1134" w:type="dxa"/>
          </w:tcPr>
          <w:p w:rsidR="00CB758E" w:rsidRPr="00EE1A6A" w:rsidRDefault="00CB758E" w:rsidP="00400213">
            <w:r w:rsidRPr="00EE1A6A">
              <w:t>1 x 125 ml</w:t>
            </w:r>
          </w:p>
        </w:tc>
        <w:tc>
          <w:tcPr>
            <w:tcW w:w="1134" w:type="dxa"/>
          </w:tcPr>
          <w:p w:rsidR="00CB758E" w:rsidRPr="00EE1A6A" w:rsidRDefault="00CB758E" w:rsidP="00400213">
            <w:r w:rsidRPr="00EE1A6A">
              <w:t xml:space="preserve">1 x </w:t>
            </w:r>
            <w:r w:rsidR="00993EA2" w:rsidRPr="00EE1A6A">
              <w:t>480</w:t>
            </w:r>
            <w:r w:rsidRPr="00EE1A6A">
              <w:t xml:space="preserve"> ml</w:t>
            </w:r>
          </w:p>
        </w:tc>
      </w:tr>
      <w:tr w:rsidR="00CB758E" w:rsidRPr="00EE1A6A" w:rsidTr="00CB758E">
        <w:tc>
          <w:tcPr>
            <w:tcW w:w="6091" w:type="dxa"/>
            <w:gridSpan w:val="2"/>
          </w:tcPr>
          <w:p w:rsidR="00CB758E" w:rsidRPr="00EE1A6A" w:rsidRDefault="00CB758E" w:rsidP="00400213">
            <w:r w:rsidRPr="00EE1A6A">
              <w:t>Další komponenty: sáček se zipovým uzávěrem</w:t>
            </w:r>
          </w:p>
        </w:tc>
        <w:tc>
          <w:tcPr>
            <w:tcW w:w="1134" w:type="dxa"/>
          </w:tcPr>
          <w:p w:rsidR="00CB758E" w:rsidRPr="00EE1A6A" w:rsidRDefault="00CB758E" w:rsidP="00400213">
            <w:r w:rsidRPr="00EE1A6A">
              <w:t>1</w:t>
            </w:r>
          </w:p>
        </w:tc>
        <w:tc>
          <w:tcPr>
            <w:tcW w:w="1134" w:type="dxa"/>
          </w:tcPr>
          <w:p w:rsidR="00CB758E" w:rsidRPr="00EE1A6A" w:rsidRDefault="00CB758E" w:rsidP="00400213">
            <w:r w:rsidRPr="00EE1A6A">
              <w:t>1</w:t>
            </w:r>
          </w:p>
        </w:tc>
      </w:tr>
    </w:tbl>
    <w:p w:rsidR="007C2547" w:rsidRPr="00EE1A6A" w:rsidRDefault="007C2547" w:rsidP="00993EA2">
      <w:pPr>
        <w:spacing w:after="0"/>
      </w:pPr>
      <w:r w:rsidRPr="00EE1A6A">
        <w:t>Poznámka: Popis symbolů použitých v této příbalové informaci a popisků této testovací sady najdete v tabulce na konci informace.</w:t>
      </w:r>
    </w:p>
    <w:p w:rsidR="00993EA2" w:rsidRPr="00EE1A6A" w:rsidRDefault="00993EA2" w:rsidP="00993EA2">
      <w:pPr>
        <w:spacing w:after="0"/>
        <w:rPr>
          <w:b/>
        </w:rPr>
      </w:pPr>
      <w:r w:rsidRPr="00EE1A6A">
        <w:rPr>
          <w:b/>
        </w:rPr>
        <w:lastRenderedPageBreak/>
        <w:t>Uchovávání</w:t>
      </w:r>
    </w:p>
    <w:p w:rsidR="00993EA2" w:rsidRPr="00EE1A6A" w:rsidRDefault="00993EA2" w:rsidP="00993EA2">
      <w:pPr>
        <w:spacing w:after="0"/>
      </w:pPr>
    </w:p>
    <w:p w:rsidR="007C2547" w:rsidRPr="00EE1A6A" w:rsidRDefault="007C2547" w:rsidP="007C2547">
      <w:pPr>
        <w:spacing w:after="0"/>
      </w:pPr>
      <w:r w:rsidRPr="00EE1A6A">
        <w:t>Činidla uchovávejte při teplotě 2–8 °C. Činidla jsou za předpokladu řádného skladování stabilní do</w:t>
      </w:r>
      <w:r w:rsidR="00EE1A6A" w:rsidRPr="00EE1A6A">
        <w:t> </w:t>
      </w:r>
      <w:r w:rsidRPr="00EE1A6A">
        <w:t>data exspirace.</w:t>
      </w:r>
    </w:p>
    <w:p w:rsidR="00993EA2" w:rsidRPr="00EE1A6A" w:rsidRDefault="00993EA2" w:rsidP="00993EA2">
      <w:pPr>
        <w:spacing w:after="0"/>
      </w:pPr>
    </w:p>
    <w:p w:rsidR="00993EA2" w:rsidRPr="00EE1A6A" w:rsidRDefault="00993EA2" w:rsidP="00993EA2">
      <w:pPr>
        <w:spacing w:after="0"/>
        <w:rPr>
          <w:b/>
        </w:rPr>
      </w:pPr>
      <w:r w:rsidRPr="00EE1A6A">
        <w:rPr>
          <w:b/>
        </w:rPr>
        <w:t>Potřebné materiály, které nejsou součástí soupravy</w:t>
      </w:r>
    </w:p>
    <w:p w:rsidR="00993EA2" w:rsidRPr="00EE1A6A" w:rsidRDefault="00993EA2" w:rsidP="00993EA2">
      <w:pPr>
        <w:spacing w:after="0"/>
      </w:pPr>
    </w:p>
    <w:p w:rsidR="00993EA2" w:rsidRPr="00EE1A6A" w:rsidRDefault="00993EA2" w:rsidP="00993EA2">
      <w:pPr>
        <w:pStyle w:val="Odstavecseseznamem"/>
        <w:numPr>
          <w:ilvl w:val="0"/>
          <w:numId w:val="1"/>
        </w:numPr>
        <w:spacing w:after="0"/>
      </w:pPr>
      <w:r w:rsidRPr="00EE1A6A">
        <w:t>Přesné pipety nebo multikanálové pipety</w:t>
      </w:r>
    </w:p>
    <w:p w:rsidR="00993EA2" w:rsidRPr="00EE1A6A" w:rsidRDefault="00993EA2" w:rsidP="00993EA2">
      <w:pPr>
        <w:pStyle w:val="Odstavecseseznamem"/>
        <w:numPr>
          <w:ilvl w:val="0"/>
          <w:numId w:val="1"/>
        </w:numPr>
        <w:spacing w:after="0"/>
      </w:pPr>
      <w:r w:rsidRPr="00EE1A6A">
        <w:t>Jednorázové pipetovací špičky</w:t>
      </w:r>
    </w:p>
    <w:p w:rsidR="00993EA2" w:rsidRPr="00EE1A6A" w:rsidRDefault="00993EA2" w:rsidP="00993EA2">
      <w:pPr>
        <w:pStyle w:val="Odstavecseseznamem"/>
        <w:numPr>
          <w:ilvl w:val="0"/>
          <w:numId w:val="1"/>
        </w:numPr>
        <w:spacing w:after="0"/>
      </w:pPr>
      <w:r w:rsidRPr="00EE1A6A">
        <w:t>Odměrný válec pro přípravu promývacího roztoku</w:t>
      </w:r>
    </w:p>
    <w:p w:rsidR="00993EA2" w:rsidRPr="00EE1A6A" w:rsidRDefault="00993EA2" w:rsidP="00993EA2">
      <w:pPr>
        <w:pStyle w:val="Odstavecseseznamem"/>
        <w:numPr>
          <w:ilvl w:val="0"/>
          <w:numId w:val="1"/>
        </w:numPr>
        <w:spacing w:after="0"/>
      </w:pPr>
      <w:r w:rsidRPr="00EE1A6A">
        <w:t>Čtečka mikrodestiček s 96 jamkami (vybavená filtrem s vlnovou délkou 450 nm nebo</w:t>
      </w:r>
      <w:r w:rsidR="00EE1A6A" w:rsidRPr="00EE1A6A">
        <w:t> </w:t>
      </w:r>
      <w:r w:rsidRPr="00EE1A6A">
        <w:t>duálními filtry o vlnové délce 450 a 650 nm)</w:t>
      </w:r>
    </w:p>
    <w:p w:rsidR="00993EA2" w:rsidRPr="00EE1A6A" w:rsidRDefault="00993EA2" w:rsidP="00993EA2">
      <w:pPr>
        <w:pStyle w:val="Odstavecseseznamem"/>
        <w:numPr>
          <w:ilvl w:val="0"/>
          <w:numId w:val="1"/>
        </w:numPr>
        <w:spacing w:after="0"/>
      </w:pPr>
      <w:r w:rsidRPr="00EE1A6A">
        <w:t>Mycí zařízení na mikrodestičky (manuální, poloautomatický nebo automatický systém)</w:t>
      </w:r>
    </w:p>
    <w:p w:rsidR="00993EA2" w:rsidRPr="00EE1A6A" w:rsidRDefault="00993EA2" w:rsidP="00993EA2">
      <w:pPr>
        <w:pStyle w:val="Odstavecseseznamem"/>
        <w:numPr>
          <w:ilvl w:val="0"/>
          <w:numId w:val="1"/>
        </w:numPr>
        <w:spacing w:after="0"/>
      </w:pPr>
      <w:r w:rsidRPr="00EE1A6A">
        <w:t xml:space="preserve">Pro přípravu </w:t>
      </w:r>
      <w:r w:rsidR="004707E7" w:rsidRPr="00EE1A6A">
        <w:t>činidel</w:t>
      </w:r>
      <w:r w:rsidRPr="00EE1A6A">
        <w:t xml:space="preserve"> používaných při testu používejte pouze destilovanou nebo</w:t>
      </w:r>
      <w:r w:rsidR="00EE1A6A" w:rsidRPr="00EE1A6A">
        <w:t> </w:t>
      </w:r>
      <w:r w:rsidRPr="00EE1A6A">
        <w:t>deionizovanou vodu</w:t>
      </w:r>
    </w:p>
    <w:p w:rsidR="00993EA2" w:rsidRPr="00EE1A6A" w:rsidRDefault="00993EA2" w:rsidP="00993EA2">
      <w:pPr>
        <w:pStyle w:val="Odstavecseseznamem"/>
        <w:numPr>
          <w:ilvl w:val="0"/>
          <w:numId w:val="1"/>
        </w:numPr>
        <w:spacing w:after="0"/>
      </w:pPr>
      <w:r w:rsidRPr="00EE1A6A">
        <w:t>Kryty na mikrodestičky (víčka, hliníková nebo přilnavá fólie) a/nebo vlhká komora</w:t>
      </w:r>
    </w:p>
    <w:p w:rsidR="00993EA2" w:rsidRPr="00EE1A6A" w:rsidRDefault="00993EA2" w:rsidP="00993EA2">
      <w:pPr>
        <w:pStyle w:val="Odstavecseseznamem"/>
        <w:numPr>
          <w:ilvl w:val="0"/>
          <w:numId w:val="1"/>
        </w:numPr>
        <w:spacing w:after="0"/>
      </w:pPr>
      <w:r w:rsidRPr="00EE1A6A">
        <w:t xml:space="preserve">Centrifuga (přetížení </w:t>
      </w:r>
      <w:r w:rsidR="00703742" w:rsidRPr="00EE1A6A">
        <w:t>20</w:t>
      </w:r>
      <w:r w:rsidRPr="00EE1A6A">
        <w:t>00x g)</w:t>
      </w:r>
    </w:p>
    <w:p w:rsidR="00993EA2" w:rsidRPr="00EE1A6A" w:rsidRDefault="00703742" w:rsidP="00993EA2">
      <w:pPr>
        <w:pStyle w:val="Odstavecseseznamem"/>
        <w:numPr>
          <w:ilvl w:val="0"/>
          <w:numId w:val="1"/>
        </w:numPr>
        <w:spacing w:after="0"/>
      </w:pPr>
      <w:r w:rsidRPr="00EE1A6A">
        <w:t>Vortex nebo ekvivalentní zařízení</w:t>
      </w:r>
    </w:p>
    <w:p w:rsidR="00703742" w:rsidRPr="00EE1A6A" w:rsidRDefault="00703742" w:rsidP="00993EA2">
      <w:pPr>
        <w:pStyle w:val="Odstavecseseznamem"/>
        <w:numPr>
          <w:ilvl w:val="0"/>
          <w:numId w:val="1"/>
        </w:numPr>
        <w:spacing w:after="0"/>
      </w:pPr>
      <w:r w:rsidRPr="00EE1A6A">
        <w:t>Třepačka mikrodestiček</w:t>
      </w:r>
    </w:p>
    <w:p w:rsidR="00993EA2" w:rsidRPr="00EE1A6A" w:rsidRDefault="00993EA2" w:rsidP="00993EA2">
      <w:pPr>
        <w:spacing w:after="0"/>
      </w:pPr>
    </w:p>
    <w:p w:rsidR="00993EA2" w:rsidRPr="00EE1A6A" w:rsidRDefault="00993EA2" w:rsidP="00993EA2">
      <w:pPr>
        <w:spacing w:after="0"/>
        <w:rPr>
          <w:b/>
        </w:rPr>
      </w:pPr>
      <w:r w:rsidRPr="00EE1A6A">
        <w:rPr>
          <w:b/>
        </w:rPr>
        <w:t>Bezpečnostní opatření a upozornění pro uživatele</w:t>
      </w:r>
    </w:p>
    <w:p w:rsidR="00993EA2" w:rsidRPr="00EE1A6A" w:rsidRDefault="00993EA2" w:rsidP="00993EA2">
      <w:pPr>
        <w:spacing w:after="0"/>
      </w:pPr>
    </w:p>
    <w:p w:rsidR="00993EA2" w:rsidRPr="00EE1A6A" w:rsidRDefault="00993EA2" w:rsidP="00993EA2">
      <w:pPr>
        <w:pStyle w:val="Odstavecseseznamem"/>
        <w:numPr>
          <w:ilvl w:val="0"/>
          <w:numId w:val="2"/>
        </w:numPr>
        <w:spacing w:after="0"/>
      </w:pPr>
      <w:r w:rsidRPr="00EE1A6A">
        <w:t>Se všemi biologickými materiály zacházejte jako s potenciálně infekčními.</w:t>
      </w:r>
    </w:p>
    <w:p w:rsidR="00993EA2" w:rsidRPr="00EE1A6A" w:rsidRDefault="00993EA2" w:rsidP="00993EA2">
      <w:pPr>
        <w:pStyle w:val="Odstavecseseznamem"/>
        <w:numPr>
          <w:ilvl w:val="0"/>
          <w:numId w:val="2"/>
        </w:numPr>
        <w:spacing w:after="0"/>
      </w:pPr>
      <w:r w:rsidRPr="00EE1A6A">
        <w:t xml:space="preserve">Při manipulaci se vzorky a </w:t>
      </w:r>
      <w:r w:rsidR="004707E7" w:rsidRPr="00EE1A6A">
        <w:t>činidly</w:t>
      </w:r>
      <w:r w:rsidRPr="00EE1A6A">
        <w:t xml:space="preserve"> používejte ochranné rukavice / ochranný oděv / ochranu očí nebo obličeje.</w:t>
      </w:r>
    </w:p>
    <w:p w:rsidR="00993EA2" w:rsidRPr="00EE1A6A" w:rsidRDefault="00993EA2" w:rsidP="00993EA2">
      <w:pPr>
        <w:pStyle w:val="Odstavecseseznamem"/>
        <w:numPr>
          <w:ilvl w:val="0"/>
          <w:numId w:val="2"/>
        </w:numPr>
        <w:spacing w:after="0"/>
      </w:pPr>
      <w:r w:rsidRPr="00EE1A6A">
        <w:t>Další informace najdete v materiálových bezpečnostních listech.</w:t>
      </w:r>
    </w:p>
    <w:p w:rsidR="004707E7" w:rsidRPr="00EE1A6A" w:rsidRDefault="004707E7" w:rsidP="004707E7">
      <w:pPr>
        <w:pStyle w:val="Odstavecseseznamem"/>
        <w:numPr>
          <w:ilvl w:val="0"/>
          <w:numId w:val="2"/>
        </w:numPr>
        <w:spacing w:after="0"/>
      </w:pPr>
      <w:r w:rsidRPr="00EE1A6A">
        <w:t>Upozornění a bezpečnostní opatření pro použití činidel naleznete na konci této příbalové informace.</w:t>
      </w:r>
    </w:p>
    <w:p w:rsidR="00993EA2" w:rsidRPr="00EE1A6A" w:rsidRDefault="00993EA2" w:rsidP="00993EA2">
      <w:pPr>
        <w:spacing w:after="0"/>
        <w:rPr>
          <w:b/>
        </w:rPr>
      </w:pPr>
    </w:p>
    <w:p w:rsidR="00993EA2" w:rsidRPr="00EE1A6A" w:rsidRDefault="00993EA2" w:rsidP="00993EA2">
      <w:pPr>
        <w:spacing w:after="0"/>
        <w:rPr>
          <w:b/>
        </w:rPr>
      </w:pPr>
      <w:r w:rsidRPr="00EE1A6A">
        <w:rPr>
          <w:b/>
        </w:rPr>
        <w:t>Laboratorní p</w:t>
      </w:r>
      <w:r w:rsidR="00BB0234" w:rsidRPr="00EE1A6A">
        <w:rPr>
          <w:b/>
        </w:rPr>
        <w:t>raxe</w:t>
      </w:r>
    </w:p>
    <w:p w:rsidR="00993EA2" w:rsidRPr="00EE1A6A" w:rsidRDefault="00993EA2" w:rsidP="00993EA2">
      <w:pPr>
        <w:spacing w:after="0"/>
      </w:pPr>
    </w:p>
    <w:p w:rsidR="00993EA2" w:rsidRPr="00EE1A6A" w:rsidRDefault="00993EA2" w:rsidP="00993EA2">
      <w:pPr>
        <w:pStyle w:val="Odstavecseseznamem"/>
        <w:numPr>
          <w:ilvl w:val="0"/>
          <w:numId w:val="3"/>
        </w:numPr>
        <w:spacing w:after="0"/>
      </w:pPr>
      <w:r w:rsidRPr="00EE1A6A">
        <w:t>Pro dosažení optimálních výsledků přesně dodržujte tento protokol. K zachování přesnosti a</w:t>
      </w:r>
      <w:r w:rsidR="00EE1A6A" w:rsidRPr="00EE1A6A">
        <w:t> </w:t>
      </w:r>
      <w:r w:rsidRPr="00EE1A6A">
        <w:t>správnosti je nezbytné pečlivé pipetování, měření času a promývání během postupu. Pro</w:t>
      </w:r>
      <w:r w:rsidR="00EE1A6A" w:rsidRPr="00EE1A6A">
        <w:t> </w:t>
      </w:r>
      <w:r w:rsidRPr="00EE1A6A">
        <w:t>každý vzorek a kontrolu použijte vždy novou pipetovací špičku.</w:t>
      </w:r>
    </w:p>
    <w:p w:rsidR="00993EA2" w:rsidRPr="00EE1A6A" w:rsidRDefault="00993EA2" w:rsidP="00993EA2">
      <w:pPr>
        <w:pStyle w:val="Odstavecseseznamem"/>
        <w:numPr>
          <w:ilvl w:val="0"/>
          <w:numId w:val="3"/>
        </w:numPr>
        <w:spacing w:after="0"/>
      </w:pPr>
      <w:r w:rsidRPr="00EE1A6A">
        <w:t xml:space="preserve">Roztok TMB nevystavujte silnému světlu nebo jakýmkoli oxidačním činidlům. Pro manipulaci s roztokem TMB používejte čisté skleněné nebo plastové nádoby. </w:t>
      </w:r>
    </w:p>
    <w:p w:rsidR="00993EA2" w:rsidRPr="00EE1A6A" w:rsidRDefault="00993EA2" w:rsidP="00993EA2">
      <w:pPr>
        <w:pStyle w:val="Odstavecseseznamem"/>
        <w:numPr>
          <w:ilvl w:val="0"/>
          <w:numId w:val="3"/>
        </w:numPr>
        <w:spacing w:after="0"/>
      </w:pPr>
      <w:r w:rsidRPr="00EE1A6A">
        <w:t>Všechny odpady je třeba před likvidací řádně dekontaminovat. Obsah likvidujte v souladu s</w:t>
      </w:r>
      <w:r w:rsidR="00EE1A6A" w:rsidRPr="00EE1A6A">
        <w:t> </w:t>
      </w:r>
      <w:r w:rsidRPr="00EE1A6A">
        <w:t>místními, regionálními a státními předpisy.</w:t>
      </w:r>
    </w:p>
    <w:p w:rsidR="00993EA2" w:rsidRPr="00EE1A6A" w:rsidRDefault="00993EA2" w:rsidP="00993EA2">
      <w:pPr>
        <w:pStyle w:val="Odstavecseseznamem"/>
        <w:numPr>
          <w:ilvl w:val="0"/>
          <w:numId w:val="3"/>
        </w:numPr>
        <w:spacing w:after="0"/>
      </w:pPr>
      <w:r w:rsidRPr="00EE1A6A">
        <w:t>Snažte se zabránit kontaminaci složek soupravy. Nenalévejte nepoužit</w:t>
      </w:r>
      <w:r w:rsidR="004707E7" w:rsidRPr="00EE1A6A">
        <w:t>á činidla</w:t>
      </w:r>
      <w:r w:rsidRPr="00EE1A6A">
        <w:t xml:space="preserve"> zpět do</w:t>
      </w:r>
      <w:r w:rsidR="00EE1A6A" w:rsidRPr="00EE1A6A">
        <w:t> </w:t>
      </w:r>
      <w:r w:rsidRPr="00EE1A6A">
        <w:t>nádob.</w:t>
      </w:r>
    </w:p>
    <w:p w:rsidR="00993EA2" w:rsidRPr="00EE1A6A" w:rsidRDefault="00993EA2" w:rsidP="00993EA2">
      <w:pPr>
        <w:pStyle w:val="Odstavecseseznamem"/>
        <w:numPr>
          <w:ilvl w:val="0"/>
          <w:numId w:val="3"/>
        </w:numPr>
        <w:spacing w:after="0"/>
      </w:pPr>
      <w:r w:rsidRPr="00EE1A6A">
        <w:t>Nepoužívejte soupravu po datu exspirace.</w:t>
      </w:r>
    </w:p>
    <w:p w:rsidR="004707E7" w:rsidRPr="00EE1A6A" w:rsidRDefault="004707E7" w:rsidP="004707E7">
      <w:pPr>
        <w:spacing w:after="0"/>
      </w:pPr>
    </w:p>
    <w:p w:rsidR="004707E7" w:rsidRPr="00EE1A6A" w:rsidRDefault="004707E7" w:rsidP="004707E7">
      <w:pPr>
        <w:spacing w:after="0"/>
      </w:pPr>
    </w:p>
    <w:p w:rsidR="00993EA2" w:rsidRPr="00EE1A6A" w:rsidRDefault="00993EA2" w:rsidP="00C86BD1">
      <w:pPr>
        <w:spacing w:after="0"/>
        <w:rPr>
          <w:b/>
        </w:rPr>
      </w:pPr>
      <w:r w:rsidRPr="00EE1A6A">
        <w:rPr>
          <w:b/>
        </w:rPr>
        <w:lastRenderedPageBreak/>
        <w:t xml:space="preserve">Příprava </w:t>
      </w:r>
      <w:r w:rsidR="00C86BD1" w:rsidRPr="00EE1A6A">
        <w:rPr>
          <w:b/>
        </w:rPr>
        <w:t>mycího roztoku</w:t>
      </w:r>
    </w:p>
    <w:p w:rsidR="00993EA2" w:rsidRPr="00EE1A6A" w:rsidRDefault="00993EA2" w:rsidP="00993EA2">
      <w:pPr>
        <w:spacing w:after="0"/>
      </w:pPr>
      <w:r w:rsidRPr="00EE1A6A">
        <w:t xml:space="preserve">Koncentrát mycího roztoku (10x) je nutno zahřát na teplotu 18–26°C a dobře promíchat, aby se rozpustily veškeré sražené soli.  Koncentrát mycího roztoku (10X) musí být před užitím zředěn v poměru 1:10 </w:t>
      </w:r>
      <w:r w:rsidR="00703742" w:rsidRPr="00EE1A6A">
        <w:t>ultračistou vodou (Milli Q nebo dvojitě destilovaná).</w:t>
      </w:r>
    </w:p>
    <w:p w:rsidR="00EE1A6A" w:rsidRPr="00EE1A6A" w:rsidRDefault="00703742" w:rsidP="00993EA2">
      <w:pPr>
        <w:spacing w:after="0"/>
      </w:pPr>
      <w:r w:rsidRPr="00EE1A6A">
        <w:t>Rekonstituovaný m</w:t>
      </w:r>
      <w:r w:rsidR="00993EA2" w:rsidRPr="00EE1A6A">
        <w:t>ycí roztok připravený za sterilních podmínek lze při teplotě 2–8°C</w:t>
      </w:r>
      <w:r w:rsidR="00501069" w:rsidRPr="00EE1A6A">
        <w:t xml:space="preserve"> uchovávat</w:t>
      </w:r>
      <w:r w:rsidR="00993EA2" w:rsidRPr="00EE1A6A">
        <w:t xml:space="preserve"> po</w:t>
      </w:r>
      <w:r w:rsidR="00EE1A6A" w:rsidRPr="00EE1A6A">
        <w:t> </w:t>
      </w:r>
      <w:r w:rsidR="00993EA2" w:rsidRPr="00EE1A6A">
        <w:t>dobu jednoho týdne.</w:t>
      </w:r>
    </w:p>
    <w:p w:rsidR="00993EA2" w:rsidRPr="00EE1A6A" w:rsidRDefault="00703742" w:rsidP="00993EA2">
      <w:pPr>
        <w:spacing w:after="0"/>
      </w:pPr>
      <w:r w:rsidRPr="00EE1A6A">
        <w:t>Příklad ředění: Na přípravu 300 ml mycího roztoku zřeďte 30 ml koncentrátu mycího roztoku (10X) 270 ml ultračisté vody (Milli Q nebo dvojitě destilované) a dobře promíchejte.</w:t>
      </w:r>
    </w:p>
    <w:p w:rsidR="00501069" w:rsidRPr="00EE1A6A" w:rsidRDefault="00501069" w:rsidP="00501069">
      <w:pPr>
        <w:spacing w:after="0"/>
      </w:pPr>
    </w:p>
    <w:p w:rsidR="00501069" w:rsidRPr="00EE1A6A" w:rsidRDefault="00501069" w:rsidP="00501069">
      <w:pPr>
        <w:spacing w:after="0"/>
        <w:rPr>
          <w:b/>
        </w:rPr>
      </w:pPr>
      <w:r w:rsidRPr="00EE1A6A">
        <w:rPr>
          <w:b/>
        </w:rPr>
        <w:t>Příprava vzorků</w:t>
      </w:r>
    </w:p>
    <w:p w:rsidR="00501069" w:rsidRPr="00EE1A6A" w:rsidRDefault="00501069" w:rsidP="00501069">
      <w:pPr>
        <w:spacing w:after="0"/>
      </w:pPr>
      <w:r w:rsidRPr="00EE1A6A">
        <w:t>Testovat lze čerstvé</w:t>
      </w:r>
      <w:r w:rsidR="00703742" w:rsidRPr="00EE1A6A">
        <w:t xml:space="preserve">, zchlazené (max. 8 dní při teplotě 2–8°C ) </w:t>
      </w:r>
      <w:r w:rsidRPr="00EE1A6A">
        <w:t>nebo zmražené vzorky séra a plazmy.</w:t>
      </w:r>
    </w:p>
    <w:p w:rsidR="00F65A41" w:rsidRPr="00EE1A6A" w:rsidRDefault="00F65A41" w:rsidP="00993EA2">
      <w:pPr>
        <w:spacing w:after="0"/>
        <w:rPr>
          <w:b/>
        </w:rPr>
      </w:pPr>
    </w:p>
    <w:p w:rsidR="00F65A41" w:rsidRPr="00EE1A6A" w:rsidRDefault="00F65A41" w:rsidP="00993EA2">
      <w:pPr>
        <w:spacing w:after="0"/>
        <w:rPr>
          <w:b/>
        </w:rPr>
      </w:pPr>
      <w:r w:rsidRPr="00EE1A6A">
        <w:rPr>
          <w:b/>
        </w:rPr>
        <w:t>Postup testu</w:t>
      </w:r>
    </w:p>
    <w:p w:rsidR="00F65A41" w:rsidRPr="00EE1A6A" w:rsidRDefault="00F65A41" w:rsidP="00F65A41">
      <w:r w:rsidRPr="00EE1A6A">
        <w:t>Všechn</w:t>
      </w:r>
      <w:r w:rsidR="004707E7" w:rsidRPr="00EE1A6A">
        <w:t>a činidla</w:t>
      </w:r>
      <w:r w:rsidRPr="00EE1A6A">
        <w:t xml:space="preserve"> použit</w:t>
      </w:r>
      <w:r w:rsidR="004707E7" w:rsidRPr="00EE1A6A">
        <w:t>á</w:t>
      </w:r>
      <w:r w:rsidRPr="00EE1A6A">
        <w:t xml:space="preserve"> v tomto testu musí mít teplotu 18–26°C. </w:t>
      </w:r>
      <w:r w:rsidR="004707E7" w:rsidRPr="00EE1A6A">
        <w:t>Činidla</w:t>
      </w:r>
      <w:r w:rsidRPr="00EE1A6A">
        <w:t xml:space="preserve"> se míchají jemným obracením nebo kroužením. </w:t>
      </w:r>
    </w:p>
    <w:p w:rsidR="00F65A41" w:rsidRPr="00EE1A6A" w:rsidRDefault="00F65A41" w:rsidP="00F65A41">
      <w:r w:rsidRPr="00EE1A6A">
        <w:t>1. Připravte si potažené destičky a zaznamenejte umístění vzorku. Používáte-li pouze část destičky, oddělte počet jamek odpovídající počtu testovaných vzorků. Zbylé jamky uložte spolu s desikantem do přiloženého sáčku se zipovým uzávěrem a vraťte do chladna (2–8°C).</w:t>
      </w:r>
    </w:p>
    <w:p w:rsidR="00F65A41" w:rsidRPr="00EE1A6A" w:rsidRDefault="00F65A41" w:rsidP="00F65A41">
      <w:r w:rsidRPr="00EE1A6A">
        <w:t xml:space="preserve">2. Do každé jamky </w:t>
      </w:r>
      <w:r w:rsidR="00703742" w:rsidRPr="00EE1A6A">
        <w:t xml:space="preserve">určené pro testované i kontrolní vzorky </w:t>
      </w:r>
      <w:r w:rsidRPr="00EE1A6A">
        <w:t xml:space="preserve">dejte 50 μl </w:t>
      </w:r>
      <w:r w:rsidR="00703742" w:rsidRPr="00EE1A6A">
        <w:t>ředicího</w:t>
      </w:r>
      <w:r w:rsidRPr="00EE1A6A">
        <w:t xml:space="preserve"> roztoku.</w:t>
      </w:r>
    </w:p>
    <w:p w:rsidR="00F65A41" w:rsidRPr="00EE1A6A" w:rsidRDefault="00F65A41" w:rsidP="00F65A41">
      <w:r w:rsidRPr="00EE1A6A">
        <w:t xml:space="preserve">3. Do duplicitních jamek dejte 50 μl </w:t>
      </w:r>
      <w:r w:rsidR="00703742" w:rsidRPr="00EE1A6A">
        <w:t>pozitivního kontrolního vzorku (PK).</w:t>
      </w:r>
    </w:p>
    <w:p w:rsidR="00F65A41" w:rsidRPr="00EE1A6A" w:rsidRDefault="00F65A41" w:rsidP="00F65A41">
      <w:r w:rsidRPr="00EE1A6A">
        <w:t xml:space="preserve">4. Do duplicitních jamek dejte 50 μl </w:t>
      </w:r>
      <w:r w:rsidR="00703742" w:rsidRPr="00EE1A6A">
        <w:t>negativního kontrolního vzorku (NK).</w:t>
      </w:r>
    </w:p>
    <w:p w:rsidR="00F65A41" w:rsidRPr="00EE1A6A" w:rsidRDefault="00F65A41" w:rsidP="00F65A41">
      <w:r w:rsidRPr="00EE1A6A">
        <w:t>5. Do zbývajících jamek dejte 50 μl testovaného vzorku</w:t>
      </w:r>
      <w:r w:rsidR="00703742" w:rsidRPr="00EE1A6A">
        <w:t xml:space="preserve"> séra nebo plazmy.</w:t>
      </w:r>
    </w:p>
    <w:p w:rsidR="00F65A41" w:rsidRPr="00EE1A6A" w:rsidRDefault="00F65A41" w:rsidP="00F65A41">
      <w:r w:rsidRPr="00EE1A6A">
        <w:t xml:space="preserve">6. Promíchejte obsah mikrojamek jemným poklepáním na destičku, nebo použijte třepačku. </w:t>
      </w:r>
    </w:p>
    <w:p w:rsidR="00F65A41" w:rsidRPr="00EE1A6A" w:rsidRDefault="00F65A41" w:rsidP="00F65A41">
      <w:r w:rsidRPr="00EE1A6A">
        <w:t xml:space="preserve">7. Inkubujte vzorky po 2 hodiny (±5 min.) nebo přes noc (12 - 18 hodin) při </w:t>
      </w:r>
      <w:r w:rsidR="00703742" w:rsidRPr="00EE1A6A">
        <w:t>18-26</w:t>
      </w:r>
      <w:r w:rsidRPr="00EE1A6A">
        <w:t xml:space="preserve">°C. Při použití kteréhokoli postupu by měly být destičky </w:t>
      </w:r>
      <w:r w:rsidR="00703742" w:rsidRPr="00EE1A6A">
        <w:t>dobře utěsněny</w:t>
      </w:r>
      <w:r w:rsidRPr="00EE1A6A">
        <w:t xml:space="preserve"> nebo inkubovány ve vlhké komoře</w:t>
      </w:r>
      <w:r w:rsidR="00703742" w:rsidRPr="00EE1A6A">
        <w:t xml:space="preserve"> s kryty</w:t>
      </w:r>
      <w:r w:rsidRPr="00EE1A6A">
        <w:t xml:space="preserve">, aby se zabránilo vypařování. </w:t>
      </w:r>
    </w:p>
    <w:p w:rsidR="00F65A41" w:rsidRPr="00EE1A6A" w:rsidRDefault="00F65A41" w:rsidP="00F65A41">
      <w:r w:rsidRPr="00EE1A6A">
        <w:t xml:space="preserve">8. Odstraňte roztok a každou jamku </w:t>
      </w:r>
      <w:r w:rsidR="00703742" w:rsidRPr="00EE1A6A">
        <w:t>3</w:t>
      </w:r>
      <w:r w:rsidRPr="00EE1A6A">
        <w:t>x vymyjte asi 300 μl mycího roztoku. Mezi vymýváním a</w:t>
      </w:r>
      <w:r w:rsidR="00EE1A6A" w:rsidRPr="00EE1A6A">
        <w:t> </w:t>
      </w:r>
      <w:r w:rsidRPr="00EE1A6A">
        <w:t>před</w:t>
      </w:r>
      <w:r w:rsidR="00EE1A6A" w:rsidRPr="00EE1A6A">
        <w:t> </w:t>
      </w:r>
      <w:r w:rsidRPr="00EE1A6A">
        <w:t xml:space="preserve">přidáním další reagencie nenechte destičku vyschnout. Pro odstranění zbylého mycího roztoku po posledním vymytí destičkou poklepejte na savý materiál. </w:t>
      </w:r>
    </w:p>
    <w:p w:rsidR="00F65A41" w:rsidRPr="00EE1A6A" w:rsidRDefault="00F65A41" w:rsidP="00F65A41">
      <w:r w:rsidRPr="00EE1A6A">
        <w:t>9. Do každé jamky dejte 100 μl konjugátu.</w:t>
      </w:r>
    </w:p>
    <w:p w:rsidR="00F65A41" w:rsidRPr="00EE1A6A" w:rsidRDefault="00F65A41" w:rsidP="00F65A41">
      <w:r w:rsidRPr="00EE1A6A">
        <w:t>10. Inkubujte po dobu 30 minut (±</w:t>
      </w:r>
      <w:r w:rsidR="00703742" w:rsidRPr="00EE1A6A">
        <w:t>2</w:t>
      </w:r>
      <w:r w:rsidRPr="00EE1A6A">
        <w:t xml:space="preserve"> min.) při teplotě 18–26°C.</w:t>
      </w:r>
      <w:r w:rsidR="00703742" w:rsidRPr="00EE1A6A">
        <w:t xml:space="preserve"> Destičky by měly být dobře utěsněny nebo inkubovány ve vlhké komoře s kryty, aby se zabránilo vypařování. </w:t>
      </w:r>
    </w:p>
    <w:p w:rsidR="00F65A41" w:rsidRPr="00EE1A6A" w:rsidRDefault="00F65A41" w:rsidP="00F65A41">
      <w:r w:rsidRPr="00EE1A6A">
        <w:t>11. Opakujte krok č. 8.</w:t>
      </w:r>
    </w:p>
    <w:p w:rsidR="00F65A41" w:rsidRPr="00EE1A6A" w:rsidRDefault="00F65A41" w:rsidP="00F65A41">
      <w:r w:rsidRPr="00EE1A6A">
        <w:t>12. Do každé jamky přidejte 100 μl TMB substrátu č. 12.</w:t>
      </w:r>
    </w:p>
    <w:p w:rsidR="00F65A41" w:rsidRPr="00EE1A6A" w:rsidRDefault="00F65A41" w:rsidP="00F65A41">
      <w:r w:rsidRPr="00EE1A6A">
        <w:t xml:space="preserve">13. Inkubujte po dobu 10 minut (±1 min.) při </w:t>
      </w:r>
      <w:r w:rsidR="00EF4820" w:rsidRPr="00EE1A6A">
        <w:t>teplotě 18–26°C mimo dosah přímého světla.</w:t>
      </w:r>
    </w:p>
    <w:p w:rsidR="00F65A41" w:rsidRPr="00EE1A6A" w:rsidRDefault="00F65A41" w:rsidP="00F65A41">
      <w:r w:rsidRPr="00EE1A6A">
        <w:t xml:space="preserve">14. Do každé jamky přidejte 100 μl zastavovacího roztoku č. 3. </w:t>
      </w:r>
    </w:p>
    <w:p w:rsidR="00F65A41" w:rsidRPr="00EE1A6A" w:rsidRDefault="00F65A41" w:rsidP="00F65A41">
      <w:r w:rsidRPr="00EE1A6A">
        <w:t xml:space="preserve">15. Změřte a zaznamenejte absorbanci vzorků a kontrolních vzorků při 450 nm nebo použijte duální vlnovou délku 450 nm a 650 nm.  </w:t>
      </w:r>
    </w:p>
    <w:p w:rsidR="00EF4820" w:rsidRPr="00EE1A6A" w:rsidRDefault="00EF4820" w:rsidP="00F65A41">
      <w:r w:rsidRPr="00EE1A6A">
        <w:lastRenderedPageBreak/>
        <w:t>16. Výpočty:</w:t>
      </w:r>
    </w:p>
    <w:p w:rsidR="00EF4820" w:rsidRPr="00EE1A6A" w:rsidRDefault="00EF4820" w:rsidP="00F65A41">
      <w:pPr>
        <w:rPr>
          <w:b/>
        </w:rPr>
      </w:pPr>
      <w:r w:rsidRPr="00EE1A6A">
        <w:rPr>
          <w:b/>
        </w:rPr>
        <w:t>Kontroly</w:t>
      </w:r>
    </w:p>
    <w:p w:rsidR="00EF4820" w:rsidRPr="00EE1A6A" w:rsidRDefault="00EF4820" w:rsidP="00EF4820">
      <w:pPr>
        <w:tabs>
          <w:tab w:val="left" w:pos="5520"/>
        </w:tabs>
      </w:pPr>
      <w:r w:rsidRPr="00EE1A6A">
        <w:t xml:space="preserve">NKx = </w:t>
      </w:r>
      <w:r w:rsidRPr="00EE1A6A">
        <w:rPr>
          <w:u w:val="single"/>
        </w:rPr>
        <w:t>NK1 A(450) + NK2 A(450</w:t>
      </w:r>
      <w:r w:rsidRPr="00EE1A6A">
        <w:t>)</w:t>
      </w:r>
      <w:r w:rsidRPr="00EE1A6A">
        <w:tab/>
        <w:t xml:space="preserve">PKx = </w:t>
      </w:r>
      <w:r w:rsidRPr="00EE1A6A">
        <w:rPr>
          <w:u w:val="single"/>
        </w:rPr>
        <w:t>PK1 A(450) + PK2 A(450)</w:t>
      </w:r>
      <w:r w:rsidRPr="00EE1A6A">
        <w:br/>
        <w:t xml:space="preserve">                               2                                                                                                             2</w:t>
      </w:r>
    </w:p>
    <w:p w:rsidR="00EF4820" w:rsidRPr="00EE1A6A" w:rsidRDefault="00EF4820" w:rsidP="00EF4820">
      <w:pPr>
        <w:rPr>
          <w:b/>
        </w:rPr>
      </w:pPr>
      <w:r w:rsidRPr="00EE1A6A">
        <w:rPr>
          <w:b/>
        </w:rPr>
        <w:t>Kritéria validity:</w:t>
      </w:r>
    </w:p>
    <w:p w:rsidR="00F65A41" w:rsidRPr="00EE1A6A" w:rsidRDefault="00C86BD1" w:rsidP="00993EA2">
      <w:pPr>
        <w:spacing w:after="0"/>
      </w:pPr>
      <w:r w:rsidRPr="00EE1A6A">
        <w:t>NKx &gt; 0,500                                     % blokování PKx &gt; 50</w:t>
      </w:r>
    </w:p>
    <w:p w:rsidR="00C86BD1" w:rsidRPr="00EE1A6A" w:rsidRDefault="00C86BD1" w:rsidP="00993EA2">
      <w:pPr>
        <w:spacing w:after="0"/>
      </w:pPr>
    </w:p>
    <w:p w:rsidR="00EF4820" w:rsidRPr="00EE1A6A" w:rsidRDefault="00EF4820" w:rsidP="00993EA2">
      <w:pPr>
        <w:spacing w:after="0"/>
      </w:pPr>
      <w:r w:rsidRPr="00EE1A6A">
        <w:t>Při neplatnosti výsledků je třeba předpokládat chybu v technice provedení. Doporučuje se důkladně znovu prostudovat př</w:t>
      </w:r>
      <w:r w:rsidR="004707E7" w:rsidRPr="00EE1A6A">
        <w:t>íbalovou informaci</w:t>
      </w:r>
      <w:r w:rsidRPr="00EE1A6A">
        <w:t xml:space="preserve"> a test provést znovu.</w:t>
      </w:r>
    </w:p>
    <w:p w:rsidR="00EF4820" w:rsidRPr="00EE1A6A" w:rsidRDefault="00EF4820" w:rsidP="00993EA2">
      <w:pPr>
        <w:spacing w:after="0"/>
      </w:pPr>
    </w:p>
    <w:p w:rsidR="00EF4820" w:rsidRPr="00EE1A6A" w:rsidRDefault="00EF4820" w:rsidP="00993EA2">
      <w:pPr>
        <w:spacing w:after="0"/>
      </w:pPr>
      <w:r w:rsidRPr="00EE1A6A">
        <w:rPr>
          <w:b/>
        </w:rPr>
        <w:t>Vzorky:</w:t>
      </w:r>
    </w:p>
    <w:p w:rsidR="00EF4820" w:rsidRPr="00EE1A6A" w:rsidRDefault="00EF4820" w:rsidP="00993EA2">
      <w:pPr>
        <w:spacing w:after="0"/>
      </w:pPr>
    </w:p>
    <w:p w:rsidR="00C86BD1" w:rsidRPr="00EE1A6A" w:rsidRDefault="00C86BD1" w:rsidP="00C86BD1">
      <w:pPr>
        <w:spacing w:after="0"/>
      </w:pPr>
      <w:r w:rsidRPr="00EE1A6A">
        <w:t xml:space="preserve">% blokování = 100 x </w:t>
      </w:r>
      <w:r w:rsidRPr="00EE1A6A">
        <w:rPr>
          <w:u w:val="single"/>
        </w:rPr>
        <w:t>NKx A(450) –A(450) vzorku</w:t>
      </w:r>
    </w:p>
    <w:p w:rsidR="00EF4820" w:rsidRPr="00EE1A6A" w:rsidRDefault="00C86BD1" w:rsidP="00C86BD1">
      <w:pPr>
        <w:spacing w:after="0"/>
      </w:pPr>
      <w:r w:rsidRPr="00EE1A6A">
        <w:t xml:space="preserve">                                              NKx A(450)</w:t>
      </w:r>
    </w:p>
    <w:p w:rsidR="00C86BD1" w:rsidRPr="00EE1A6A" w:rsidRDefault="00C86BD1" w:rsidP="00C86BD1">
      <w:pPr>
        <w:spacing w:after="0"/>
      </w:pPr>
    </w:p>
    <w:p w:rsidR="00EF4820" w:rsidRPr="00EE1A6A" w:rsidRDefault="00EF4820" w:rsidP="00CB758E">
      <w:pPr>
        <w:spacing w:after="0"/>
      </w:pPr>
      <w:r w:rsidRPr="00EE1A6A">
        <w:t>17. Interpretace:</w:t>
      </w:r>
    </w:p>
    <w:p w:rsidR="00EF4820" w:rsidRPr="00EE1A6A" w:rsidRDefault="00EF4820" w:rsidP="00CB758E">
      <w:pPr>
        <w:spacing w:after="0"/>
      </w:pPr>
      <w:r w:rsidRPr="00EE1A6A">
        <w:t xml:space="preserve">Negativní: </w:t>
      </w:r>
      <w:r w:rsidR="00C86BD1" w:rsidRPr="00EE1A6A">
        <w:t>% blokování ≤ 30</w:t>
      </w:r>
    </w:p>
    <w:p w:rsidR="00C86BD1" w:rsidRPr="00EE1A6A" w:rsidRDefault="00C86BD1" w:rsidP="00CB758E">
      <w:pPr>
        <w:spacing w:after="0"/>
      </w:pPr>
      <w:r w:rsidRPr="00EE1A6A">
        <w:t>Suspektní: 30 &lt; % blokování &lt; 40</w:t>
      </w:r>
    </w:p>
    <w:p w:rsidR="00EF4820" w:rsidRPr="00EE1A6A" w:rsidRDefault="00EF4820" w:rsidP="00CB758E">
      <w:pPr>
        <w:spacing w:after="0"/>
      </w:pPr>
      <w:r w:rsidRPr="00EE1A6A">
        <w:t xml:space="preserve">Pozitivní: </w:t>
      </w:r>
      <w:r w:rsidR="00C86BD1" w:rsidRPr="00EE1A6A">
        <w:t>% blokování ≥ 40</w:t>
      </w:r>
    </w:p>
    <w:p w:rsidR="00EF4820" w:rsidRPr="00EE1A6A" w:rsidRDefault="00EF4820" w:rsidP="00EF4820">
      <w:r w:rsidRPr="00EE1A6A">
        <w:rPr>
          <w:b/>
        </w:rPr>
        <w:t>Poznámka</w:t>
      </w:r>
      <w:r w:rsidRPr="00EE1A6A">
        <w:t>: Společnost IDEXX má k dispozici přístrojové a softwarové systémy pro výpočet výsledků a</w:t>
      </w:r>
      <w:r w:rsidR="00EE1A6A" w:rsidRPr="00EE1A6A">
        <w:t> </w:t>
      </w:r>
      <w:r w:rsidRPr="00EE1A6A">
        <w:t>poskytování souhrnů dat.</w:t>
      </w:r>
    </w:p>
    <w:p w:rsidR="00EF4820" w:rsidRPr="00EE1A6A" w:rsidRDefault="00EF4820" w:rsidP="00EF4820">
      <w:pPr>
        <w:spacing w:after="0"/>
        <w:rPr>
          <w:b/>
        </w:rPr>
      </w:pPr>
      <w:r w:rsidRPr="00EE1A6A">
        <w:rPr>
          <w:b/>
        </w:rPr>
        <w:t>Technická podpora:</w:t>
      </w:r>
    </w:p>
    <w:p w:rsidR="00EF4820" w:rsidRPr="00EE1A6A" w:rsidRDefault="00EF4820" w:rsidP="00EF4820">
      <w:pPr>
        <w:spacing w:after="0"/>
      </w:pPr>
    </w:p>
    <w:p w:rsidR="00EF4820" w:rsidRPr="00EE1A6A" w:rsidRDefault="00EF4820" w:rsidP="00EF4820">
      <w:pPr>
        <w:spacing w:after="0"/>
      </w:pPr>
      <w:r w:rsidRPr="00EE1A6A">
        <w:t xml:space="preserve">IDEXX USA Tel: +1 800 548 9997 </w:t>
      </w:r>
      <w:r w:rsidR="00B95134" w:rsidRPr="00EE1A6A">
        <w:t>nebo</w:t>
      </w:r>
      <w:r w:rsidRPr="00EE1A6A">
        <w:t xml:space="preserve"> +1 207 556 4895</w:t>
      </w:r>
    </w:p>
    <w:p w:rsidR="00EF4820" w:rsidRPr="00EE1A6A" w:rsidRDefault="00EF4820" w:rsidP="00EF4820">
      <w:pPr>
        <w:spacing w:after="0"/>
      </w:pPr>
      <w:r w:rsidRPr="00EE1A6A">
        <w:t>IDEXX Evropa Tel: +800 727 43399</w:t>
      </w:r>
    </w:p>
    <w:p w:rsidR="00EF4820" w:rsidRPr="00EE1A6A" w:rsidRDefault="00EF4820" w:rsidP="00EF4820">
      <w:pPr>
        <w:spacing w:after="0"/>
      </w:pPr>
      <w:r w:rsidRPr="00EE1A6A">
        <w:t>Obraťte se na manažera nebo distributora společnosti IDEXX pro Vaši oblast nebo navštivte naši webovou stránku: www.idexx.com/production/contactlpd</w:t>
      </w:r>
    </w:p>
    <w:p w:rsidR="00EF4820" w:rsidRPr="00EE1A6A" w:rsidRDefault="00EF4820" w:rsidP="00EF4820">
      <w:pPr>
        <w:spacing w:after="0"/>
      </w:pPr>
    </w:p>
    <w:p w:rsidR="00EF4820" w:rsidRPr="00EE1A6A" w:rsidRDefault="00EF4820" w:rsidP="00EF4820">
      <w:pPr>
        <w:spacing w:after="0"/>
      </w:pPr>
      <w:r w:rsidRPr="00EE1A6A">
        <w:t>IDEXX a Test With Confidence jsou ochranné známky nebo registrované ochranné známky</w:t>
      </w:r>
    </w:p>
    <w:p w:rsidR="00EF4820" w:rsidRPr="00EE1A6A" w:rsidRDefault="00EF4820" w:rsidP="00EF4820">
      <w:pPr>
        <w:spacing w:after="0"/>
      </w:pPr>
      <w:r w:rsidRPr="00EE1A6A">
        <w:t>společnosti IDEXX Laboratories, Inc. nebo jejích přidružených společností ve Spojených státech amerických a/nebo v jiných zemích.</w:t>
      </w:r>
    </w:p>
    <w:p w:rsidR="00EF4820" w:rsidRPr="00EE1A6A" w:rsidRDefault="00EF4820" w:rsidP="00EF4820">
      <w:pPr>
        <w:spacing w:after="0"/>
      </w:pPr>
    </w:p>
    <w:p w:rsidR="00EF4820" w:rsidRPr="00EE1A6A" w:rsidRDefault="00EF4820" w:rsidP="00EF4820">
      <w:pPr>
        <w:spacing w:after="0"/>
      </w:pPr>
      <w:r w:rsidRPr="00EE1A6A">
        <w:t>©20</w:t>
      </w:r>
      <w:r w:rsidR="004707E7" w:rsidRPr="00EE1A6A">
        <w:t>22</w:t>
      </w:r>
      <w:r w:rsidRPr="00EE1A6A">
        <w:t xml:space="preserve"> IDEXX Laboratories, Inc. Všechna práva vyhrazena.</w:t>
      </w:r>
    </w:p>
    <w:p w:rsidR="00EF4820" w:rsidRPr="00EE1A6A" w:rsidRDefault="00EF4820" w:rsidP="00EF4820">
      <w:pPr>
        <w:spacing w:after="0"/>
      </w:pPr>
    </w:p>
    <w:p w:rsidR="004707E7" w:rsidRPr="00EE1A6A" w:rsidRDefault="004707E7" w:rsidP="00EF4820">
      <w:pPr>
        <w:spacing w:after="0"/>
        <w:rPr>
          <w:b/>
        </w:rPr>
      </w:pPr>
    </w:p>
    <w:p w:rsidR="004707E7" w:rsidRPr="00EE1A6A" w:rsidRDefault="004707E7" w:rsidP="00EF4820">
      <w:pPr>
        <w:spacing w:after="0"/>
        <w:rPr>
          <w:b/>
        </w:rPr>
      </w:pPr>
    </w:p>
    <w:p w:rsidR="004707E7" w:rsidRPr="00EE1A6A" w:rsidRDefault="004707E7" w:rsidP="00EF4820">
      <w:pPr>
        <w:spacing w:after="0"/>
        <w:rPr>
          <w:b/>
        </w:rPr>
      </w:pPr>
    </w:p>
    <w:p w:rsidR="004707E7" w:rsidRPr="00EE1A6A" w:rsidRDefault="004707E7" w:rsidP="00EF4820">
      <w:pPr>
        <w:spacing w:after="0"/>
        <w:rPr>
          <w:b/>
        </w:rPr>
      </w:pPr>
    </w:p>
    <w:p w:rsidR="004707E7" w:rsidRPr="00EE1A6A" w:rsidRDefault="004707E7" w:rsidP="00EF4820">
      <w:pPr>
        <w:spacing w:after="0"/>
        <w:rPr>
          <w:b/>
        </w:rPr>
      </w:pPr>
    </w:p>
    <w:p w:rsidR="004707E7" w:rsidRPr="00EE1A6A" w:rsidRDefault="004707E7" w:rsidP="00EF4820">
      <w:pPr>
        <w:spacing w:after="0"/>
        <w:rPr>
          <w:b/>
        </w:rPr>
      </w:pPr>
    </w:p>
    <w:p w:rsidR="004707E7" w:rsidRPr="00EE1A6A" w:rsidRDefault="004707E7" w:rsidP="00EF4820">
      <w:pPr>
        <w:spacing w:after="0"/>
        <w:rPr>
          <w:b/>
        </w:rPr>
      </w:pPr>
    </w:p>
    <w:p w:rsidR="004707E7" w:rsidRPr="00EE1A6A" w:rsidRDefault="004707E7" w:rsidP="00EF4820">
      <w:pPr>
        <w:spacing w:after="0"/>
        <w:rPr>
          <w:b/>
        </w:rPr>
      </w:pPr>
    </w:p>
    <w:p w:rsidR="004707E7" w:rsidRPr="00EE1A6A" w:rsidRDefault="004707E7" w:rsidP="00EF4820">
      <w:pPr>
        <w:spacing w:after="0"/>
        <w:rPr>
          <w:b/>
        </w:rPr>
      </w:pPr>
    </w:p>
    <w:p w:rsidR="00EF4820" w:rsidRPr="00EE1A6A" w:rsidRDefault="004707E7" w:rsidP="004707E7">
      <w:pPr>
        <w:spacing w:after="0"/>
        <w:jc w:val="center"/>
        <w:rPr>
          <w:b/>
        </w:rPr>
      </w:pPr>
      <w:r w:rsidRPr="00EE1A6A">
        <w:rPr>
          <w:b/>
        </w:rPr>
        <w:lastRenderedPageBreak/>
        <w:t>VAROVÁNÍ</w:t>
      </w:r>
    </w:p>
    <w:p w:rsidR="0075352E" w:rsidRPr="00EE1A6A" w:rsidRDefault="0075352E" w:rsidP="0075352E">
      <w:pPr>
        <w:spacing w:after="0"/>
        <w:rPr>
          <w:b/>
        </w:rPr>
      </w:pPr>
      <w:r w:rsidRPr="00EE1A6A">
        <w:rPr>
          <w:b/>
          <w:lang w:eastAsia="cs-CZ"/>
        </w:rPr>
        <w:drawing>
          <wp:inline distT="0" distB="0" distL="0" distR="0" wp14:anchorId="4ACA4144" wp14:editId="4C369E8D">
            <wp:extent cx="5759450" cy="300355"/>
            <wp:effectExtent l="0" t="0" r="0" b="444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300355"/>
                    </a:xfrm>
                    <a:prstGeom prst="rect">
                      <a:avLst/>
                    </a:prstGeom>
                    <a:noFill/>
                    <a:ln>
                      <a:noFill/>
                    </a:ln>
                  </pic:spPr>
                </pic:pic>
              </a:graphicData>
            </a:graphic>
          </wp:inline>
        </w:drawing>
      </w:r>
    </w:p>
    <w:p w:rsidR="0075352E" w:rsidRPr="00EE1A6A" w:rsidRDefault="0075352E" w:rsidP="0075352E">
      <w:pPr>
        <w:spacing w:after="0"/>
      </w:pPr>
      <w:r w:rsidRPr="00EE1A6A">
        <w:rPr>
          <w:b/>
        </w:rPr>
        <w:t>Pozitivní kontrola/Negativní kontrola/Konjugát/Promývací roztok</w:t>
      </w:r>
      <w:r w:rsidRPr="00EE1A6A">
        <w:t xml:space="preserve"> </w:t>
      </w:r>
      <w:r w:rsidRPr="00EE1A6A">
        <w:rPr>
          <w:b/>
        </w:rPr>
        <w:t xml:space="preserve">– </w:t>
      </w:r>
      <w:r w:rsidRPr="00EE1A6A">
        <w:t>Může vyvolat alergickou kožní reakci. Škodlivý pro vodní organismy, s dlouhodobými účinky.  Zamezte vdechování mlhy/par. Používejte ochranné rukavice. Při podráždění kůže nebo vyrážce: Vyhledejte lékařskou pomoc/ošetření.</w:t>
      </w:r>
    </w:p>
    <w:p w:rsidR="0075352E" w:rsidRPr="00EE1A6A" w:rsidRDefault="0075352E" w:rsidP="0075352E">
      <w:pPr>
        <w:spacing w:after="0"/>
      </w:pPr>
    </w:p>
    <w:p w:rsidR="0075352E" w:rsidRPr="00EE1A6A" w:rsidRDefault="0075352E" w:rsidP="004707E7">
      <w:pPr>
        <w:spacing w:after="0"/>
        <w:jc w:val="center"/>
        <w:rPr>
          <w:b/>
        </w:rPr>
      </w:pPr>
      <w:r w:rsidRPr="00EE1A6A">
        <w:rPr>
          <w:b/>
          <w:lang w:eastAsia="cs-CZ"/>
        </w:rPr>
        <w:drawing>
          <wp:inline distT="0" distB="0" distL="0" distR="0">
            <wp:extent cx="5759450" cy="279400"/>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79400"/>
                    </a:xfrm>
                    <a:prstGeom prst="rect">
                      <a:avLst/>
                    </a:prstGeom>
                    <a:noFill/>
                    <a:ln>
                      <a:noFill/>
                    </a:ln>
                  </pic:spPr>
                </pic:pic>
              </a:graphicData>
            </a:graphic>
          </wp:inline>
        </w:drawing>
      </w:r>
    </w:p>
    <w:p w:rsidR="0075352E" w:rsidRPr="00EE1A6A" w:rsidRDefault="0075352E" w:rsidP="0075352E">
      <w:pPr>
        <w:spacing w:after="0"/>
      </w:pPr>
      <w:r w:rsidRPr="00EE1A6A">
        <w:rPr>
          <w:b/>
        </w:rPr>
        <w:t xml:space="preserve">Ředící roztok - </w:t>
      </w:r>
      <w:r w:rsidRPr="00EE1A6A">
        <w:t xml:space="preserve">Může vyvolat alergickou kožní reakci. Způsobuje vážné podráždění. Škodlivý pro vodní organismy, s dlouhodobými účinky. Zamezte vdechování mlhy/par. Používejte ochranné rukavice/ochranné brýle/obličejový štít. PŘI ZASAŽENÍ OČÍ: Několik minut opatrně vyplachujte vodou. Vyjměte kontaktní čočky, jsou-li </w:t>
      </w:r>
      <w:r w:rsidR="00EE1A6A" w:rsidRPr="00EE1A6A">
        <w:t>nasazeny, a pokud</w:t>
      </w:r>
      <w:r w:rsidRPr="00EE1A6A">
        <w:t xml:space="preserve"> je lze vyjmout snadno. Pokračujte ve vyplachování. Při podráždění kůže nebo vyrážce: Vyhledejte lékařskou pomoc/ošetření.</w:t>
      </w:r>
    </w:p>
    <w:p w:rsidR="00EF4820" w:rsidRPr="00EE1A6A" w:rsidRDefault="00EF4820" w:rsidP="00EF4820">
      <w:pPr>
        <w:spacing w:after="0"/>
        <w:rPr>
          <w:b/>
        </w:rPr>
      </w:pPr>
    </w:p>
    <w:p w:rsidR="0075352E" w:rsidRPr="00EE1A6A" w:rsidRDefault="0075352E" w:rsidP="0075352E">
      <w:pPr>
        <w:spacing w:after="0"/>
        <w:rPr>
          <w:b/>
        </w:rPr>
      </w:pPr>
      <w:r w:rsidRPr="00EE1A6A">
        <w:rPr>
          <w:b/>
          <w:lang w:eastAsia="cs-CZ"/>
        </w:rPr>
        <w:drawing>
          <wp:inline distT="0" distB="0" distL="0" distR="0" wp14:anchorId="019B0D0E" wp14:editId="345079B9">
            <wp:extent cx="5759450" cy="42291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422910"/>
                    </a:xfrm>
                    <a:prstGeom prst="rect">
                      <a:avLst/>
                    </a:prstGeom>
                    <a:noFill/>
                    <a:ln>
                      <a:noFill/>
                    </a:ln>
                  </pic:spPr>
                </pic:pic>
              </a:graphicData>
            </a:graphic>
          </wp:inline>
        </w:drawing>
      </w:r>
    </w:p>
    <w:p w:rsidR="0075352E" w:rsidRPr="00EE1A6A" w:rsidRDefault="0075352E" w:rsidP="0075352E">
      <w:pPr>
        <w:rPr>
          <w:sz w:val="24"/>
        </w:rPr>
      </w:pPr>
      <w:r w:rsidRPr="00EE1A6A">
        <w:rPr>
          <w:b/>
        </w:rPr>
        <w:t xml:space="preserve">Zastavovací roztok – </w:t>
      </w:r>
      <w:r w:rsidRPr="00EE1A6A">
        <w:t>Způsobuje těžké poleptání kůže a poškození očí. Může vyvolat alergickou kožní reakci. Způsobuje vážné poškození očí. Nevdechujte mlhu/páry. Používejte ochranné rukavice/ochranný oděv/ochranné brýle/obličejový štít.</w:t>
      </w:r>
      <w:r w:rsidRPr="00EE1A6A">
        <w:rPr>
          <w:sz w:val="24"/>
          <w:szCs w:val="24"/>
        </w:rPr>
        <w:t xml:space="preserve"> </w:t>
      </w:r>
      <w:r w:rsidRPr="00EE1A6A">
        <w:t xml:space="preserve">PŘI STYKU S KŮŽÍ (nebo s vlasy): Veškeré kontaminované části oděvu okamžitě svlékněte. Opláchněte kůži vodou. PŘI ZASAŽENÍ OČÍ: Několik minut opatrně vyplachujte vodou. Vyjměte kontaktní čočky, jsou-li </w:t>
      </w:r>
      <w:r w:rsidR="00EE1A6A" w:rsidRPr="00EE1A6A">
        <w:t>nasazeny, a pokud</w:t>
      </w:r>
      <w:r w:rsidRPr="00EE1A6A">
        <w:t xml:space="preserve"> je lze vyjmout snadno. Pokračujte ve vyplachování. Okamžitě volejte TOXIKOLOGICKÉ INFORMAČNÍ STŘEDISKO /lékaře/. Při podráždění kůže nebo vyrážce: Vyhledejte lékařskou pomoc/ošetření.</w:t>
      </w:r>
    </w:p>
    <w:p w:rsidR="00EF4820" w:rsidRPr="00EE1A6A" w:rsidRDefault="00EF4820" w:rsidP="00EF4820">
      <w:pPr>
        <w:spacing w:after="0"/>
      </w:pPr>
    </w:p>
    <w:p w:rsidR="00EF4820" w:rsidRPr="00EE1A6A" w:rsidRDefault="0075352E" w:rsidP="00E736A5">
      <w:pPr>
        <w:rPr>
          <w:rFonts w:cs="TTE1965D00t00"/>
          <w:b/>
          <w:color w:val="000000"/>
        </w:rPr>
      </w:pPr>
      <w:r w:rsidRPr="00EE1A6A">
        <w:rPr>
          <w:rFonts w:cs="TTE1965D00t00"/>
          <w:b/>
          <w:color w:val="000000"/>
        </w:rPr>
        <w:t>Popis symbolů</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245"/>
      </w:tblGrid>
      <w:tr w:rsidR="00E736A5" w:rsidRPr="00EE1A6A" w:rsidTr="007B7D03">
        <w:tc>
          <w:tcPr>
            <w:tcW w:w="1980" w:type="dxa"/>
          </w:tcPr>
          <w:p w:rsidR="00E736A5" w:rsidRPr="00EE1A6A" w:rsidRDefault="00E736A5" w:rsidP="007B7D03">
            <w:pPr>
              <w:rPr>
                <w:rFonts w:cs="TTE1965D00t00"/>
                <w:b/>
                <w:color w:val="000000"/>
              </w:rPr>
            </w:pPr>
            <w:r w:rsidRPr="00EE1A6A">
              <w:rPr>
                <w:rFonts w:cs="TTE1965D00t00"/>
                <w:color w:val="000000"/>
                <w:lang w:eastAsia="cs-CZ"/>
              </w:rPr>
              <w:drawing>
                <wp:inline distT="0" distB="0" distL="0" distR="0" wp14:anchorId="1298920F" wp14:editId="02280ADE">
                  <wp:extent cx="445135" cy="314960"/>
                  <wp:effectExtent l="0" t="0" r="0" b="889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35" cy="314960"/>
                          </a:xfrm>
                          <a:prstGeom prst="rect">
                            <a:avLst/>
                          </a:prstGeom>
                          <a:noFill/>
                          <a:ln>
                            <a:noFill/>
                          </a:ln>
                        </pic:spPr>
                      </pic:pic>
                    </a:graphicData>
                  </a:graphic>
                </wp:inline>
              </w:drawing>
            </w:r>
          </w:p>
        </w:tc>
        <w:tc>
          <w:tcPr>
            <w:tcW w:w="5245" w:type="dxa"/>
          </w:tcPr>
          <w:p w:rsidR="00E736A5" w:rsidRPr="00EE1A6A" w:rsidRDefault="00E736A5" w:rsidP="007B7D03">
            <w:pPr>
              <w:rPr>
                <w:rFonts w:cs="TTE1965D00t00"/>
                <w:b/>
                <w:color w:val="000000"/>
              </w:rPr>
            </w:pPr>
            <w:r w:rsidRPr="00EE1A6A">
              <w:rPr>
                <w:rFonts w:cs="TTE1965D00t00"/>
                <w:color w:val="000000"/>
              </w:rPr>
              <w:t>Kód šarže</w:t>
            </w:r>
          </w:p>
        </w:tc>
      </w:tr>
      <w:tr w:rsidR="00E736A5" w:rsidRPr="00EE1A6A" w:rsidTr="007B7D03">
        <w:tc>
          <w:tcPr>
            <w:tcW w:w="1980" w:type="dxa"/>
          </w:tcPr>
          <w:p w:rsidR="00E736A5" w:rsidRPr="00EE1A6A" w:rsidRDefault="00E736A5" w:rsidP="007B7D03">
            <w:pPr>
              <w:rPr>
                <w:rFonts w:cs="TTE1965D00t00"/>
                <w:b/>
                <w:color w:val="000000"/>
              </w:rPr>
            </w:pPr>
            <w:r w:rsidRPr="00EE1A6A">
              <w:rPr>
                <w:rFonts w:cs="TTE1965D00t00"/>
                <w:color w:val="000000"/>
                <w:lang w:eastAsia="cs-CZ"/>
              </w:rPr>
              <w:drawing>
                <wp:inline distT="0" distB="0" distL="0" distR="0" wp14:anchorId="553589B7" wp14:editId="01F10BA0">
                  <wp:extent cx="522605" cy="421640"/>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605" cy="421640"/>
                          </a:xfrm>
                          <a:prstGeom prst="rect">
                            <a:avLst/>
                          </a:prstGeom>
                          <a:noFill/>
                          <a:ln>
                            <a:noFill/>
                          </a:ln>
                        </pic:spPr>
                      </pic:pic>
                    </a:graphicData>
                  </a:graphic>
                </wp:inline>
              </w:drawing>
            </w:r>
          </w:p>
        </w:tc>
        <w:tc>
          <w:tcPr>
            <w:tcW w:w="5245" w:type="dxa"/>
          </w:tcPr>
          <w:p w:rsidR="00E736A5" w:rsidRPr="00EE1A6A" w:rsidRDefault="00E736A5" w:rsidP="007B7D03">
            <w:pPr>
              <w:rPr>
                <w:rFonts w:cs="TTE1965D00t00"/>
                <w:b/>
                <w:color w:val="000000"/>
              </w:rPr>
            </w:pPr>
            <w:r w:rsidRPr="00EE1A6A">
              <w:rPr>
                <w:rFonts w:cs="TTE1965D00t00"/>
                <w:color w:val="000000"/>
              </w:rPr>
              <w:t>Sériové číslo</w:t>
            </w:r>
          </w:p>
        </w:tc>
      </w:tr>
      <w:tr w:rsidR="00E736A5" w:rsidRPr="00EE1A6A" w:rsidTr="007B7D03">
        <w:tc>
          <w:tcPr>
            <w:tcW w:w="1980" w:type="dxa"/>
          </w:tcPr>
          <w:p w:rsidR="00E736A5" w:rsidRPr="00EE1A6A" w:rsidRDefault="00E736A5" w:rsidP="007B7D03">
            <w:pPr>
              <w:rPr>
                <w:rFonts w:cs="TTE1965D00t00"/>
                <w:b/>
                <w:color w:val="000000"/>
              </w:rPr>
            </w:pPr>
            <w:r w:rsidRPr="00EE1A6A">
              <w:rPr>
                <w:rFonts w:cs="TTE1965D00t00"/>
                <w:color w:val="000000"/>
                <w:lang w:eastAsia="cs-CZ"/>
              </w:rPr>
              <w:drawing>
                <wp:inline distT="0" distB="0" distL="0" distR="0" wp14:anchorId="1757B0F3" wp14:editId="1A2C1A1F">
                  <wp:extent cx="487045" cy="421640"/>
                  <wp:effectExtent l="0" t="0" r="8255"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045" cy="421640"/>
                          </a:xfrm>
                          <a:prstGeom prst="rect">
                            <a:avLst/>
                          </a:prstGeom>
                          <a:noFill/>
                          <a:ln>
                            <a:noFill/>
                          </a:ln>
                        </pic:spPr>
                      </pic:pic>
                    </a:graphicData>
                  </a:graphic>
                </wp:inline>
              </w:drawing>
            </w:r>
          </w:p>
        </w:tc>
        <w:tc>
          <w:tcPr>
            <w:tcW w:w="5245" w:type="dxa"/>
          </w:tcPr>
          <w:p w:rsidR="00E736A5" w:rsidRPr="00EE1A6A" w:rsidRDefault="00E736A5" w:rsidP="007B7D03">
            <w:pPr>
              <w:rPr>
                <w:rFonts w:cs="TTE1965D00t00"/>
                <w:b/>
                <w:color w:val="000000"/>
              </w:rPr>
            </w:pPr>
            <w:r w:rsidRPr="00EE1A6A">
              <w:rPr>
                <w:rFonts w:cs="TTE1965D00t00"/>
                <w:color w:val="000000"/>
              </w:rPr>
              <w:t>Katalogové číslo</w:t>
            </w:r>
          </w:p>
        </w:tc>
      </w:tr>
      <w:tr w:rsidR="00E736A5" w:rsidRPr="00EE1A6A" w:rsidTr="007B7D03">
        <w:tc>
          <w:tcPr>
            <w:tcW w:w="1980" w:type="dxa"/>
          </w:tcPr>
          <w:p w:rsidR="00E736A5" w:rsidRPr="00EE1A6A" w:rsidRDefault="00E736A5" w:rsidP="007B7D03">
            <w:pPr>
              <w:rPr>
                <w:rFonts w:cs="TTE1965D00t00"/>
                <w:b/>
                <w:color w:val="000000"/>
              </w:rPr>
            </w:pPr>
            <w:r w:rsidRPr="00EE1A6A">
              <w:rPr>
                <w:rFonts w:cs="TTE1965D00t00"/>
                <w:color w:val="000000"/>
                <w:lang w:eastAsia="cs-CZ"/>
              </w:rPr>
              <w:drawing>
                <wp:inline distT="0" distB="0" distL="0" distR="0" wp14:anchorId="28F2D873" wp14:editId="07668EAB">
                  <wp:extent cx="563880" cy="409575"/>
                  <wp:effectExtent l="0" t="0" r="7620" b="952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880" cy="409575"/>
                          </a:xfrm>
                          <a:prstGeom prst="rect">
                            <a:avLst/>
                          </a:prstGeom>
                          <a:noFill/>
                          <a:ln>
                            <a:noFill/>
                          </a:ln>
                        </pic:spPr>
                      </pic:pic>
                    </a:graphicData>
                  </a:graphic>
                </wp:inline>
              </w:drawing>
            </w:r>
          </w:p>
        </w:tc>
        <w:tc>
          <w:tcPr>
            <w:tcW w:w="5245" w:type="dxa"/>
          </w:tcPr>
          <w:p w:rsidR="00E736A5" w:rsidRPr="00EE1A6A" w:rsidRDefault="00E736A5" w:rsidP="007B7D03">
            <w:pPr>
              <w:rPr>
                <w:rFonts w:cs="TTE1965D00t00"/>
                <w:b/>
                <w:color w:val="000000"/>
              </w:rPr>
            </w:pPr>
            <w:r w:rsidRPr="00EE1A6A">
              <w:rPr>
                <w:rFonts w:cs="TTE1965D00t00"/>
                <w:color w:val="000000"/>
              </w:rPr>
              <w:t>Diagnostika in vitro</w:t>
            </w:r>
          </w:p>
        </w:tc>
      </w:tr>
      <w:tr w:rsidR="00E736A5" w:rsidRPr="00EE1A6A" w:rsidTr="007B7D03">
        <w:tc>
          <w:tcPr>
            <w:tcW w:w="1980" w:type="dxa"/>
          </w:tcPr>
          <w:p w:rsidR="00E736A5" w:rsidRPr="00EE1A6A" w:rsidRDefault="00E736A5" w:rsidP="007B7D03">
            <w:pPr>
              <w:rPr>
                <w:rFonts w:cs="TTE1965D00t00"/>
                <w:b/>
                <w:color w:val="000000"/>
              </w:rPr>
            </w:pPr>
            <w:r w:rsidRPr="00EE1A6A">
              <w:rPr>
                <w:rFonts w:cs="TTE1965D00t00"/>
                <w:color w:val="000000"/>
                <w:lang w:eastAsia="cs-CZ"/>
              </w:rPr>
              <w:drawing>
                <wp:inline distT="0" distB="0" distL="0" distR="0" wp14:anchorId="047BF644" wp14:editId="22A32E66">
                  <wp:extent cx="563880" cy="445135"/>
                  <wp:effectExtent l="0" t="0" r="762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880" cy="445135"/>
                          </a:xfrm>
                          <a:prstGeom prst="rect">
                            <a:avLst/>
                          </a:prstGeom>
                          <a:noFill/>
                          <a:ln>
                            <a:noFill/>
                          </a:ln>
                        </pic:spPr>
                      </pic:pic>
                    </a:graphicData>
                  </a:graphic>
                </wp:inline>
              </w:drawing>
            </w:r>
          </w:p>
        </w:tc>
        <w:tc>
          <w:tcPr>
            <w:tcW w:w="5245" w:type="dxa"/>
          </w:tcPr>
          <w:p w:rsidR="00E736A5" w:rsidRPr="00EE1A6A" w:rsidRDefault="00E736A5" w:rsidP="007B7D03">
            <w:pPr>
              <w:rPr>
                <w:rFonts w:cs="TTE1965D00t00"/>
                <w:b/>
                <w:color w:val="000000"/>
              </w:rPr>
            </w:pPr>
            <w:r w:rsidRPr="00EE1A6A">
              <w:rPr>
                <w:rFonts w:cs="TTE1965D00t00"/>
                <w:color w:val="000000"/>
              </w:rPr>
              <w:t>Autorizovaný zástupce v Evropském společenství</w:t>
            </w:r>
          </w:p>
        </w:tc>
      </w:tr>
      <w:tr w:rsidR="00E736A5" w:rsidRPr="00EE1A6A" w:rsidTr="007B7D03">
        <w:tc>
          <w:tcPr>
            <w:tcW w:w="1980" w:type="dxa"/>
          </w:tcPr>
          <w:p w:rsidR="00E736A5" w:rsidRPr="00EE1A6A" w:rsidRDefault="00E736A5" w:rsidP="007B7D03">
            <w:pPr>
              <w:rPr>
                <w:rFonts w:cs="TTE1965D00t00"/>
                <w:b/>
                <w:color w:val="000000"/>
              </w:rPr>
            </w:pPr>
            <w:r w:rsidRPr="00EE1A6A">
              <w:rPr>
                <w:rFonts w:cs="TTE1965D00t00"/>
                <w:color w:val="000000"/>
                <w:lang w:eastAsia="cs-CZ"/>
              </w:rPr>
              <w:drawing>
                <wp:inline distT="0" distB="0" distL="0" distR="0" wp14:anchorId="6937D286" wp14:editId="1D9445DC">
                  <wp:extent cx="754380" cy="379730"/>
                  <wp:effectExtent l="0" t="0" r="7620" b="127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4380" cy="379730"/>
                          </a:xfrm>
                          <a:prstGeom prst="rect">
                            <a:avLst/>
                          </a:prstGeom>
                          <a:noFill/>
                          <a:ln>
                            <a:noFill/>
                          </a:ln>
                        </pic:spPr>
                      </pic:pic>
                    </a:graphicData>
                  </a:graphic>
                </wp:inline>
              </w:drawing>
            </w:r>
          </w:p>
        </w:tc>
        <w:tc>
          <w:tcPr>
            <w:tcW w:w="5245" w:type="dxa"/>
          </w:tcPr>
          <w:p w:rsidR="00E736A5" w:rsidRPr="00EE1A6A" w:rsidRDefault="00E736A5" w:rsidP="007B7D03">
            <w:pPr>
              <w:rPr>
                <w:rFonts w:cs="TTE1965D00t00"/>
                <w:b/>
                <w:color w:val="000000"/>
              </w:rPr>
            </w:pPr>
            <w:r w:rsidRPr="00EE1A6A">
              <w:rPr>
                <w:rFonts w:cs="TTE1965D00t00"/>
                <w:color w:val="000000"/>
              </w:rPr>
              <w:t>Pozitivní kontrolní vzorek</w:t>
            </w:r>
          </w:p>
        </w:tc>
      </w:tr>
      <w:tr w:rsidR="00E736A5" w:rsidRPr="00EE1A6A" w:rsidTr="007B7D03">
        <w:tc>
          <w:tcPr>
            <w:tcW w:w="1980" w:type="dxa"/>
          </w:tcPr>
          <w:p w:rsidR="00E736A5" w:rsidRPr="00EE1A6A" w:rsidRDefault="00E736A5" w:rsidP="007B7D03">
            <w:pPr>
              <w:rPr>
                <w:rFonts w:cs="TTE1965D00t00"/>
                <w:b/>
                <w:color w:val="000000"/>
              </w:rPr>
            </w:pPr>
            <w:r w:rsidRPr="00EE1A6A">
              <w:rPr>
                <w:rFonts w:cs="TTE1965D00t00"/>
                <w:color w:val="000000"/>
                <w:lang w:eastAsia="cs-CZ"/>
              </w:rPr>
              <w:drawing>
                <wp:inline distT="0" distB="0" distL="0" distR="0" wp14:anchorId="5C48C0F8" wp14:editId="6E1FBED6">
                  <wp:extent cx="789940" cy="297180"/>
                  <wp:effectExtent l="0" t="0" r="0" b="762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9940" cy="297180"/>
                          </a:xfrm>
                          <a:prstGeom prst="rect">
                            <a:avLst/>
                          </a:prstGeom>
                          <a:noFill/>
                          <a:ln>
                            <a:noFill/>
                          </a:ln>
                        </pic:spPr>
                      </pic:pic>
                    </a:graphicData>
                  </a:graphic>
                </wp:inline>
              </w:drawing>
            </w:r>
          </w:p>
        </w:tc>
        <w:tc>
          <w:tcPr>
            <w:tcW w:w="5245" w:type="dxa"/>
          </w:tcPr>
          <w:p w:rsidR="00E736A5" w:rsidRPr="00EE1A6A" w:rsidRDefault="00E736A5" w:rsidP="007B7D03">
            <w:pPr>
              <w:rPr>
                <w:rFonts w:cs="TTE1965D00t00"/>
                <w:b/>
                <w:color w:val="000000"/>
              </w:rPr>
            </w:pPr>
            <w:r w:rsidRPr="00EE1A6A">
              <w:rPr>
                <w:rFonts w:cs="TTE1965D00t00"/>
                <w:color w:val="000000"/>
              </w:rPr>
              <w:t>Negativní kontrolní vzorek</w:t>
            </w:r>
          </w:p>
        </w:tc>
      </w:tr>
      <w:tr w:rsidR="00E736A5" w:rsidRPr="00EE1A6A" w:rsidTr="007B7D03">
        <w:tc>
          <w:tcPr>
            <w:tcW w:w="1980" w:type="dxa"/>
          </w:tcPr>
          <w:p w:rsidR="00E736A5" w:rsidRPr="00EE1A6A" w:rsidRDefault="00E736A5" w:rsidP="007B7D03">
            <w:pPr>
              <w:rPr>
                <w:rFonts w:cs="TTE1965D00t00"/>
                <w:b/>
                <w:color w:val="000000"/>
              </w:rPr>
            </w:pPr>
            <w:r w:rsidRPr="00EE1A6A">
              <w:rPr>
                <w:rFonts w:cs="TTE1965D00t00"/>
                <w:color w:val="000000"/>
                <w:lang w:eastAsia="cs-CZ"/>
              </w:rPr>
              <w:drawing>
                <wp:inline distT="0" distB="0" distL="0" distR="0" wp14:anchorId="52E9024A" wp14:editId="5009B61C">
                  <wp:extent cx="445135" cy="581660"/>
                  <wp:effectExtent l="0" t="0" r="0" b="889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135" cy="581660"/>
                          </a:xfrm>
                          <a:prstGeom prst="rect">
                            <a:avLst/>
                          </a:prstGeom>
                          <a:noFill/>
                          <a:ln>
                            <a:noFill/>
                          </a:ln>
                        </pic:spPr>
                      </pic:pic>
                    </a:graphicData>
                  </a:graphic>
                </wp:inline>
              </w:drawing>
            </w:r>
          </w:p>
        </w:tc>
        <w:tc>
          <w:tcPr>
            <w:tcW w:w="5245" w:type="dxa"/>
          </w:tcPr>
          <w:p w:rsidR="00E736A5" w:rsidRPr="00EE1A6A" w:rsidRDefault="00E736A5" w:rsidP="007B7D03">
            <w:pPr>
              <w:rPr>
                <w:rFonts w:cs="TTE1965D00t00"/>
                <w:color w:val="000000"/>
              </w:rPr>
            </w:pPr>
          </w:p>
          <w:p w:rsidR="00E736A5" w:rsidRPr="00EE1A6A" w:rsidRDefault="00E736A5" w:rsidP="007B7D03">
            <w:pPr>
              <w:rPr>
                <w:rFonts w:cs="TTE1965D00t00"/>
                <w:b/>
                <w:color w:val="000000"/>
              </w:rPr>
            </w:pPr>
            <w:r w:rsidRPr="00EE1A6A">
              <w:rPr>
                <w:rFonts w:cs="TTE1965D00t00"/>
                <w:color w:val="000000"/>
              </w:rPr>
              <w:t>Použijte do</w:t>
            </w:r>
          </w:p>
        </w:tc>
      </w:tr>
      <w:tr w:rsidR="00E736A5" w:rsidRPr="00EE1A6A" w:rsidTr="007B7D03">
        <w:tc>
          <w:tcPr>
            <w:tcW w:w="1980" w:type="dxa"/>
          </w:tcPr>
          <w:p w:rsidR="00E736A5" w:rsidRPr="00EE1A6A" w:rsidRDefault="00E736A5" w:rsidP="007B7D03">
            <w:pPr>
              <w:rPr>
                <w:rFonts w:cs="TTE1965D00t00"/>
                <w:color w:val="000000"/>
              </w:rPr>
            </w:pPr>
            <w:r w:rsidRPr="00EE1A6A">
              <w:rPr>
                <w:rFonts w:cs="TTE1965D00t00"/>
                <w:color w:val="000000"/>
                <w:lang w:eastAsia="cs-CZ"/>
              </w:rPr>
              <w:lastRenderedPageBreak/>
              <w:drawing>
                <wp:inline distT="0" distB="0" distL="0" distR="0" wp14:anchorId="1F9C3939" wp14:editId="474C0C82">
                  <wp:extent cx="487045" cy="487045"/>
                  <wp:effectExtent l="0" t="0" r="8255" b="825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045" cy="487045"/>
                          </a:xfrm>
                          <a:prstGeom prst="rect">
                            <a:avLst/>
                          </a:prstGeom>
                          <a:noFill/>
                          <a:ln>
                            <a:noFill/>
                          </a:ln>
                        </pic:spPr>
                      </pic:pic>
                    </a:graphicData>
                  </a:graphic>
                </wp:inline>
              </w:drawing>
            </w:r>
          </w:p>
        </w:tc>
        <w:tc>
          <w:tcPr>
            <w:tcW w:w="5245" w:type="dxa"/>
          </w:tcPr>
          <w:p w:rsidR="00E736A5" w:rsidRPr="00EE1A6A" w:rsidRDefault="00E736A5" w:rsidP="007B7D03">
            <w:pPr>
              <w:rPr>
                <w:rFonts w:cs="TTE1965D00t00"/>
                <w:color w:val="000000"/>
              </w:rPr>
            </w:pPr>
          </w:p>
          <w:p w:rsidR="00E736A5" w:rsidRPr="00EE1A6A" w:rsidRDefault="00E736A5" w:rsidP="007B7D03">
            <w:pPr>
              <w:rPr>
                <w:rFonts w:cs="TTE1965D00t00"/>
                <w:color w:val="000000"/>
              </w:rPr>
            </w:pPr>
            <w:r w:rsidRPr="00EE1A6A">
              <w:rPr>
                <w:rFonts w:cs="TTE1965D00t00"/>
                <w:color w:val="000000"/>
              </w:rPr>
              <w:t>Datum výroby</w:t>
            </w:r>
          </w:p>
        </w:tc>
      </w:tr>
      <w:tr w:rsidR="00E736A5" w:rsidRPr="00EE1A6A" w:rsidTr="007B7D03">
        <w:tc>
          <w:tcPr>
            <w:tcW w:w="1980" w:type="dxa"/>
          </w:tcPr>
          <w:p w:rsidR="00E736A5" w:rsidRPr="00EE1A6A" w:rsidRDefault="00E736A5" w:rsidP="007B7D03">
            <w:pPr>
              <w:rPr>
                <w:rFonts w:cs="TTE1965D00t00"/>
                <w:color w:val="000000"/>
              </w:rPr>
            </w:pPr>
            <w:r w:rsidRPr="00EE1A6A">
              <w:rPr>
                <w:rFonts w:cs="TTE1965D00t00"/>
                <w:color w:val="000000"/>
                <w:lang w:eastAsia="cs-CZ"/>
              </w:rPr>
              <w:drawing>
                <wp:inline distT="0" distB="0" distL="0" distR="0" wp14:anchorId="4B88B809" wp14:editId="5708FED2">
                  <wp:extent cx="487045" cy="611505"/>
                  <wp:effectExtent l="0" t="0" r="8255"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7045" cy="611505"/>
                          </a:xfrm>
                          <a:prstGeom prst="rect">
                            <a:avLst/>
                          </a:prstGeom>
                          <a:noFill/>
                          <a:ln>
                            <a:noFill/>
                          </a:ln>
                        </pic:spPr>
                      </pic:pic>
                    </a:graphicData>
                  </a:graphic>
                </wp:inline>
              </w:drawing>
            </w:r>
          </w:p>
        </w:tc>
        <w:tc>
          <w:tcPr>
            <w:tcW w:w="5245" w:type="dxa"/>
          </w:tcPr>
          <w:p w:rsidR="00E736A5" w:rsidRPr="00EE1A6A" w:rsidRDefault="00E736A5" w:rsidP="007B7D03">
            <w:pPr>
              <w:rPr>
                <w:rFonts w:cs="TTE1965D00t00"/>
                <w:color w:val="000000"/>
              </w:rPr>
            </w:pPr>
          </w:p>
          <w:p w:rsidR="00E736A5" w:rsidRPr="00EE1A6A" w:rsidRDefault="00E736A5" w:rsidP="007B7D03">
            <w:pPr>
              <w:rPr>
                <w:rFonts w:cs="TTE1965D00t00"/>
                <w:color w:val="000000"/>
              </w:rPr>
            </w:pPr>
            <w:r w:rsidRPr="00EE1A6A">
              <w:rPr>
                <w:rFonts w:cs="TTE1965D00t00"/>
                <w:color w:val="000000"/>
              </w:rPr>
              <w:t>Výrobce</w:t>
            </w:r>
          </w:p>
        </w:tc>
      </w:tr>
      <w:tr w:rsidR="00E736A5" w:rsidRPr="00EE1A6A" w:rsidTr="007B7D03">
        <w:tc>
          <w:tcPr>
            <w:tcW w:w="1980" w:type="dxa"/>
          </w:tcPr>
          <w:p w:rsidR="00E736A5" w:rsidRPr="00EE1A6A" w:rsidRDefault="00E736A5" w:rsidP="007B7D03">
            <w:pPr>
              <w:rPr>
                <w:rFonts w:cs="TTE1965D00t00"/>
                <w:color w:val="000000"/>
              </w:rPr>
            </w:pPr>
            <w:r w:rsidRPr="00EE1A6A">
              <w:rPr>
                <w:rFonts w:cs="TTE1965D00t00"/>
                <w:color w:val="000000"/>
                <w:lang w:eastAsia="cs-CZ"/>
              </w:rPr>
              <w:drawing>
                <wp:inline distT="0" distB="0" distL="0" distR="0" wp14:anchorId="0F24980E" wp14:editId="09EA1BCB">
                  <wp:extent cx="445135" cy="647065"/>
                  <wp:effectExtent l="0" t="0" r="0" b="63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5135" cy="647065"/>
                          </a:xfrm>
                          <a:prstGeom prst="rect">
                            <a:avLst/>
                          </a:prstGeom>
                          <a:noFill/>
                          <a:ln>
                            <a:noFill/>
                          </a:ln>
                        </pic:spPr>
                      </pic:pic>
                    </a:graphicData>
                  </a:graphic>
                </wp:inline>
              </w:drawing>
            </w:r>
          </w:p>
        </w:tc>
        <w:tc>
          <w:tcPr>
            <w:tcW w:w="5245" w:type="dxa"/>
          </w:tcPr>
          <w:p w:rsidR="00E736A5" w:rsidRPr="00EE1A6A" w:rsidRDefault="00E736A5" w:rsidP="007B7D03">
            <w:pPr>
              <w:rPr>
                <w:rFonts w:cs="TTE1965D00t00"/>
                <w:color w:val="000000"/>
              </w:rPr>
            </w:pPr>
          </w:p>
          <w:p w:rsidR="00E736A5" w:rsidRPr="00EE1A6A" w:rsidRDefault="00E736A5" w:rsidP="007B7D03">
            <w:pPr>
              <w:rPr>
                <w:rFonts w:cs="TTE1965D00t00"/>
                <w:color w:val="000000"/>
              </w:rPr>
            </w:pPr>
            <w:r w:rsidRPr="00EE1A6A">
              <w:rPr>
                <w:rFonts w:cs="TTE1965D00t00"/>
                <w:color w:val="000000"/>
              </w:rPr>
              <w:t>Teplotní omezení</w:t>
            </w:r>
          </w:p>
        </w:tc>
      </w:tr>
      <w:tr w:rsidR="00E736A5" w:rsidRPr="00EE1A6A" w:rsidTr="007B7D03">
        <w:tc>
          <w:tcPr>
            <w:tcW w:w="1980" w:type="dxa"/>
          </w:tcPr>
          <w:p w:rsidR="00E736A5" w:rsidRPr="00EE1A6A" w:rsidRDefault="00E736A5" w:rsidP="007B7D03">
            <w:pPr>
              <w:rPr>
                <w:rFonts w:cs="TTE1965D00t00"/>
                <w:color w:val="000000"/>
              </w:rPr>
            </w:pPr>
            <w:r w:rsidRPr="00EE1A6A">
              <w:rPr>
                <w:rFonts w:cs="TTE1965D00t00"/>
                <w:color w:val="000000"/>
                <w:lang w:eastAsia="cs-CZ"/>
              </w:rPr>
              <w:drawing>
                <wp:inline distT="0" distB="0" distL="0" distR="0" wp14:anchorId="7538F1E4" wp14:editId="24A4AC0B">
                  <wp:extent cx="599440" cy="647065"/>
                  <wp:effectExtent l="0" t="0" r="0" b="63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9440" cy="647065"/>
                          </a:xfrm>
                          <a:prstGeom prst="rect">
                            <a:avLst/>
                          </a:prstGeom>
                          <a:noFill/>
                          <a:ln>
                            <a:noFill/>
                          </a:ln>
                        </pic:spPr>
                      </pic:pic>
                    </a:graphicData>
                  </a:graphic>
                </wp:inline>
              </w:drawing>
            </w:r>
          </w:p>
        </w:tc>
        <w:tc>
          <w:tcPr>
            <w:tcW w:w="5245" w:type="dxa"/>
          </w:tcPr>
          <w:p w:rsidR="00E736A5" w:rsidRPr="00EE1A6A" w:rsidRDefault="00E736A5" w:rsidP="007B7D03">
            <w:pPr>
              <w:rPr>
                <w:rFonts w:cs="TTE1965D00t00"/>
                <w:color w:val="000000"/>
              </w:rPr>
            </w:pPr>
          </w:p>
          <w:p w:rsidR="00E736A5" w:rsidRPr="00EE1A6A" w:rsidRDefault="00E736A5" w:rsidP="007B7D03">
            <w:pPr>
              <w:rPr>
                <w:rFonts w:cs="TTE1965D00t00"/>
                <w:color w:val="000000"/>
              </w:rPr>
            </w:pPr>
            <w:r w:rsidRPr="00EE1A6A">
              <w:rPr>
                <w:rFonts w:cs="TTE1965D00t00"/>
                <w:color w:val="000000"/>
              </w:rPr>
              <w:t>Čtěte návod na použití</w:t>
            </w:r>
          </w:p>
        </w:tc>
      </w:tr>
      <w:tr w:rsidR="00E736A5" w:rsidRPr="00EE1A6A" w:rsidTr="007B7D03">
        <w:tc>
          <w:tcPr>
            <w:tcW w:w="1980" w:type="dxa"/>
          </w:tcPr>
          <w:p w:rsidR="00E736A5" w:rsidRPr="00EE1A6A" w:rsidRDefault="00E736A5" w:rsidP="007B7D03">
            <w:pPr>
              <w:rPr>
                <w:rFonts w:cs="TTE1965D00t00"/>
                <w:color w:val="000000"/>
              </w:rPr>
            </w:pPr>
            <w:r w:rsidRPr="00EE1A6A">
              <w:rPr>
                <w:rFonts w:cs="Swiss721BT-Bold"/>
                <w:b/>
                <w:bCs/>
                <w:color w:val="000000"/>
                <w:sz w:val="24"/>
                <w:szCs w:val="24"/>
                <w:lang w:eastAsia="cs-CZ"/>
              </w:rPr>
              <w:drawing>
                <wp:inline distT="0" distB="0" distL="0" distR="0" wp14:anchorId="5C68F158" wp14:editId="40FFA485">
                  <wp:extent cx="332740" cy="302895"/>
                  <wp:effectExtent l="0" t="0" r="0" b="190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2740" cy="302895"/>
                          </a:xfrm>
                          <a:prstGeom prst="rect">
                            <a:avLst/>
                          </a:prstGeom>
                          <a:noFill/>
                          <a:ln>
                            <a:noFill/>
                          </a:ln>
                        </pic:spPr>
                      </pic:pic>
                    </a:graphicData>
                  </a:graphic>
                </wp:inline>
              </w:drawing>
            </w:r>
          </w:p>
        </w:tc>
        <w:tc>
          <w:tcPr>
            <w:tcW w:w="5245" w:type="dxa"/>
          </w:tcPr>
          <w:p w:rsidR="00E736A5" w:rsidRPr="00EE1A6A" w:rsidRDefault="00E736A5" w:rsidP="007B7D03">
            <w:pPr>
              <w:rPr>
                <w:rFonts w:cs="TTE1965D00t00"/>
                <w:color w:val="000000"/>
              </w:rPr>
            </w:pPr>
            <w:r w:rsidRPr="00EE1A6A">
              <w:rPr>
                <w:rFonts w:cs="Swiss721BT-Bold"/>
                <w:bCs/>
                <w:color w:val="000000"/>
              </w:rPr>
              <w:t>Větší změna v návodu na použití</w:t>
            </w:r>
          </w:p>
        </w:tc>
      </w:tr>
    </w:tbl>
    <w:p w:rsidR="00E736A5" w:rsidRPr="00EE1A6A" w:rsidRDefault="00E736A5" w:rsidP="00E736A5"/>
    <w:p w:rsidR="00EF4820" w:rsidRPr="00EE1A6A" w:rsidRDefault="00EF4820" w:rsidP="0075352E">
      <w:pPr>
        <w:spacing w:after="0"/>
        <w:jc w:val="right"/>
      </w:pPr>
      <w:r w:rsidRPr="00EE1A6A">
        <w:t>IDEXX Laboratories, Inc.</w:t>
      </w:r>
    </w:p>
    <w:p w:rsidR="00EF4820" w:rsidRPr="00EE1A6A" w:rsidRDefault="00EF4820" w:rsidP="0075352E">
      <w:pPr>
        <w:spacing w:after="0"/>
        <w:jc w:val="right"/>
      </w:pPr>
      <w:r w:rsidRPr="00EE1A6A">
        <w:t>One IDEXX Drive</w:t>
      </w:r>
    </w:p>
    <w:p w:rsidR="00EF4820" w:rsidRPr="00EE1A6A" w:rsidRDefault="00EF4820" w:rsidP="0075352E">
      <w:pPr>
        <w:spacing w:after="0"/>
        <w:jc w:val="right"/>
      </w:pPr>
      <w:r w:rsidRPr="00EE1A6A">
        <w:t>Westbrook, Maine 04092</w:t>
      </w:r>
    </w:p>
    <w:p w:rsidR="00EF4820" w:rsidRPr="00EE1A6A" w:rsidRDefault="00EF4820" w:rsidP="0075352E">
      <w:pPr>
        <w:spacing w:after="0"/>
        <w:jc w:val="right"/>
      </w:pPr>
      <w:r w:rsidRPr="00EE1A6A">
        <w:t>USA</w:t>
      </w:r>
    </w:p>
    <w:p w:rsidR="00EF4820" w:rsidRPr="00EE1A6A" w:rsidRDefault="00EF4820" w:rsidP="0075352E">
      <w:pPr>
        <w:spacing w:after="0"/>
        <w:jc w:val="right"/>
      </w:pPr>
    </w:p>
    <w:p w:rsidR="00EF4820" w:rsidRPr="00EE1A6A" w:rsidRDefault="00EF4820" w:rsidP="0075352E">
      <w:pPr>
        <w:spacing w:after="0"/>
        <w:jc w:val="right"/>
        <w:rPr>
          <w:i/>
        </w:rPr>
      </w:pPr>
      <w:r w:rsidRPr="00EE1A6A">
        <w:rPr>
          <w:i/>
        </w:rPr>
        <w:t>Výrobce</w:t>
      </w:r>
    </w:p>
    <w:p w:rsidR="00EF4820" w:rsidRPr="00EE1A6A" w:rsidRDefault="00EF4820" w:rsidP="0075352E">
      <w:pPr>
        <w:spacing w:after="0"/>
        <w:jc w:val="right"/>
      </w:pPr>
      <w:r w:rsidRPr="00EE1A6A">
        <w:t>IDEXX Switzerland AG</w:t>
      </w:r>
    </w:p>
    <w:p w:rsidR="00EF4820" w:rsidRPr="00EE1A6A" w:rsidRDefault="00EF4820" w:rsidP="0075352E">
      <w:pPr>
        <w:spacing w:after="0"/>
        <w:jc w:val="right"/>
      </w:pPr>
      <w:r w:rsidRPr="00EE1A6A">
        <w:t>Stationsstrasse 12</w:t>
      </w:r>
    </w:p>
    <w:p w:rsidR="00EF4820" w:rsidRPr="00EE1A6A" w:rsidRDefault="00EF4820" w:rsidP="0075352E">
      <w:pPr>
        <w:spacing w:after="0"/>
        <w:jc w:val="right"/>
      </w:pPr>
      <w:r w:rsidRPr="00EE1A6A">
        <w:t>CH-3097 Liebefeld-Bern</w:t>
      </w:r>
    </w:p>
    <w:p w:rsidR="00EF4820" w:rsidRPr="00EE1A6A" w:rsidRDefault="00EF4820" w:rsidP="0075352E">
      <w:pPr>
        <w:spacing w:after="0"/>
        <w:jc w:val="right"/>
      </w:pPr>
      <w:r w:rsidRPr="00EE1A6A">
        <w:t>Švýcarsko</w:t>
      </w:r>
    </w:p>
    <w:p w:rsidR="00EF4820" w:rsidRPr="00EE1A6A" w:rsidRDefault="00EF4820" w:rsidP="0075352E">
      <w:pPr>
        <w:spacing w:after="0"/>
        <w:jc w:val="right"/>
      </w:pPr>
    </w:p>
    <w:p w:rsidR="00EF4820" w:rsidRPr="00EE1A6A" w:rsidRDefault="00EF4820" w:rsidP="0075352E">
      <w:pPr>
        <w:spacing w:after="0"/>
        <w:jc w:val="right"/>
        <w:rPr>
          <w:i/>
        </w:rPr>
      </w:pPr>
      <w:r w:rsidRPr="00EE1A6A">
        <w:rPr>
          <w:i/>
        </w:rPr>
        <w:t>Zástupce pro EU</w:t>
      </w:r>
    </w:p>
    <w:p w:rsidR="00EF4820" w:rsidRPr="00EE1A6A" w:rsidRDefault="00EF4820" w:rsidP="0075352E">
      <w:pPr>
        <w:spacing w:after="0"/>
        <w:jc w:val="right"/>
      </w:pPr>
      <w:r w:rsidRPr="00EE1A6A">
        <w:t>IDEXX Europe B.V.</w:t>
      </w:r>
    </w:p>
    <w:p w:rsidR="00EF4820" w:rsidRPr="00EE1A6A" w:rsidRDefault="00EF4820" w:rsidP="0075352E">
      <w:pPr>
        <w:spacing w:after="0"/>
        <w:jc w:val="right"/>
      </w:pPr>
      <w:r w:rsidRPr="00EE1A6A">
        <w:t>P.O. Box 1334</w:t>
      </w:r>
    </w:p>
    <w:p w:rsidR="00EF4820" w:rsidRPr="00EE1A6A" w:rsidRDefault="00EF4820" w:rsidP="0075352E">
      <w:pPr>
        <w:spacing w:after="0"/>
        <w:jc w:val="right"/>
      </w:pPr>
      <w:r w:rsidRPr="00EE1A6A">
        <w:t>2130 EK Hoofddorp</w:t>
      </w:r>
    </w:p>
    <w:p w:rsidR="00CB758E" w:rsidRPr="00EE1A6A" w:rsidRDefault="00EF4820" w:rsidP="0075352E">
      <w:pPr>
        <w:jc w:val="right"/>
      </w:pPr>
      <w:r w:rsidRPr="00EE1A6A">
        <w:t>Nizozemsko</w:t>
      </w:r>
    </w:p>
    <w:sectPr w:rsidR="00CB758E" w:rsidRPr="00EE1A6A">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171" w:rsidRDefault="00F30171" w:rsidP="00E736A5">
      <w:pPr>
        <w:spacing w:after="0" w:line="240" w:lineRule="auto"/>
      </w:pPr>
      <w:r>
        <w:separator/>
      </w:r>
    </w:p>
  </w:endnote>
  <w:endnote w:type="continuationSeparator" w:id="0">
    <w:p w:rsidR="00F30171" w:rsidRDefault="00F30171" w:rsidP="00E73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TE1965D00t00">
    <w:altName w:val="Times New Roman"/>
    <w:panose1 w:val="00000000000000000000"/>
    <w:charset w:val="00"/>
    <w:family w:val="auto"/>
    <w:notTrueType/>
    <w:pitch w:val="default"/>
    <w:sig w:usb0="00000003" w:usb1="00000000" w:usb2="00000000" w:usb3="00000000" w:csb0="00000001" w:csb1="00000000"/>
  </w:font>
  <w:font w:name="Swiss721BT-Bold">
    <w:altName w:val="Arial"/>
    <w:panose1 w:val="00000000000000000000"/>
    <w:charset w:val="EE"/>
    <w:family w:val="swiss"/>
    <w:notTrueType/>
    <w:pitch w:val="default"/>
    <w:sig w:usb0="00000005" w:usb1="00000000" w:usb2="00000000" w:usb3="00000000" w:csb0="00000002"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171" w:rsidRDefault="00F30171" w:rsidP="00E736A5">
      <w:pPr>
        <w:spacing w:after="0" w:line="240" w:lineRule="auto"/>
      </w:pPr>
      <w:r>
        <w:separator/>
      </w:r>
    </w:p>
  </w:footnote>
  <w:footnote w:type="continuationSeparator" w:id="0">
    <w:p w:rsidR="00F30171" w:rsidRDefault="00F30171" w:rsidP="00E73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A5" w:rsidRDefault="00E736A5" w:rsidP="00CC2DEF">
    <w:pPr>
      <w:jc w:val="both"/>
      <w:rPr>
        <w:b/>
        <w:bCs/>
      </w:rPr>
    </w:pPr>
    <w:r w:rsidRPr="00AD42B7">
      <w:rPr>
        <w:bCs/>
      </w:rPr>
      <w:t>Text příbalové informace</w:t>
    </w:r>
    <w:r w:rsidR="00EE1A6A">
      <w:rPr>
        <w:bCs/>
      </w:rPr>
      <w:t xml:space="preserve"> </w:t>
    </w:r>
    <w:r w:rsidRPr="00AD42B7">
      <w:rPr>
        <w:bCs/>
      </w:rPr>
      <w:t>součást dokumentace schválené rozhodnutím sp.</w:t>
    </w:r>
    <w:r w:rsidR="00EE1A6A">
      <w:rPr>
        <w:bCs/>
      </w:rPr>
      <w:t> </w:t>
    </w:r>
    <w:r w:rsidRPr="00AD42B7">
      <w:rPr>
        <w:bCs/>
      </w:rPr>
      <w:t>zn.</w:t>
    </w:r>
    <w:r w:rsidR="00EE1A6A">
      <w:rPr>
        <w:bCs/>
      </w:rPr>
      <w:t> </w:t>
    </w:r>
    <w:sdt>
      <w:sdtPr>
        <w:rPr>
          <w:bCs/>
        </w:rPr>
        <w:id w:val="485062483"/>
        <w:placeholder>
          <w:docPart w:val="7AA9C473D59B4EA9848863874655409B"/>
        </w:placeholder>
        <w:text/>
      </w:sdtPr>
      <w:sdtEndPr/>
      <w:sdtContent>
        <w:r w:rsidR="00526FA4" w:rsidRPr="00526FA4">
          <w:rPr>
            <w:bCs/>
          </w:rPr>
          <w:t>USKVBL/2976/2023/POD</w:t>
        </w:r>
        <w:r w:rsidR="00526FA4">
          <w:rPr>
            <w:bCs/>
          </w:rPr>
          <w:t>,</w:t>
        </w:r>
      </w:sdtContent>
    </w:sdt>
    <w:r w:rsidRPr="00AD42B7">
      <w:rPr>
        <w:bCs/>
      </w:rPr>
      <w:t xml:space="preserve"> č.j. </w:t>
    </w:r>
    <w:sdt>
      <w:sdtPr>
        <w:rPr>
          <w:bCs/>
        </w:rPr>
        <w:id w:val="422995688"/>
        <w:placeholder>
          <w:docPart w:val="7AA9C473D59B4EA9848863874655409B"/>
        </w:placeholder>
        <w:text/>
      </w:sdtPr>
      <w:sdtEndPr/>
      <w:sdtContent>
        <w:r w:rsidR="00526FA4" w:rsidRPr="00526FA4">
          <w:rPr>
            <w:bCs/>
          </w:rPr>
          <w:t>USKVBL/14786/2023/REG-Gro</w:t>
        </w:r>
      </w:sdtContent>
    </w:sdt>
    <w:r w:rsidRPr="00AD42B7">
      <w:rPr>
        <w:bCs/>
      </w:rPr>
      <w:t xml:space="preserve"> ze dne </w:t>
    </w:r>
    <w:sdt>
      <w:sdtPr>
        <w:rPr>
          <w:bCs/>
        </w:rPr>
        <w:id w:val="883596329"/>
        <w:placeholder>
          <w:docPart w:val="FBACE1E8E8CA4EA28953DA978EA16F8E"/>
        </w:placeholder>
        <w:date w:fullDate="2023-11-16T00:00:00Z">
          <w:dateFormat w:val="d.M.yyyy"/>
          <w:lid w:val="cs-CZ"/>
          <w:storeMappedDataAs w:val="dateTime"/>
          <w:calendar w:val="gregorian"/>
        </w:date>
      </w:sdtPr>
      <w:sdtEndPr/>
      <w:sdtContent>
        <w:r w:rsidR="00526FA4">
          <w:rPr>
            <w:bCs/>
          </w:rPr>
          <w:t>16.11.2023</w:t>
        </w:r>
      </w:sdtContent>
    </w:sdt>
    <w:r w:rsidRPr="00AD42B7">
      <w:rPr>
        <w:bCs/>
      </w:rPr>
      <w:t xml:space="preserve"> o </w:t>
    </w:r>
    <w:sdt>
      <w:sdtPr>
        <w:id w:val="1062983426"/>
        <w:placeholder>
          <w:docPart w:val="625AC15EC507466EBF074B784EC53C55"/>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sidR="00526FA4">
          <w:t>prodloužení platnosti rozhodnutí o schválení veterinárního přípravku</w:t>
        </w:r>
      </w:sdtContent>
    </w:sdt>
    <w:r w:rsidRPr="00AD42B7">
      <w:rPr>
        <w:bCs/>
      </w:rPr>
      <w:t xml:space="preserve"> </w:t>
    </w:r>
    <w:sdt>
      <w:sdtPr>
        <w:id w:val="-773553566"/>
        <w:placeholder>
          <w:docPart w:val="2B704C89FCD54B9688EB691A36084A24"/>
        </w:placeholder>
        <w:text/>
      </w:sdtPr>
      <w:sdtEndPr/>
      <w:sdtContent>
        <w:r w:rsidR="00526FA4" w:rsidRPr="00526FA4">
          <w:t>IDEXX CSFV Ab</w:t>
        </w:r>
      </w:sdtContent>
    </w:sdt>
  </w:p>
  <w:p w:rsidR="00E736A5" w:rsidRDefault="00E736A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55FF5"/>
    <w:multiLevelType w:val="hybridMultilevel"/>
    <w:tmpl w:val="9350D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E1C54D9"/>
    <w:multiLevelType w:val="hybridMultilevel"/>
    <w:tmpl w:val="1522F7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1EB490A"/>
    <w:multiLevelType w:val="hybridMultilevel"/>
    <w:tmpl w:val="8B18B9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AE3"/>
    <w:rsid w:val="00153AE3"/>
    <w:rsid w:val="001C7D42"/>
    <w:rsid w:val="002F46FD"/>
    <w:rsid w:val="00311083"/>
    <w:rsid w:val="00315045"/>
    <w:rsid w:val="003C10BA"/>
    <w:rsid w:val="004707E7"/>
    <w:rsid w:val="00501069"/>
    <w:rsid w:val="00526FA4"/>
    <w:rsid w:val="0063160E"/>
    <w:rsid w:val="00697B36"/>
    <w:rsid w:val="006F1F67"/>
    <w:rsid w:val="00703742"/>
    <w:rsid w:val="0075352E"/>
    <w:rsid w:val="007C2547"/>
    <w:rsid w:val="00847CCD"/>
    <w:rsid w:val="00892C28"/>
    <w:rsid w:val="00993EA2"/>
    <w:rsid w:val="009D63F3"/>
    <w:rsid w:val="009E2526"/>
    <w:rsid w:val="00A1156E"/>
    <w:rsid w:val="00A355CE"/>
    <w:rsid w:val="00AD4454"/>
    <w:rsid w:val="00AD5E6D"/>
    <w:rsid w:val="00B95134"/>
    <w:rsid w:val="00BB0234"/>
    <w:rsid w:val="00C542E3"/>
    <w:rsid w:val="00C628AA"/>
    <w:rsid w:val="00C71D32"/>
    <w:rsid w:val="00C86BD1"/>
    <w:rsid w:val="00CB758E"/>
    <w:rsid w:val="00CC2DEF"/>
    <w:rsid w:val="00DA2387"/>
    <w:rsid w:val="00E02706"/>
    <w:rsid w:val="00E05A1A"/>
    <w:rsid w:val="00E736A5"/>
    <w:rsid w:val="00EE1A6A"/>
    <w:rsid w:val="00EF4820"/>
    <w:rsid w:val="00F30171"/>
    <w:rsid w:val="00F3286F"/>
    <w:rsid w:val="00F443BC"/>
    <w:rsid w:val="00F65A41"/>
    <w:rsid w:val="00F66752"/>
    <w:rsid w:val="00FD44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BF37E-9E17-4CDB-A1C4-016957D1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CB7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93EA2"/>
    <w:pPr>
      <w:spacing w:after="200" w:line="276" w:lineRule="auto"/>
      <w:ind w:left="720"/>
      <w:contextualSpacing/>
    </w:pPr>
  </w:style>
  <w:style w:type="paragraph" w:styleId="Zhlav">
    <w:name w:val="header"/>
    <w:basedOn w:val="Normln"/>
    <w:link w:val="ZhlavChar"/>
    <w:uiPriority w:val="99"/>
    <w:unhideWhenUsed/>
    <w:rsid w:val="00E736A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36A5"/>
  </w:style>
  <w:style w:type="paragraph" w:styleId="Zpat">
    <w:name w:val="footer"/>
    <w:basedOn w:val="Normln"/>
    <w:link w:val="ZpatChar"/>
    <w:uiPriority w:val="99"/>
    <w:unhideWhenUsed/>
    <w:rsid w:val="00E736A5"/>
    <w:pPr>
      <w:tabs>
        <w:tab w:val="center" w:pos="4536"/>
        <w:tab w:val="right" w:pos="9072"/>
      </w:tabs>
      <w:spacing w:after="0" w:line="240" w:lineRule="auto"/>
    </w:pPr>
  </w:style>
  <w:style w:type="character" w:customStyle="1" w:styleId="ZpatChar">
    <w:name w:val="Zápatí Char"/>
    <w:basedOn w:val="Standardnpsmoodstavce"/>
    <w:link w:val="Zpat"/>
    <w:uiPriority w:val="99"/>
    <w:rsid w:val="00E736A5"/>
  </w:style>
  <w:style w:type="character" w:styleId="Zstupntext">
    <w:name w:val="Placeholder Text"/>
    <w:rsid w:val="00E736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6.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A9C473D59B4EA9848863874655409B"/>
        <w:category>
          <w:name w:val="Obecné"/>
          <w:gallery w:val="placeholder"/>
        </w:category>
        <w:types>
          <w:type w:val="bbPlcHdr"/>
        </w:types>
        <w:behaviors>
          <w:behavior w:val="content"/>
        </w:behaviors>
        <w:guid w:val="{8509D987-DDAE-4506-AC76-9470B99AAA31}"/>
      </w:docPartPr>
      <w:docPartBody>
        <w:p w:rsidR="00404E3D" w:rsidRDefault="007E5C14" w:rsidP="007E5C14">
          <w:pPr>
            <w:pStyle w:val="7AA9C473D59B4EA9848863874655409B"/>
          </w:pPr>
          <w:r w:rsidRPr="00AD42B7">
            <w:rPr>
              <w:rStyle w:val="Zstupntext"/>
            </w:rPr>
            <w:t>Klikněte sem a zadejte text.</w:t>
          </w:r>
        </w:p>
      </w:docPartBody>
    </w:docPart>
    <w:docPart>
      <w:docPartPr>
        <w:name w:val="FBACE1E8E8CA4EA28953DA978EA16F8E"/>
        <w:category>
          <w:name w:val="Obecné"/>
          <w:gallery w:val="placeholder"/>
        </w:category>
        <w:types>
          <w:type w:val="bbPlcHdr"/>
        </w:types>
        <w:behaviors>
          <w:behavior w:val="content"/>
        </w:behaviors>
        <w:guid w:val="{50BB4C7D-3E2B-46F5-B229-96B0E391BC9E}"/>
      </w:docPartPr>
      <w:docPartBody>
        <w:p w:rsidR="00404E3D" w:rsidRDefault="007E5C14" w:rsidP="007E5C14">
          <w:pPr>
            <w:pStyle w:val="FBACE1E8E8CA4EA28953DA978EA16F8E"/>
          </w:pPr>
          <w:r w:rsidRPr="00AD42B7">
            <w:rPr>
              <w:rStyle w:val="Zstupntext"/>
            </w:rPr>
            <w:t>Klikněte sem a zadejte datum.</w:t>
          </w:r>
        </w:p>
      </w:docPartBody>
    </w:docPart>
    <w:docPart>
      <w:docPartPr>
        <w:name w:val="625AC15EC507466EBF074B784EC53C55"/>
        <w:category>
          <w:name w:val="Obecné"/>
          <w:gallery w:val="placeholder"/>
        </w:category>
        <w:types>
          <w:type w:val="bbPlcHdr"/>
        </w:types>
        <w:behaviors>
          <w:behavior w:val="content"/>
        </w:behaviors>
        <w:guid w:val="{19039CBF-6CFD-4196-BC0B-952F5B5599E3}"/>
      </w:docPartPr>
      <w:docPartBody>
        <w:p w:rsidR="00404E3D" w:rsidRDefault="007E5C14" w:rsidP="007E5C14">
          <w:pPr>
            <w:pStyle w:val="625AC15EC507466EBF074B784EC53C55"/>
          </w:pPr>
          <w:r w:rsidRPr="00AD42B7">
            <w:rPr>
              <w:rStyle w:val="Zstupntext"/>
            </w:rPr>
            <w:t>Zvolte položku.</w:t>
          </w:r>
        </w:p>
      </w:docPartBody>
    </w:docPart>
    <w:docPart>
      <w:docPartPr>
        <w:name w:val="2B704C89FCD54B9688EB691A36084A24"/>
        <w:category>
          <w:name w:val="Obecné"/>
          <w:gallery w:val="placeholder"/>
        </w:category>
        <w:types>
          <w:type w:val="bbPlcHdr"/>
        </w:types>
        <w:behaviors>
          <w:behavior w:val="content"/>
        </w:behaviors>
        <w:guid w:val="{71135646-483C-46BC-946C-10101C35B11F}"/>
      </w:docPartPr>
      <w:docPartBody>
        <w:p w:rsidR="00404E3D" w:rsidRDefault="007E5C14" w:rsidP="007E5C14">
          <w:pPr>
            <w:pStyle w:val="2B704C89FCD54B9688EB691A36084A24"/>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TE1965D00t00">
    <w:altName w:val="Times New Roman"/>
    <w:panose1 w:val="00000000000000000000"/>
    <w:charset w:val="00"/>
    <w:family w:val="auto"/>
    <w:notTrueType/>
    <w:pitch w:val="default"/>
    <w:sig w:usb0="00000003" w:usb1="00000000" w:usb2="00000000" w:usb3="00000000" w:csb0="00000001" w:csb1="00000000"/>
  </w:font>
  <w:font w:name="Swiss721BT-Bold">
    <w:altName w:val="Arial"/>
    <w:panose1 w:val="00000000000000000000"/>
    <w:charset w:val="EE"/>
    <w:family w:val="swiss"/>
    <w:notTrueType/>
    <w:pitch w:val="default"/>
    <w:sig w:usb0="00000005" w:usb1="00000000" w:usb2="00000000" w:usb3="00000000" w:csb0="00000002"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14"/>
    <w:rsid w:val="00040D89"/>
    <w:rsid w:val="00404E3D"/>
    <w:rsid w:val="007E5C14"/>
    <w:rsid w:val="00803B80"/>
    <w:rsid w:val="00A75D17"/>
    <w:rsid w:val="00FE574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7E5C14"/>
    <w:rPr>
      <w:color w:val="808080"/>
    </w:rPr>
  </w:style>
  <w:style w:type="paragraph" w:customStyle="1" w:styleId="7AA9C473D59B4EA9848863874655409B">
    <w:name w:val="7AA9C473D59B4EA9848863874655409B"/>
    <w:rsid w:val="007E5C14"/>
  </w:style>
  <w:style w:type="paragraph" w:customStyle="1" w:styleId="FBACE1E8E8CA4EA28953DA978EA16F8E">
    <w:name w:val="FBACE1E8E8CA4EA28953DA978EA16F8E"/>
    <w:rsid w:val="007E5C14"/>
  </w:style>
  <w:style w:type="paragraph" w:customStyle="1" w:styleId="625AC15EC507466EBF074B784EC53C55">
    <w:name w:val="625AC15EC507466EBF074B784EC53C55"/>
    <w:rsid w:val="007E5C14"/>
  </w:style>
  <w:style w:type="paragraph" w:customStyle="1" w:styleId="2B704C89FCD54B9688EB691A36084A24">
    <w:name w:val="2B704C89FCD54B9688EB691A36084A24"/>
    <w:rsid w:val="007E5C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1550</Words>
  <Characters>9150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Nekvapilová Alena</dc:creator>
  <cp:keywords/>
  <dc:description/>
  <cp:lastModifiedBy>Nepejchalová Leona</cp:lastModifiedBy>
  <cp:revision>7</cp:revision>
  <dcterms:created xsi:type="dcterms:W3CDTF">2023-11-08T10:09:00Z</dcterms:created>
  <dcterms:modified xsi:type="dcterms:W3CDTF">2023-11-20T17:38:00Z</dcterms:modified>
</cp:coreProperties>
</file>