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CF4F" w14:textId="1CD216BB" w:rsidR="00C114FF" w:rsidRPr="00A40EC9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40EC9">
        <w:rPr>
          <w:b/>
          <w:szCs w:val="22"/>
        </w:rPr>
        <w:t>PŘÍBALOVÁ INFORMACE</w:t>
      </w:r>
      <w:bookmarkStart w:id="0" w:name="_GoBack"/>
      <w:bookmarkEnd w:id="0"/>
    </w:p>
    <w:p w14:paraId="6D7B8AD5" w14:textId="77777777" w:rsidR="00B11CA1" w:rsidRPr="00A40EC9" w:rsidRDefault="00B11C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8A039E" w14:textId="77777777" w:rsidR="00C114FF" w:rsidRPr="00A40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99027" w14:textId="7AE5A253" w:rsidR="00C114FF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/>
          <w:szCs w:val="22"/>
          <w:highlight w:val="lightGray"/>
        </w:rPr>
        <w:t>1</w:t>
      </w:r>
      <w:r w:rsidR="00C114FF" w:rsidRPr="001F5CF7">
        <w:rPr>
          <w:b/>
          <w:szCs w:val="22"/>
          <w:highlight w:val="lightGray"/>
        </w:rPr>
        <w:t>.</w:t>
      </w:r>
      <w:r w:rsidR="00C114FF" w:rsidRPr="001F5CF7">
        <w:rPr>
          <w:b/>
          <w:szCs w:val="22"/>
        </w:rPr>
        <w:tab/>
        <w:t>N</w:t>
      </w:r>
      <w:r w:rsidRPr="001F5CF7">
        <w:rPr>
          <w:b/>
          <w:szCs w:val="22"/>
        </w:rPr>
        <w:t>ázev veterinárního léčivého přípravku</w:t>
      </w:r>
    </w:p>
    <w:p w14:paraId="1DDBF426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321054" w14:textId="77777777" w:rsidR="00C114FF" w:rsidRPr="001F5CF7" w:rsidRDefault="00827F4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5CF7">
        <w:rPr>
          <w:szCs w:val="22"/>
        </w:rPr>
        <w:t>Propomitor</w:t>
      </w:r>
      <w:proofErr w:type="spellEnd"/>
      <w:r w:rsidRPr="001F5CF7">
        <w:rPr>
          <w:szCs w:val="22"/>
        </w:rPr>
        <w:t xml:space="preserve"> 10 mg/ml injekční/infuzní emulze pro psy a kočky</w:t>
      </w:r>
    </w:p>
    <w:p w14:paraId="0DA914AD" w14:textId="77777777" w:rsidR="005F597F" w:rsidRPr="001F5CF7" w:rsidRDefault="005F597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F8EF2B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FBFDDF" w14:textId="2481CEFA" w:rsidR="00C114FF" w:rsidRPr="001F5CF7" w:rsidRDefault="00AD420A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F5CF7">
        <w:rPr>
          <w:b/>
          <w:szCs w:val="22"/>
          <w:highlight w:val="lightGray"/>
        </w:rPr>
        <w:t>2</w:t>
      </w:r>
      <w:r w:rsidR="00C114FF" w:rsidRPr="001F5CF7">
        <w:rPr>
          <w:b/>
          <w:szCs w:val="22"/>
          <w:highlight w:val="lightGray"/>
        </w:rPr>
        <w:t>.</w:t>
      </w:r>
      <w:r w:rsidR="00C114FF" w:rsidRPr="001F5CF7">
        <w:rPr>
          <w:b/>
          <w:szCs w:val="22"/>
        </w:rPr>
        <w:tab/>
      </w:r>
      <w:r w:rsidRPr="001F5CF7">
        <w:rPr>
          <w:b/>
          <w:szCs w:val="22"/>
        </w:rPr>
        <w:t xml:space="preserve">Složení </w:t>
      </w:r>
    </w:p>
    <w:p w14:paraId="4646FECC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CA9A716" w14:textId="77777777" w:rsidR="00AD420A" w:rsidRPr="00B10CB3" w:rsidRDefault="00AD420A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10CB3">
        <w:rPr>
          <w:b/>
          <w:szCs w:val="22"/>
        </w:rPr>
        <w:t>Léčivá látka:</w:t>
      </w:r>
    </w:p>
    <w:p w14:paraId="037BBBB5" w14:textId="22E10F01" w:rsidR="00026194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5CF7">
        <w:rPr>
          <w:szCs w:val="22"/>
        </w:rPr>
        <w:t>P</w:t>
      </w:r>
      <w:r w:rsidR="00026194" w:rsidRPr="001F5CF7">
        <w:rPr>
          <w:szCs w:val="22"/>
        </w:rPr>
        <w:t>ropofol</w:t>
      </w:r>
      <w:r w:rsidR="009E76D1" w:rsidRPr="001F5CF7">
        <w:rPr>
          <w:szCs w:val="22"/>
        </w:rPr>
        <w:t>um</w:t>
      </w:r>
      <w:proofErr w:type="spellEnd"/>
      <w:r w:rsidRPr="001F5CF7">
        <w:rPr>
          <w:szCs w:val="22"/>
        </w:rPr>
        <w:tab/>
      </w:r>
      <w:r w:rsidR="009E76D1" w:rsidRPr="001F5CF7">
        <w:rPr>
          <w:szCs w:val="22"/>
        </w:rPr>
        <w:t xml:space="preserve"> </w:t>
      </w:r>
      <w:r w:rsidR="00026194" w:rsidRPr="001F5CF7">
        <w:rPr>
          <w:szCs w:val="22"/>
        </w:rPr>
        <w:tab/>
        <w:t>10 mg</w:t>
      </w:r>
      <w:r w:rsidRPr="001F5CF7">
        <w:rPr>
          <w:szCs w:val="22"/>
        </w:rPr>
        <w:t>/ml</w:t>
      </w:r>
    </w:p>
    <w:p w14:paraId="4FF7FB92" w14:textId="777B0287" w:rsidR="00E94DA5" w:rsidRPr="001F5CF7" w:rsidRDefault="00E94DA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1CE3DD" w14:textId="29925245" w:rsidR="00E94DA5" w:rsidRPr="001F5CF7" w:rsidRDefault="00E94DA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Pomocné látky:</w:t>
      </w:r>
    </w:p>
    <w:p w14:paraId="6D6AEDF1" w14:textId="5A96E759" w:rsidR="00E94DA5" w:rsidRPr="001F5CF7" w:rsidRDefault="00E94DA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Čištěný sójový olej</w:t>
      </w:r>
      <w:r w:rsidRPr="001F5CF7">
        <w:rPr>
          <w:szCs w:val="22"/>
        </w:rPr>
        <w:tab/>
      </w:r>
      <w:r w:rsidRPr="001F5CF7">
        <w:rPr>
          <w:szCs w:val="22"/>
        </w:rPr>
        <w:tab/>
        <w:t>100 mg/ml</w:t>
      </w:r>
    </w:p>
    <w:p w14:paraId="3CDCB185" w14:textId="77777777" w:rsidR="00026194" w:rsidRPr="001F5CF7" w:rsidRDefault="00026194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0C64D53" w14:textId="603A25F7" w:rsidR="005F597F" w:rsidRPr="001F5CF7" w:rsidRDefault="00DD395E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Tento veterinární léčivý přípravek </w:t>
      </w:r>
      <w:r w:rsidR="00AD420A" w:rsidRPr="001F5CF7">
        <w:rPr>
          <w:szCs w:val="22"/>
        </w:rPr>
        <w:t>je b</w:t>
      </w:r>
      <w:r w:rsidR="005F597F" w:rsidRPr="001F5CF7">
        <w:rPr>
          <w:szCs w:val="22"/>
        </w:rPr>
        <w:t xml:space="preserve">ílá nebo téměř bílá homogenní </w:t>
      </w:r>
      <w:r w:rsidR="00E94DA5" w:rsidRPr="001F5CF7">
        <w:rPr>
          <w:szCs w:val="22"/>
        </w:rPr>
        <w:t xml:space="preserve">injekční/infuzní </w:t>
      </w:r>
      <w:r w:rsidR="005F597F" w:rsidRPr="001F5CF7">
        <w:rPr>
          <w:szCs w:val="22"/>
        </w:rPr>
        <w:t>emulze.</w:t>
      </w:r>
    </w:p>
    <w:p w14:paraId="32916409" w14:textId="77777777" w:rsidR="005F597F" w:rsidRPr="001F5CF7" w:rsidRDefault="005F597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B782EA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261616" w14:textId="7CC8FD62" w:rsidR="00C114FF" w:rsidRPr="001F5CF7" w:rsidRDefault="00AD420A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F5CF7">
        <w:rPr>
          <w:b/>
          <w:szCs w:val="22"/>
          <w:highlight w:val="lightGray"/>
        </w:rPr>
        <w:t>3</w:t>
      </w:r>
      <w:r w:rsidR="00C114FF" w:rsidRPr="001F5CF7">
        <w:rPr>
          <w:b/>
          <w:szCs w:val="22"/>
          <w:highlight w:val="lightGray"/>
        </w:rPr>
        <w:t>.</w:t>
      </w:r>
      <w:r w:rsidR="00C114FF" w:rsidRPr="001F5CF7">
        <w:rPr>
          <w:b/>
          <w:szCs w:val="22"/>
        </w:rPr>
        <w:tab/>
      </w:r>
      <w:r w:rsidRPr="001F5CF7">
        <w:rPr>
          <w:b/>
          <w:szCs w:val="22"/>
        </w:rPr>
        <w:t>Cílové druhy zvířat</w:t>
      </w:r>
    </w:p>
    <w:p w14:paraId="1D2A23FC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19D6C3E5" w14:textId="4D727CA8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10CB3">
        <w:rPr>
          <w:szCs w:val="22"/>
        </w:rPr>
        <w:t>Psi, kočky</w:t>
      </w:r>
      <w:r w:rsidR="00DD395E" w:rsidRPr="001F5CF7">
        <w:rPr>
          <w:szCs w:val="22"/>
        </w:rPr>
        <w:t>.</w:t>
      </w:r>
    </w:p>
    <w:p w14:paraId="3C251BDD" w14:textId="76AAB729" w:rsidR="00E94DA5" w:rsidRPr="001F5CF7" w:rsidRDefault="00E94DA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41A3D9" w14:textId="77777777" w:rsidR="00E94DA5" w:rsidRPr="001F5CF7" w:rsidRDefault="00E94DA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25F73D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10CB3">
        <w:rPr>
          <w:b/>
          <w:szCs w:val="22"/>
          <w:highlight w:val="lightGray"/>
        </w:rPr>
        <w:t>4.</w:t>
      </w:r>
      <w:r w:rsidRPr="00B10CB3">
        <w:rPr>
          <w:b/>
          <w:szCs w:val="22"/>
        </w:rPr>
        <w:t xml:space="preserve"> </w:t>
      </w:r>
      <w:r w:rsidRPr="00B10CB3">
        <w:rPr>
          <w:b/>
          <w:szCs w:val="22"/>
        </w:rPr>
        <w:tab/>
        <w:t>Indikace pro použití</w:t>
      </w:r>
    </w:p>
    <w:p w14:paraId="4E8AD133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887CE6" w14:textId="2FCEC861" w:rsidR="005F597F" w:rsidRPr="001F5CF7" w:rsidRDefault="00AD420A" w:rsidP="001F5CF7">
      <w:pPr>
        <w:numPr>
          <w:ilvl w:val="0"/>
          <w:numId w:val="38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1F5CF7">
        <w:rPr>
          <w:szCs w:val="22"/>
        </w:rPr>
        <w:t>c</w:t>
      </w:r>
      <w:r w:rsidR="00401C9C" w:rsidRPr="001F5CF7">
        <w:rPr>
          <w:szCs w:val="22"/>
        </w:rPr>
        <w:t>elková anest</w:t>
      </w:r>
      <w:r w:rsidR="00A06EAF" w:rsidRPr="001F5CF7">
        <w:rPr>
          <w:szCs w:val="22"/>
        </w:rPr>
        <w:t>é</w:t>
      </w:r>
      <w:r w:rsidR="00401C9C" w:rsidRPr="001F5CF7">
        <w:rPr>
          <w:szCs w:val="22"/>
        </w:rPr>
        <w:t>zie pro krátk</w:t>
      </w:r>
      <w:r w:rsidR="00B85D71" w:rsidRPr="001F5CF7">
        <w:rPr>
          <w:szCs w:val="22"/>
        </w:rPr>
        <w:t>odobé</w:t>
      </w:r>
      <w:r w:rsidR="00401C9C" w:rsidRPr="001F5CF7">
        <w:rPr>
          <w:szCs w:val="22"/>
        </w:rPr>
        <w:t xml:space="preserve"> zákroky trvající max. pět minut</w:t>
      </w:r>
      <w:r w:rsidR="00E94DA5" w:rsidRPr="001F5CF7">
        <w:rPr>
          <w:szCs w:val="22"/>
        </w:rPr>
        <w:t>.</w:t>
      </w:r>
    </w:p>
    <w:p w14:paraId="152C6890" w14:textId="77777777" w:rsidR="005F597F" w:rsidRPr="001F5CF7" w:rsidRDefault="005F597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B40A18" w14:textId="6F0877D3" w:rsidR="005F597F" w:rsidRPr="001F5CF7" w:rsidRDefault="00AD420A" w:rsidP="001F5CF7">
      <w:pPr>
        <w:numPr>
          <w:ilvl w:val="0"/>
          <w:numId w:val="38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1F5CF7">
        <w:rPr>
          <w:szCs w:val="22"/>
        </w:rPr>
        <w:t>ú</w:t>
      </w:r>
      <w:r w:rsidR="00B85D71" w:rsidRPr="001F5CF7">
        <w:rPr>
          <w:szCs w:val="22"/>
        </w:rPr>
        <w:t xml:space="preserve">vod do anestézie </w:t>
      </w:r>
      <w:r w:rsidR="00401C9C" w:rsidRPr="001F5CF7">
        <w:rPr>
          <w:szCs w:val="22"/>
        </w:rPr>
        <w:t>a udržování celkové anest</w:t>
      </w:r>
      <w:r w:rsidR="00A06EAF" w:rsidRPr="001F5CF7">
        <w:rPr>
          <w:szCs w:val="22"/>
        </w:rPr>
        <w:t>é</w:t>
      </w:r>
      <w:r w:rsidR="00401C9C" w:rsidRPr="001F5CF7">
        <w:rPr>
          <w:szCs w:val="22"/>
        </w:rPr>
        <w:t xml:space="preserve">zie </w:t>
      </w:r>
      <w:r w:rsidR="00B85D71" w:rsidRPr="001F5CF7">
        <w:rPr>
          <w:szCs w:val="22"/>
        </w:rPr>
        <w:t xml:space="preserve">přírůstkovým </w:t>
      </w:r>
      <w:r w:rsidR="00401C9C" w:rsidRPr="001F5CF7">
        <w:rPr>
          <w:szCs w:val="22"/>
        </w:rPr>
        <w:t>podáváním dávek do vyvolání účinku nebo podáváním pomocí inf</w:t>
      </w:r>
      <w:r w:rsidR="00A06EAF" w:rsidRPr="001F5CF7">
        <w:rPr>
          <w:szCs w:val="22"/>
        </w:rPr>
        <w:t>ú</w:t>
      </w:r>
      <w:r w:rsidR="00401C9C" w:rsidRPr="001F5CF7">
        <w:rPr>
          <w:szCs w:val="22"/>
        </w:rPr>
        <w:t>ze s konstantní rychlostí (CRI)</w:t>
      </w:r>
      <w:r w:rsidR="00E94DA5" w:rsidRPr="001F5CF7">
        <w:rPr>
          <w:szCs w:val="22"/>
        </w:rPr>
        <w:t>.</w:t>
      </w:r>
    </w:p>
    <w:p w14:paraId="0CF413E3" w14:textId="77777777" w:rsidR="005F597F" w:rsidRPr="001F5CF7" w:rsidRDefault="005F597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ABA4CA" w14:textId="32E9C83F" w:rsidR="005F597F" w:rsidRPr="001F5CF7" w:rsidRDefault="00AD420A" w:rsidP="001F5CF7">
      <w:pPr>
        <w:numPr>
          <w:ilvl w:val="0"/>
          <w:numId w:val="38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1F5CF7">
        <w:rPr>
          <w:szCs w:val="22"/>
        </w:rPr>
        <w:t>v</w:t>
      </w:r>
      <w:r w:rsidR="00401C9C" w:rsidRPr="001F5CF7">
        <w:rPr>
          <w:szCs w:val="22"/>
        </w:rPr>
        <w:t>yvolání celkové anest</w:t>
      </w:r>
      <w:r w:rsidR="00A06EAF" w:rsidRPr="001F5CF7">
        <w:rPr>
          <w:szCs w:val="22"/>
        </w:rPr>
        <w:t>é</w:t>
      </w:r>
      <w:r w:rsidR="00401C9C" w:rsidRPr="001F5CF7">
        <w:rPr>
          <w:szCs w:val="22"/>
        </w:rPr>
        <w:t>zie, kdy je udržování anest</w:t>
      </w:r>
      <w:r w:rsidR="00A06EAF" w:rsidRPr="001F5CF7">
        <w:rPr>
          <w:szCs w:val="22"/>
        </w:rPr>
        <w:t>é</w:t>
      </w:r>
      <w:r w:rsidR="00401C9C" w:rsidRPr="001F5CF7">
        <w:rPr>
          <w:szCs w:val="22"/>
        </w:rPr>
        <w:t xml:space="preserve">zie zajištěno inhalací </w:t>
      </w:r>
      <w:proofErr w:type="spellStart"/>
      <w:r w:rsidR="00401C9C" w:rsidRPr="001F5CF7">
        <w:rPr>
          <w:szCs w:val="22"/>
        </w:rPr>
        <w:t>anest</w:t>
      </w:r>
      <w:r w:rsidR="00A06EAF" w:rsidRPr="001F5CF7">
        <w:rPr>
          <w:szCs w:val="22"/>
        </w:rPr>
        <w:t>é</w:t>
      </w:r>
      <w:r w:rsidR="00401C9C" w:rsidRPr="001F5CF7">
        <w:rPr>
          <w:szCs w:val="22"/>
        </w:rPr>
        <w:t>tických</w:t>
      </w:r>
      <w:proofErr w:type="spellEnd"/>
      <w:r w:rsidR="00401C9C" w:rsidRPr="001F5CF7">
        <w:rPr>
          <w:szCs w:val="22"/>
        </w:rPr>
        <w:t xml:space="preserve"> látek.</w:t>
      </w:r>
    </w:p>
    <w:p w14:paraId="75DD8B22" w14:textId="77777777" w:rsidR="005F597F" w:rsidRPr="001F5CF7" w:rsidRDefault="005F597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2F8891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970E32" w14:textId="4DB3F69F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F5CF7">
        <w:rPr>
          <w:b/>
          <w:szCs w:val="22"/>
          <w:highlight w:val="lightGray"/>
        </w:rPr>
        <w:t>5.</w:t>
      </w:r>
      <w:r w:rsidRPr="001F5CF7">
        <w:rPr>
          <w:b/>
          <w:szCs w:val="22"/>
        </w:rPr>
        <w:tab/>
        <w:t>K</w:t>
      </w:r>
      <w:r w:rsidR="00AD420A" w:rsidRPr="001F5CF7">
        <w:rPr>
          <w:b/>
          <w:szCs w:val="22"/>
        </w:rPr>
        <w:t>ontraindikace</w:t>
      </w:r>
    </w:p>
    <w:p w14:paraId="5708871A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33E2DB" w14:textId="77777777" w:rsidR="005F597F" w:rsidRPr="001F5CF7" w:rsidRDefault="005F597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Nepoužívat v případech přecitlivělosti na léčivou látku nebo na některou z pomocných látek.</w:t>
      </w:r>
    </w:p>
    <w:p w14:paraId="4A92F9C6" w14:textId="34EABE69" w:rsidR="00AD420A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978B33" w14:textId="77777777" w:rsidR="00FE1DB6" w:rsidRPr="001F5CF7" w:rsidRDefault="00FE1DB6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84F17B" w14:textId="77777777" w:rsidR="00AD420A" w:rsidRPr="00B10CB3" w:rsidRDefault="00AD420A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10CB3">
        <w:rPr>
          <w:b/>
          <w:szCs w:val="22"/>
          <w:highlight w:val="lightGray"/>
        </w:rPr>
        <w:t>6.</w:t>
      </w:r>
      <w:r w:rsidRPr="00B10CB3">
        <w:rPr>
          <w:b/>
          <w:szCs w:val="22"/>
        </w:rPr>
        <w:tab/>
        <w:t>Zvláštní upozornění</w:t>
      </w:r>
    </w:p>
    <w:p w14:paraId="1E30B947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18304F" w14:textId="77777777" w:rsidR="00AD420A" w:rsidRPr="00B10CB3" w:rsidRDefault="00AD420A" w:rsidP="001F5CF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10CB3">
        <w:rPr>
          <w:szCs w:val="22"/>
          <w:u w:val="single"/>
        </w:rPr>
        <w:t>Zvláštní upozornění:</w:t>
      </w:r>
    </w:p>
    <w:p w14:paraId="7E01FAC5" w14:textId="73D20DBC" w:rsidR="00AD420A" w:rsidRPr="001F5CF7" w:rsidRDefault="00DD395E" w:rsidP="001F5CF7">
      <w:pPr>
        <w:spacing w:line="240" w:lineRule="auto"/>
        <w:jc w:val="both"/>
        <w:rPr>
          <w:szCs w:val="22"/>
          <w:lang w:eastAsia="cs-CZ"/>
        </w:rPr>
      </w:pPr>
      <w:r w:rsidRPr="001F5CF7">
        <w:rPr>
          <w:szCs w:val="22"/>
        </w:rPr>
        <w:t>Veterinární léčivý přípravek</w:t>
      </w:r>
      <w:r w:rsidR="00AD420A" w:rsidRPr="001F5CF7">
        <w:rPr>
          <w:szCs w:val="22"/>
        </w:rPr>
        <w:t xml:space="preserve"> je stabilní emulze. </w:t>
      </w:r>
      <w:r w:rsidR="00AD420A" w:rsidRPr="001F5CF7">
        <w:rPr>
          <w:szCs w:val="22"/>
          <w:lang w:eastAsia="cs-CZ"/>
        </w:rPr>
        <w:t xml:space="preserve">Před použitím je třeba </w:t>
      </w:r>
      <w:r w:rsidRPr="001F5CF7">
        <w:rPr>
          <w:szCs w:val="22"/>
        </w:rPr>
        <w:t>veterinární léčivý přípravek</w:t>
      </w:r>
      <w:r w:rsidR="00AD420A" w:rsidRPr="001F5CF7">
        <w:rPr>
          <w:szCs w:val="22"/>
          <w:lang w:eastAsia="cs-CZ"/>
        </w:rPr>
        <w:t xml:space="preserve"> vizuálně zkontrolovat, že nejsou přítomny viditelné kapičky nebo cizorodé částice ani nedochází k</w:t>
      </w:r>
      <w:r w:rsidR="00FE1DB6">
        <w:rPr>
          <w:szCs w:val="22"/>
          <w:lang w:eastAsia="cs-CZ"/>
        </w:rPr>
        <w:t> </w:t>
      </w:r>
      <w:r w:rsidR="00AD420A" w:rsidRPr="001F5CF7">
        <w:rPr>
          <w:szCs w:val="22"/>
          <w:lang w:eastAsia="cs-CZ"/>
        </w:rPr>
        <w:t>oddělení fází, v opačném případě přípravek zlikvidujte. Nepoužívejte, pokud oddělení fází přetrvává i po jemném protřepání.</w:t>
      </w:r>
    </w:p>
    <w:p w14:paraId="2CFE60FD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DB827B" w14:textId="5C65DA55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Pokud bude </w:t>
      </w:r>
      <w:r w:rsidR="00DD395E" w:rsidRPr="001F5CF7">
        <w:rPr>
          <w:szCs w:val="22"/>
        </w:rPr>
        <w:t>veterinární léčivý přípravek</w:t>
      </w:r>
      <w:r w:rsidRPr="001F5CF7">
        <w:rPr>
          <w:szCs w:val="22"/>
        </w:rPr>
        <w:t xml:space="preserve"> podáván příliš pomalu, nemusí být </w:t>
      </w:r>
      <w:proofErr w:type="gramStart"/>
      <w:r w:rsidRPr="001F5CF7">
        <w:rPr>
          <w:szCs w:val="22"/>
        </w:rPr>
        <w:t>dosažena  dostatečná</w:t>
      </w:r>
      <w:proofErr w:type="gramEnd"/>
      <w:r w:rsidRPr="001F5CF7">
        <w:rPr>
          <w:szCs w:val="22"/>
        </w:rPr>
        <w:t xml:space="preserve"> </w:t>
      </w:r>
      <w:proofErr w:type="spellStart"/>
      <w:r w:rsidRPr="001F5CF7">
        <w:rPr>
          <w:szCs w:val="22"/>
        </w:rPr>
        <w:t>úroven</w:t>
      </w:r>
      <w:proofErr w:type="spellEnd"/>
      <w:r w:rsidRPr="001F5CF7">
        <w:rPr>
          <w:szCs w:val="22"/>
        </w:rPr>
        <w:t xml:space="preserve"> anestézie, protože nebude dosažen dostatečný práh farmakologické účinnosti.</w:t>
      </w:r>
    </w:p>
    <w:p w14:paraId="412987D8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4D372B" w14:textId="77777777" w:rsidR="00AD420A" w:rsidRPr="001F5CF7" w:rsidRDefault="00AD420A" w:rsidP="001F5CF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  <w:u w:val="single"/>
        </w:rPr>
        <w:t>Zvláštní opatření pro bezpečné použití u cílových druhů zvířat:</w:t>
      </w:r>
    </w:p>
    <w:p w14:paraId="3A4A5453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V době zahájení anestézie může dojít k mírné hypotenzi a přechodné apnoi. Při použití tohoto veterinárního léčivého přípravku je nutno zajistit dostupnost technických prostředků k udržení průchodnosti dýchacích cest pacienta, umělé ventilace a obohacení kyslíkem. Po vyvolání anestézie se doporučuje použít </w:t>
      </w:r>
      <w:proofErr w:type="spellStart"/>
      <w:r w:rsidRPr="001F5CF7">
        <w:rPr>
          <w:szCs w:val="22"/>
        </w:rPr>
        <w:t>endotrachiální</w:t>
      </w:r>
      <w:proofErr w:type="spellEnd"/>
      <w:r w:rsidRPr="001F5CF7">
        <w:rPr>
          <w:szCs w:val="22"/>
        </w:rPr>
        <w:t xml:space="preserve"> trubici. Při delší anestézii vyvolané </w:t>
      </w:r>
      <w:proofErr w:type="spellStart"/>
      <w:r w:rsidRPr="001F5CF7">
        <w:rPr>
          <w:szCs w:val="22"/>
        </w:rPr>
        <w:t>propofolem</w:t>
      </w:r>
      <w:proofErr w:type="spellEnd"/>
      <w:r w:rsidRPr="001F5CF7">
        <w:rPr>
          <w:szCs w:val="22"/>
        </w:rPr>
        <w:t xml:space="preserve"> byly hlášeny zvýšené hodnoty oxidu uhličitého v krvi. V průběhu udržování anestézie se doporučuje podávat obohacení kyslíkem. Kromě toho by měla být zvážena v průběhu delší anestézie potřeba umělé ventilace.</w:t>
      </w:r>
    </w:p>
    <w:p w14:paraId="5091B69D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17834D" w14:textId="4A75E49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Pokud je </w:t>
      </w:r>
      <w:r w:rsidR="00DD395E" w:rsidRPr="001F5CF7">
        <w:rPr>
          <w:szCs w:val="22"/>
        </w:rPr>
        <w:t>veterinární léčivý přípravek</w:t>
      </w:r>
      <w:r w:rsidRPr="001F5CF7">
        <w:rPr>
          <w:szCs w:val="22"/>
        </w:rPr>
        <w:t xml:space="preserve"> podán příliš rychle, může vyvolat kardiopulmonální depresi (apnoe, bradykardie, hypotenze).</w:t>
      </w:r>
    </w:p>
    <w:p w14:paraId="7E14C16A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4CF24C" w14:textId="1A6F2CF0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Tak jako u jiných intravenózních anestetik je třeba opatrnosti při podávání přípravku psům a kočkám s poškozením srdce, dýchacího traktu, ledvin nebo jater, jako i u </w:t>
      </w:r>
      <w:proofErr w:type="spellStart"/>
      <w:r w:rsidRPr="001F5CF7">
        <w:rPr>
          <w:szCs w:val="22"/>
        </w:rPr>
        <w:t>hypovolemických</w:t>
      </w:r>
      <w:proofErr w:type="spellEnd"/>
      <w:r w:rsidRPr="001F5CF7">
        <w:rPr>
          <w:szCs w:val="22"/>
        </w:rPr>
        <w:t xml:space="preserve"> nebo oslabených zvířat.</w:t>
      </w:r>
    </w:p>
    <w:p w14:paraId="0BF83D7B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5B5280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může zvýšit u zdravých psů metabolismus glukózy v krvi a vylučování inzulinu. Protože nejsou k dispozici údaje o bezpečnosti u diabetických zvířat, používejte přípravek pouze po zvážení terapeutického prospěchu a rizika veterinárním lékařem.</w:t>
      </w:r>
    </w:p>
    <w:p w14:paraId="4378E8E4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8B5E5A" w14:textId="361BB760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Opatrnosti je třeba při podávání </w:t>
      </w:r>
      <w:r w:rsidR="00DD395E" w:rsidRPr="001F5CF7">
        <w:rPr>
          <w:szCs w:val="22"/>
        </w:rPr>
        <w:t xml:space="preserve">veterinárního léčivého </w:t>
      </w:r>
      <w:r w:rsidRPr="001F5CF7">
        <w:rPr>
          <w:szCs w:val="22"/>
        </w:rPr>
        <w:t xml:space="preserve">přípravku pacientům s </w:t>
      </w:r>
      <w:proofErr w:type="spellStart"/>
      <w:r w:rsidRPr="001F5CF7">
        <w:rPr>
          <w:szCs w:val="22"/>
        </w:rPr>
        <w:t>hypoproteinémií</w:t>
      </w:r>
      <w:proofErr w:type="spellEnd"/>
      <w:r w:rsidRPr="001F5CF7">
        <w:rPr>
          <w:szCs w:val="22"/>
        </w:rPr>
        <w:t xml:space="preserve">, </w:t>
      </w:r>
      <w:proofErr w:type="spellStart"/>
      <w:r w:rsidRPr="001F5CF7">
        <w:rPr>
          <w:szCs w:val="22"/>
        </w:rPr>
        <w:t>hyperlipidémií</w:t>
      </w:r>
      <w:proofErr w:type="spellEnd"/>
      <w:r w:rsidRPr="001F5CF7">
        <w:rPr>
          <w:szCs w:val="22"/>
        </w:rPr>
        <w:t>, jako i u velice hubených zvířat, protože tato zvířata mohou být náchylnější k vzniku nežádoucích účinků.</w:t>
      </w:r>
    </w:p>
    <w:p w14:paraId="4DAF6F46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4C9C55" w14:textId="60569C9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Bezpečnost </w:t>
      </w:r>
      <w:r w:rsidR="00DD395E" w:rsidRPr="001F5CF7">
        <w:rPr>
          <w:szCs w:val="22"/>
        </w:rPr>
        <w:t xml:space="preserve">veterinárního léčivého </w:t>
      </w:r>
      <w:r w:rsidRPr="001F5CF7">
        <w:rPr>
          <w:szCs w:val="22"/>
        </w:rPr>
        <w:t>přípravku nebyla stanovena u psů a koček mladších než 4 měsíce. U</w:t>
      </w:r>
      <w:r w:rsidR="00FE1DB6">
        <w:rPr>
          <w:szCs w:val="22"/>
        </w:rPr>
        <w:t> </w:t>
      </w:r>
      <w:r w:rsidRPr="001F5CF7">
        <w:rPr>
          <w:szCs w:val="22"/>
        </w:rPr>
        <w:t>těchto zvířat by měl být přípravek používán pouze po zvážení terapeutického prospěchu a rizika příslušným veterinárním lékařem.</w:t>
      </w:r>
    </w:p>
    <w:p w14:paraId="3C1642CB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0D3E63" w14:textId="4D5160D9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Bylo pozorováno, že </w:t>
      </w:r>
      <w:proofErr w:type="spellStart"/>
      <w:r w:rsidRPr="001F5CF7">
        <w:rPr>
          <w:szCs w:val="22"/>
        </w:rPr>
        <w:t>clearance</w:t>
      </w:r>
      <w:proofErr w:type="spellEnd"/>
      <w:r w:rsidRPr="001F5CF7">
        <w:rPr>
          <w:szCs w:val="22"/>
        </w:rPr>
        <w:t xml:space="preserve">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probíhá pomaleji u </w:t>
      </w:r>
      <w:r w:rsidR="00872612" w:rsidRPr="001F5CF7">
        <w:rPr>
          <w:szCs w:val="22"/>
        </w:rPr>
        <w:t>zvířat s</w:t>
      </w:r>
      <w:r w:rsidR="00872612">
        <w:rPr>
          <w:szCs w:val="22"/>
        </w:rPr>
        <w:t> </w:t>
      </w:r>
      <w:r w:rsidR="00872612" w:rsidRPr="001F5CF7">
        <w:rPr>
          <w:szCs w:val="22"/>
        </w:rPr>
        <w:t>nadváhou</w:t>
      </w:r>
      <w:r w:rsidR="00872612">
        <w:rPr>
          <w:szCs w:val="22"/>
        </w:rPr>
        <w:t>/</w:t>
      </w:r>
      <w:r w:rsidR="00872612" w:rsidRPr="001F5CF7">
        <w:rPr>
          <w:szCs w:val="22"/>
        </w:rPr>
        <w:t xml:space="preserve"> </w:t>
      </w:r>
      <w:r w:rsidRPr="001F5CF7">
        <w:rPr>
          <w:szCs w:val="22"/>
        </w:rPr>
        <w:t xml:space="preserve">obézních zvířat a psů starších 8 let. Při podávání </w:t>
      </w:r>
      <w:r w:rsidR="00DD395E" w:rsidRPr="001F5CF7">
        <w:rPr>
          <w:szCs w:val="22"/>
        </w:rPr>
        <w:t xml:space="preserve">veterinárního léčivého </w:t>
      </w:r>
      <w:r w:rsidRPr="001F5CF7">
        <w:rPr>
          <w:szCs w:val="22"/>
        </w:rPr>
        <w:t xml:space="preserve">přípravku těmto zvířatům je třeba dbát zvýšené opatrnosti; zejména platí, že v těchto případech může být k vyvolání a udržení požadovaného účinku dostatečná nižší dávka. U chrtů byla hlášena pozorovaná pomalejší </w:t>
      </w:r>
      <w:proofErr w:type="spellStart"/>
      <w:r w:rsidRPr="001F5CF7">
        <w:rPr>
          <w:szCs w:val="22"/>
        </w:rPr>
        <w:t>clearance</w:t>
      </w:r>
      <w:proofErr w:type="spellEnd"/>
      <w:r w:rsidRPr="001F5CF7">
        <w:rPr>
          <w:szCs w:val="22"/>
        </w:rPr>
        <w:t xml:space="preserve">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a zotavení z anestézie u nich může probíhat o něco pomaleji než u psů jiných plemen.</w:t>
      </w:r>
    </w:p>
    <w:p w14:paraId="401F313C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F9A64A" w14:textId="47974168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nemá analgetické účinky, proto by měla být podána dodatečná analgetika, pokud se předpokládá bolestivost zákroku. Pokud je používán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společně s </w:t>
      </w:r>
      <w:proofErr w:type="spellStart"/>
      <w:r w:rsidRPr="001F5CF7">
        <w:rPr>
          <w:szCs w:val="22"/>
        </w:rPr>
        <w:t>opioidy</w:t>
      </w:r>
      <w:proofErr w:type="spellEnd"/>
      <w:r w:rsidRPr="001F5CF7">
        <w:rPr>
          <w:szCs w:val="22"/>
        </w:rPr>
        <w:t xml:space="preserve">, lze v případech výskytu bradykardie podat </w:t>
      </w:r>
      <w:proofErr w:type="spellStart"/>
      <w:r w:rsidRPr="001F5CF7">
        <w:rPr>
          <w:szCs w:val="22"/>
        </w:rPr>
        <w:t>anticholinergickou</w:t>
      </w:r>
      <w:proofErr w:type="spellEnd"/>
      <w:r w:rsidRPr="001F5CF7">
        <w:rPr>
          <w:szCs w:val="22"/>
        </w:rPr>
        <w:t xml:space="preserve"> látku (např. atropin) na základě zvážení terapeutického prospěchu a rizika příslušným veterinárním lékařem. Viz bod 6 Interakce s jinými léčivými přípravky a</w:t>
      </w:r>
      <w:r w:rsidR="00FE1DB6">
        <w:rPr>
          <w:szCs w:val="22"/>
        </w:rPr>
        <w:t> </w:t>
      </w:r>
      <w:r w:rsidRPr="001F5CF7">
        <w:rPr>
          <w:szCs w:val="22"/>
        </w:rPr>
        <w:t>další formy interakce.</w:t>
      </w:r>
    </w:p>
    <w:p w14:paraId="306D1C42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E1CC5E" w14:textId="5238B3D6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Při podávání </w:t>
      </w:r>
      <w:r w:rsidR="00DD395E" w:rsidRPr="001F5CF7">
        <w:rPr>
          <w:szCs w:val="22"/>
        </w:rPr>
        <w:t xml:space="preserve">veterinárního léčivého </w:t>
      </w:r>
      <w:r w:rsidRPr="001F5CF7">
        <w:rPr>
          <w:szCs w:val="22"/>
        </w:rPr>
        <w:t>přípravku dodržujte aseptické postupy.</w:t>
      </w:r>
    </w:p>
    <w:p w14:paraId="456A1B6C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AADFF2" w14:textId="72B32A98" w:rsidR="00AD420A" w:rsidRPr="001F5CF7" w:rsidRDefault="00AD420A" w:rsidP="001F5CF7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F5CF7">
        <w:rPr>
          <w:szCs w:val="22"/>
          <w:u w:val="single"/>
        </w:rPr>
        <w:t>Zvláštní opatření pro osobu, která podává veterinární léčivý přípravek zvířatům:</w:t>
      </w:r>
    </w:p>
    <w:p w14:paraId="405DF4FF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je silné celkové anestetikum, proto předcházejte náhodnému </w:t>
      </w:r>
      <w:proofErr w:type="spellStart"/>
      <w:r w:rsidRPr="001F5CF7">
        <w:rPr>
          <w:szCs w:val="22"/>
        </w:rPr>
        <w:t>samopodání</w:t>
      </w:r>
      <w:proofErr w:type="spellEnd"/>
      <w:r w:rsidRPr="001F5CF7">
        <w:rPr>
          <w:szCs w:val="22"/>
        </w:rPr>
        <w:t xml:space="preserve"> injekce. Používejte krytku jehly až do okamžiku podání přípravku</w:t>
      </w:r>
    </w:p>
    <w:p w14:paraId="6F8CA94F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02483144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V případě náhodného sebepoškození injekčně aplikovaným přípravkem vyhledejte ihned lékařskou pomoc a ukažte příbalovou informaci nebo etiketu praktickému lékaři, </w:t>
      </w:r>
      <w:proofErr w:type="gramStart"/>
      <w:r w:rsidRPr="001F5CF7">
        <w:rPr>
          <w:szCs w:val="22"/>
        </w:rPr>
        <w:t xml:space="preserve">ale  </w:t>
      </w:r>
      <w:r w:rsidRPr="001F5CF7">
        <w:rPr>
          <w:b/>
          <w:szCs w:val="22"/>
        </w:rPr>
        <w:t>NEŘIĎTE</w:t>
      </w:r>
      <w:proofErr w:type="gramEnd"/>
      <w:r w:rsidRPr="001F5CF7">
        <w:rPr>
          <w:b/>
          <w:szCs w:val="22"/>
        </w:rPr>
        <w:t xml:space="preserve"> MOTOROVÉ VOZIDLO, neboť může dojít k </w:t>
      </w:r>
      <w:proofErr w:type="spellStart"/>
      <w:r w:rsidRPr="001F5CF7">
        <w:rPr>
          <w:b/>
          <w:szCs w:val="22"/>
        </w:rPr>
        <w:t>sedaci</w:t>
      </w:r>
      <w:proofErr w:type="spellEnd"/>
      <w:r w:rsidRPr="001F5CF7">
        <w:rPr>
          <w:b/>
          <w:szCs w:val="22"/>
        </w:rPr>
        <w:t>.</w:t>
      </w:r>
    </w:p>
    <w:p w14:paraId="2696B108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7E1243A4" w14:textId="5E75EEBF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Tento </w:t>
      </w:r>
      <w:r w:rsidR="00DD395E" w:rsidRPr="001F5CF7">
        <w:rPr>
          <w:szCs w:val="22"/>
        </w:rPr>
        <w:t xml:space="preserve">veterinární léčivý </w:t>
      </w:r>
      <w:r w:rsidRPr="001F5CF7">
        <w:rPr>
          <w:szCs w:val="22"/>
        </w:rPr>
        <w:t xml:space="preserve">přípravek může vyvolat hypersenzitivní (alergické) reakce u osob, které jsou citlivé na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, sóju nebo vejce. Lidé se známou </w:t>
      </w:r>
      <w:proofErr w:type="spellStart"/>
      <w:r w:rsidRPr="001F5CF7">
        <w:rPr>
          <w:szCs w:val="22"/>
        </w:rPr>
        <w:t>přecitlivělostína</w:t>
      </w:r>
      <w:proofErr w:type="spellEnd"/>
      <w:r w:rsidRPr="001F5CF7">
        <w:rPr>
          <w:szCs w:val="22"/>
        </w:rPr>
        <w:t xml:space="preserve"> tyto látky by se měli vyhnout kontaktu s veterinárním léčivým přípravkem.</w:t>
      </w:r>
    </w:p>
    <w:p w14:paraId="1DB9E337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7F4E7989" w14:textId="47E988EB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Zabraňte kontaktu s pokožkou a očima, jelikož </w:t>
      </w:r>
      <w:r w:rsidR="00DD395E" w:rsidRPr="001F5CF7">
        <w:rPr>
          <w:szCs w:val="22"/>
        </w:rPr>
        <w:t xml:space="preserve">veterinární léčivý </w:t>
      </w:r>
      <w:proofErr w:type="gramStart"/>
      <w:r w:rsidRPr="001F5CF7">
        <w:rPr>
          <w:szCs w:val="22"/>
        </w:rPr>
        <w:t>přípravek  může</w:t>
      </w:r>
      <w:proofErr w:type="gramEnd"/>
      <w:r w:rsidRPr="001F5CF7">
        <w:rPr>
          <w:szCs w:val="22"/>
        </w:rPr>
        <w:t xml:space="preserve"> vyvolat podráždění.</w:t>
      </w:r>
    </w:p>
    <w:p w14:paraId="009984B2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C8440F6" w14:textId="6D54F405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F5CF7">
        <w:rPr>
          <w:szCs w:val="22"/>
        </w:rPr>
        <w:t>V případě potřísnění pokožky nebo očí, ihned umyjte zasažené místo velkým množstvím čisté vody. Pokud podráždění přetrvává, vyhledejte lékařskou pomoc</w:t>
      </w:r>
      <w:r w:rsidR="00DD395E" w:rsidRPr="001F5CF7">
        <w:rPr>
          <w:szCs w:val="22"/>
        </w:rPr>
        <w:t xml:space="preserve"> a ukažte příbalovou informaci/obal lékaři.</w:t>
      </w:r>
    </w:p>
    <w:p w14:paraId="18BCDBDC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04B58A2" w14:textId="77777777" w:rsidR="00AD420A" w:rsidRPr="001F5CF7" w:rsidRDefault="00AD420A" w:rsidP="001F5CF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szCs w:val="22"/>
        </w:rPr>
      </w:pPr>
      <w:r w:rsidRPr="001F5CF7">
        <w:rPr>
          <w:b/>
          <w:szCs w:val="22"/>
        </w:rPr>
        <w:t>Pro lékaře:</w:t>
      </w:r>
    </w:p>
    <w:p w14:paraId="0594088C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Nenechávejte pacienta bez dozoru. Udržujte průchodnost dýchacích cest a poskytujte symptomatickou a podpůrnou léčbu.</w:t>
      </w:r>
    </w:p>
    <w:p w14:paraId="1B189BD8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F7969" w14:textId="2EB133D6" w:rsidR="00AD420A" w:rsidRPr="001F5CF7" w:rsidRDefault="00AD420A" w:rsidP="00B10CB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F5CF7">
        <w:rPr>
          <w:szCs w:val="22"/>
          <w:u w:val="single"/>
        </w:rPr>
        <w:lastRenderedPageBreak/>
        <w:t>Březost a laktace</w:t>
      </w:r>
      <w:r w:rsidR="00FE1DB6">
        <w:rPr>
          <w:szCs w:val="22"/>
          <w:u w:val="single"/>
        </w:rPr>
        <w:t>:</w:t>
      </w:r>
    </w:p>
    <w:p w14:paraId="44817B5C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Bezpečnost veterinárního léčivého přípravku pro použití během březosti (u plodů/novorozených mláďat) a laktace nebyla stanovena.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byl bezpečně použit u psů k vyvolání anestézie před porodem císařským řezem.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prostupuje přes placentu a hematoencefalickou bariéru plodu, proto může mít v době vývoje mozku nežádoucí účinek na neurologický vývoj u plodů a novorozených mláďat. V důsledku rizika neonatálního úmrtí se nedoporučuje používat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k udržování anestézie během operace </w:t>
      </w:r>
      <w:proofErr w:type="gramStart"/>
      <w:r w:rsidRPr="001F5CF7">
        <w:rPr>
          <w:szCs w:val="22"/>
        </w:rPr>
        <w:t>císařským  řezem</w:t>
      </w:r>
      <w:proofErr w:type="gramEnd"/>
      <w:r w:rsidRPr="001F5CF7">
        <w:rPr>
          <w:szCs w:val="22"/>
        </w:rPr>
        <w:t>.</w:t>
      </w:r>
    </w:p>
    <w:p w14:paraId="3666622F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D17A7F" w14:textId="07F17E52" w:rsidR="00AD420A" w:rsidRPr="001F5CF7" w:rsidRDefault="00E94DA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  <w:lang w:eastAsia="cs-CZ"/>
        </w:rPr>
        <w:t>P</w:t>
      </w:r>
      <w:r w:rsidR="00AD420A" w:rsidRPr="001F5CF7">
        <w:rPr>
          <w:szCs w:val="22"/>
          <w:lang w:eastAsia="cs-CZ"/>
        </w:rPr>
        <w:t>ouž</w:t>
      </w:r>
      <w:r w:rsidR="00F2129E" w:rsidRPr="001F5CF7">
        <w:rPr>
          <w:szCs w:val="22"/>
          <w:lang w:eastAsia="cs-CZ"/>
        </w:rPr>
        <w:t>ijte</w:t>
      </w:r>
      <w:r w:rsidR="00AD420A" w:rsidRPr="001F5CF7">
        <w:rPr>
          <w:szCs w:val="22"/>
          <w:lang w:eastAsia="cs-CZ"/>
        </w:rPr>
        <w:t xml:space="preserve"> pouze po zvážení terapeutického prospěchu a rizika příslušným veterinárním lékařem.</w:t>
      </w:r>
    </w:p>
    <w:p w14:paraId="4F55104F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0D5F8D0E" w14:textId="5687CA02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  <w:u w:val="single"/>
        </w:rPr>
        <w:t>Interakce s jinými léčivými přípravky a další formy interakce</w:t>
      </w:r>
      <w:r w:rsidR="00FE1DB6">
        <w:rPr>
          <w:szCs w:val="22"/>
          <w:u w:val="single"/>
        </w:rPr>
        <w:t>:</w:t>
      </w:r>
    </w:p>
    <w:p w14:paraId="25B30A36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lze použít společně s látkami k premedikaci jako jsou např. atropin, </w:t>
      </w:r>
      <w:proofErr w:type="spellStart"/>
      <w:r w:rsidRPr="001F5CF7">
        <w:rPr>
          <w:szCs w:val="22"/>
        </w:rPr>
        <w:t>glykopyrolát</w:t>
      </w:r>
      <w:proofErr w:type="spellEnd"/>
      <w:r w:rsidRPr="001F5CF7">
        <w:rPr>
          <w:szCs w:val="22"/>
        </w:rPr>
        <w:t xml:space="preserve">, </w:t>
      </w:r>
      <w:r w:rsidRPr="001F5CF7">
        <w:rPr>
          <w:szCs w:val="22"/>
        </w:rPr>
        <w:sym w:font="Symbol" w:char="F061"/>
      </w:r>
      <w:r w:rsidRPr="001F5CF7">
        <w:rPr>
          <w:szCs w:val="22"/>
        </w:rPr>
        <w:t>-2 agonisté (</w:t>
      </w:r>
      <w:proofErr w:type="spellStart"/>
      <w:r w:rsidRPr="001F5CF7">
        <w:rPr>
          <w:szCs w:val="22"/>
        </w:rPr>
        <w:t>medetomidin</w:t>
      </w:r>
      <w:proofErr w:type="spellEnd"/>
      <w:r w:rsidRPr="001F5CF7">
        <w:rPr>
          <w:szCs w:val="22"/>
        </w:rPr>
        <w:t xml:space="preserve">, </w:t>
      </w:r>
      <w:proofErr w:type="spellStart"/>
      <w:r w:rsidRPr="001F5CF7">
        <w:rPr>
          <w:szCs w:val="22"/>
        </w:rPr>
        <w:t>dexmedetomidin</w:t>
      </w:r>
      <w:proofErr w:type="spellEnd"/>
      <w:r w:rsidRPr="001F5CF7">
        <w:rPr>
          <w:szCs w:val="22"/>
        </w:rPr>
        <w:t xml:space="preserve">), </w:t>
      </w:r>
      <w:proofErr w:type="spellStart"/>
      <w:r w:rsidRPr="001F5CF7">
        <w:rPr>
          <w:szCs w:val="22"/>
        </w:rPr>
        <w:t>acepromazin</w:t>
      </w:r>
      <w:proofErr w:type="spellEnd"/>
      <w:r w:rsidRPr="001F5CF7">
        <w:rPr>
          <w:szCs w:val="22"/>
        </w:rPr>
        <w:t xml:space="preserve">, benzodiazepiny (diazepam, midazolam); inhalačními látkami (např. </w:t>
      </w:r>
      <w:proofErr w:type="spellStart"/>
      <w:r w:rsidRPr="001F5CF7">
        <w:rPr>
          <w:szCs w:val="22"/>
        </w:rPr>
        <w:t>halothan</w:t>
      </w:r>
      <w:proofErr w:type="spellEnd"/>
      <w:r w:rsidRPr="001F5CF7">
        <w:rPr>
          <w:szCs w:val="22"/>
        </w:rPr>
        <w:t xml:space="preserve">, </w:t>
      </w:r>
      <w:proofErr w:type="spellStart"/>
      <w:r w:rsidRPr="001F5CF7">
        <w:rPr>
          <w:szCs w:val="22"/>
        </w:rPr>
        <w:t>isofluran</w:t>
      </w:r>
      <w:proofErr w:type="spellEnd"/>
      <w:r w:rsidRPr="001F5CF7">
        <w:rPr>
          <w:szCs w:val="22"/>
        </w:rPr>
        <w:t xml:space="preserve">, </w:t>
      </w:r>
      <w:proofErr w:type="spellStart"/>
      <w:r w:rsidRPr="001F5CF7">
        <w:rPr>
          <w:szCs w:val="22"/>
        </w:rPr>
        <w:t>sevofluran</w:t>
      </w:r>
      <w:proofErr w:type="spellEnd"/>
      <w:r w:rsidRPr="001F5CF7">
        <w:rPr>
          <w:szCs w:val="22"/>
        </w:rPr>
        <w:t xml:space="preserve">, </w:t>
      </w:r>
      <w:proofErr w:type="spellStart"/>
      <w:r w:rsidRPr="001F5CF7">
        <w:rPr>
          <w:szCs w:val="22"/>
        </w:rPr>
        <w:t>enfluran</w:t>
      </w:r>
      <w:proofErr w:type="spellEnd"/>
      <w:r w:rsidRPr="001F5CF7">
        <w:rPr>
          <w:szCs w:val="22"/>
        </w:rPr>
        <w:t xml:space="preserve"> a oxid dusný); jako i analgetiky, například </w:t>
      </w:r>
      <w:proofErr w:type="spellStart"/>
      <w:r w:rsidRPr="001F5CF7">
        <w:rPr>
          <w:szCs w:val="22"/>
        </w:rPr>
        <w:t>pethidin</w:t>
      </w:r>
      <w:proofErr w:type="spellEnd"/>
      <w:r w:rsidRPr="001F5CF7">
        <w:rPr>
          <w:szCs w:val="22"/>
        </w:rPr>
        <w:t xml:space="preserve"> a buprenorfin.</w:t>
      </w:r>
    </w:p>
    <w:p w14:paraId="609B6EF7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FCE028" w14:textId="4A134B6D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Tento </w:t>
      </w:r>
      <w:r w:rsidR="00DD395E" w:rsidRPr="001F5CF7">
        <w:rPr>
          <w:szCs w:val="22"/>
        </w:rPr>
        <w:t xml:space="preserve">veterinární léčivý </w:t>
      </w:r>
      <w:r w:rsidRPr="001F5CF7">
        <w:rPr>
          <w:szCs w:val="22"/>
        </w:rPr>
        <w:t xml:space="preserve">přípravek lze podávat paralelně se všemi intravenózními kapalinami např. pomocí Y spojky začleněné co nejblíže k místu </w:t>
      </w:r>
      <w:r w:rsidR="00872612">
        <w:rPr>
          <w:szCs w:val="22"/>
        </w:rPr>
        <w:t>injekčního podání</w:t>
      </w:r>
      <w:r w:rsidRPr="001F5CF7">
        <w:rPr>
          <w:szCs w:val="22"/>
        </w:rPr>
        <w:t xml:space="preserve">. </w:t>
      </w:r>
      <w:r w:rsidR="00DD395E" w:rsidRPr="001F5CF7">
        <w:rPr>
          <w:szCs w:val="22"/>
        </w:rPr>
        <w:t>Veterinární léčivý p</w:t>
      </w:r>
      <w:r w:rsidRPr="001F5CF7">
        <w:rPr>
          <w:szCs w:val="22"/>
        </w:rPr>
        <w:t xml:space="preserve">řípravek lze zředit </w:t>
      </w:r>
      <w:proofErr w:type="gramStart"/>
      <w:r w:rsidRPr="001F5CF7">
        <w:rPr>
          <w:szCs w:val="22"/>
        </w:rPr>
        <w:t>5%</w:t>
      </w:r>
      <w:proofErr w:type="gramEnd"/>
      <w:r w:rsidRPr="001F5CF7">
        <w:rPr>
          <w:szCs w:val="22"/>
        </w:rPr>
        <w:t xml:space="preserve"> infuzním roztokem glukózy. Studie kompatibility s jinými infuzními roztoky (např. </w:t>
      </w:r>
      <w:proofErr w:type="spellStart"/>
      <w:r w:rsidRPr="001F5CF7">
        <w:rPr>
          <w:szCs w:val="22"/>
        </w:rPr>
        <w:t>NaCl</w:t>
      </w:r>
      <w:proofErr w:type="spellEnd"/>
      <w:r w:rsidRPr="001F5CF7">
        <w:rPr>
          <w:szCs w:val="22"/>
        </w:rPr>
        <w:t xml:space="preserve"> nebo </w:t>
      </w:r>
      <w:proofErr w:type="spellStart"/>
      <w:r w:rsidRPr="001F5CF7">
        <w:rPr>
          <w:szCs w:val="22"/>
        </w:rPr>
        <w:t>Ringerovým</w:t>
      </w:r>
      <w:proofErr w:type="spellEnd"/>
      <w:r w:rsidRPr="001F5CF7">
        <w:rPr>
          <w:szCs w:val="22"/>
        </w:rPr>
        <w:t xml:space="preserve"> laktátovým roztokem) nebyly s tímto veterinárním léčivým přípravkem provedeny.</w:t>
      </w:r>
    </w:p>
    <w:p w14:paraId="113043FD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ACF224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Souběžné podání sedativ nebo analgetik pravděpodobně vede ke snížení dávky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potřebné k vyvolání a udržení anestézie. Viz bod 8.</w:t>
      </w:r>
    </w:p>
    <w:p w14:paraId="1CD20F85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AA1CE2" w14:textId="1C9D308A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Současné použití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s </w:t>
      </w:r>
      <w:proofErr w:type="spellStart"/>
      <w:r w:rsidRPr="001F5CF7">
        <w:rPr>
          <w:szCs w:val="22"/>
        </w:rPr>
        <w:t>opioidy</w:t>
      </w:r>
      <w:proofErr w:type="spellEnd"/>
      <w:r w:rsidRPr="001F5CF7">
        <w:rPr>
          <w:szCs w:val="22"/>
        </w:rPr>
        <w:t xml:space="preserve"> může vést k vážné respirační depresi a významnému snížení frekvence srdečního tepu. U koček byl při současném použití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a </w:t>
      </w:r>
      <w:proofErr w:type="spellStart"/>
      <w:r w:rsidRPr="001F5CF7">
        <w:rPr>
          <w:szCs w:val="22"/>
        </w:rPr>
        <w:t>ketaminu</w:t>
      </w:r>
      <w:proofErr w:type="spellEnd"/>
      <w:r w:rsidRPr="001F5CF7">
        <w:rPr>
          <w:szCs w:val="22"/>
        </w:rPr>
        <w:t xml:space="preserve"> pozorován častější výskyt apnoe než u použití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s jinými látkami k premedikaci. Aby se snížilo riziko apnoe,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by měl být podáván pomalu v průběhu 20 až 60 sekund.  Další informace viz bod 6 Zvláštní opatření</w:t>
      </w:r>
      <w:r w:rsidRPr="001F5CF7">
        <w:rPr>
          <w:szCs w:val="22"/>
          <w:u w:val="single"/>
        </w:rPr>
        <w:t xml:space="preserve"> pro bezpečné použití u cílových druhů zvířat</w:t>
      </w:r>
      <w:r w:rsidRPr="001F5CF7">
        <w:rPr>
          <w:szCs w:val="22"/>
        </w:rPr>
        <w:t xml:space="preserve">. </w:t>
      </w:r>
    </w:p>
    <w:p w14:paraId="3622F374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E26B73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Společné podávání </w:t>
      </w:r>
      <w:proofErr w:type="spellStart"/>
      <w:r w:rsidRPr="001F5CF7">
        <w:rPr>
          <w:szCs w:val="22"/>
        </w:rPr>
        <w:t>propofolových</w:t>
      </w:r>
      <w:proofErr w:type="spellEnd"/>
      <w:r w:rsidRPr="001F5CF7">
        <w:rPr>
          <w:szCs w:val="22"/>
        </w:rPr>
        <w:t xml:space="preserve"> a </w:t>
      </w:r>
      <w:proofErr w:type="spellStart"/>
      <w:r w:rsidRPr="001F5CF7">
        <w:rPr>
          <w:szCs w:val="22"/>
        </w:rPr>
        <w:t>opioidových</w:t>
      </w:r>
      <w:proofErr w:type="spellEnd"/>
      <w:r w:rsidRPr="001F5CF7">
        <w:rPr>
          <w:szCs w:val="22"/>
        </w:rPr>
        <w:t xml:space="preserve"> (např. </w:t>
      </w:r>
      <w:proofErr w:type="spellStart"/>
      <w:r w:rsidRPr="001F5CF7">
        <w:rPr>
          <w:szCs w:val="22"/>
        </w:rPr>
        <w:t>fentanyl</w:t>
      </w:r>
      <w:proofErr w:type="spellEnd"/>
      <w:r w:rsidRPr="001F5CF7">
        <w:rPr>
          <w:szCs w:val="22"/>
        </w:rPr>
        <w:t xml:space="preserve">, </w:t>
      </w:r>
      <w:proofErr w:type="spellStart"/>
      <w:r w:rsidRPr="001F5CF7">
        <w:rPr>
          <w:szCs w:val="22"/>
        </w:rPr>
        <w:t>alfentanil</w:t>
      </w:r>
      <w:proofErr w:type="spellEnd"/>
      <w:r w:rsidRPr="001F5CF7">
        <w:rPr>
          <w:szCs w:val="22"/>
        </w:rPr>
        <w:t xml:space="preserve">) infúzí za účelem udržování celkové anestézie může vést k delší době zotavování. U psů, kterým byl podán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a následně </w:t>
      </w:r>
      <w:proofErr w:type="spellStart"/>
      <w:r w:rsidRPr="001F5CF7">
        <w:rPr>
          <w:szCs w:val="22"/>
        </w:rPr>
        <w:t>alfentanil</w:t>
      </w:r>
      <w:proofErr w:type="spellEnd"/>
      <w:r w:rsidRPr="001F5CF7">
        <w:rPr>
          <w:szCs w:val="22"/>
        </w:rPr>
        <w:t>, byla pozorována srdeční zástava.</w:t>
      </w:r>
    </w:p>
    <w:p w14:paraId="0A411178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47D147" w14:textId="555BE7C9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Podávání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společně s dalšími léčivými přípravky, které jsou metabolizovány pomocí cytochromu P450 (</w:t>
      </w:r>
      <w:proofErr w:type="spellStart"/>
      <w:r w:rsidRPr="001F5CF7">
        <w:rPr>
          <w:szCs w:val="22"/>
        </w:rPr>
        <w:t>isoenzymu</w:t>
      </w:r>
      <w:proofErr w:type="spellEnd"/>
      <w:r w:rsidRPr="001F5CF7">
        <w:rPr>
          <w:szCs w:val="22"/>
        </w:rPr>
        <w:t xml:space="preserve"> 2B11 u psů), například chloramfenikolem, </w:t>
      </w:r>
      <w:proofErr w:type="spellStart"/>
      <w:r w:rsidRPr="001F5CF7">
        <w:rPr>
          <w:szCs w:val="22"/>
        </w:rPr>
        <w:t>ketokonazolem</w:t>
      </w:r>
      <w:proofErr w:type="spellEnd"/>
      <w:r w:rsidRPr="001F5CF7">
        <w:rPr>
          <w:szCs w:val="22"/>
        </w:rPr>
        <w:t xml:space="preserve"> a</w:t>
      </w:r>
      <w:r w:rsidR="00FE1DB6">
        <w:rPr>
          <w:szCs w:val="22"/>
        </w:rPr>
        <w:t> </w:t>
      </w:r>
      <w:proofErr w:type="spellStart"/>
      <w:r w:rsidRPr="001F5CF7">
        <w:rPr>
          <w:szCs w:val="22"/>
        </w:rPr>
        <w:t>loperamidem</w:t>
      </w:r>
      <w:proofErr w:type="spellEnd"/>
      <w:r w:rsidRPr="001F5CF7">
        <w:rPr>
          <w:szCs w:val="22"/>
        </w:rPr>
        <w:t xml:space="preserve">, snižuje </w:t>
      </w:r>
      <w:proofErr w:type="spellStart"/>
      <w:r w:rsidRPr="001F5CF7">
        <w:rPr>
          <w:szCs w:val="22"/>
        </w:rPr>
        <w:t>clearence</w:t>
      </w:r>
      <w:proofErr w:type="spellEnd"/>
      <w:r w:rsidRPr="001F5CF7">
        <w:rPr>
          <w:szCs w:val="22"/>
        </w:rPr>
        <w:t xml:space="preserve">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a prodlužuje zotavení z anestézie.</w:t>
      </w:r>
    </w:p>
    <w:p w14:paraId="473482D5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8C10E7" w14:textId="4CC40130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  <w:u w:val="single"/>
        </w:rPr>
        <w:t xml:space="preserve">Předávkování (symptomy, první pomoc, </w:t>
      </w:r>
      <w:proofErr w:type="spellStart"/>
      <w:r w:rsidRPr="001F5CF7">
        <w:rPr>
          <w:szCs w:val="22"/>
          <w:u w:val="single"/>
        </w:rPr>
        <w:t>antidota</w:t>
      </w:r>
      <w:proofErr w:type="spellEnd"/>
      <w:r w:rsidRPr="001F5CF7">
        <w:rPr>
          <w:szCs w:val="22"/>
          <w:u w:val="single"/>
        </w:rPr>
        <w:t>)</w:t>
      </w:r>
      <w:r w:rsidR="00FE1DB6">
        <w:rPr>
          <w:szCs w:val="22"/>
          <w:u w:val="single"/>
        </w:rPr>
        <w:t>:</w:t>
      </w:r>
    </w:p>
    <w:p w14:paraId="4C713A7F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Náhodné předávkování pravděpodobně vyvolá kardiorespirační depresi. V takových případech zajistěte průchodnost dýchacích cest a začněte s asistovanou nebo umělou ventilací s obohacením kyslíkem, podáváním látek ovlivňujících tlak a intravenózním podáním tekutin. Tím podpoříte kardiovaskulární funkci. U psů mohou bolusové dávky přesahující 10 mg/kg způsobit cyanózu. Také může být pozorována mydriáza. Pokud dojde k cyanóze a mydriáze, znamená to, že je nutné obohacení kyslíkem. Při bolusových dávkách 19,5 mg/kg u koček a 20 mg/kg u psů byl zaznamenán úhyn.</w:t>
      </w:r>
    </w:p>
    <w:p w14:paraId="2EDDE60A" w14:textId="77777777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CEE78D" w14:textId="41D7F910" w:rsidR="00AD420A" w:rsidRPr="001F5CF7" w:rsidRDefault="00AD420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  <w:u w:val="single"/>
        </w:rPr>
        <w:t>Hlavní inkompatibility</w:t>
      </w:r>
      <w:r w:rsidR="00FE1DB6">
        <w:rPr>
          <w:szCs w:val="22"/>
          <w:u w:val="single"/>
        </w:rPr>
        <w:t>:</w:t>
      </w:r>
    </w:p>
    <w:p w14:paraId="4995BE80" w14:textId="157ABBFF" w:rsidR="00AD420A" w:rsidRPr="001F5CF7" w:rsidRDefault="00E6208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Veterinární léčivý p</w:t>
      </w:r>
      <w:r w:rsidR="00AD420A" w:rsidRPr="001F5CF7">
        <w:rPr>
          <w:szCs w:val="22"/>
        </w:rPr>
        <w:t xml:space="preserve">řípravek lze zředit </w:t>
      </w:r>
      <w:proofErr w:type="gramStart"/>
      <w:r w:rsidR="00AD420A" w:rsidRPr="001F5CF7">
        <w:rPr>
          <w:szCs w:val="22"/>
        </w:rPr>
        <w:t>5%</w:t>
      </w:r>
      <w:proofErr w:type="gramEnd"/>
      <w:r w:rsidR="00AD420A" w:rsidRPr="001F5CF7">
        <w:rPr>
          <w:szCs w:val="22"/>
        </w:rPr>
        <w:t xml:space="preserve"> infuzním roztokem glukózy. Studie kompatibility s jinými infuzními roztoky (např. </w:t>
      </w:r>
      <w:proofErr w:type="spellStart"/>
      <w:r w:rsidR="00AD420A" w:rsidRPr="001F5CF7">
        <w:rPr>
          <w:szCs w:val="22"/>
        </w:rPr>
        <w:t>NaCl</w:t>
      </w:r>
      <w:proofErr w:type="spellEnd"/>
      <w:r w:rsidR="00AD420A" w:rsidRPr="001F5CF7">
        <w:rPr>
          <w:szCs w:val="22"/>
        </w:rPr>
        <w:t xml:space="preserve"> nebo </w:t>
      </w:r>
      <w:proofErr w:type="spellStart"/>
      <w:r w:rsidR="00AD420A" w:rsidRPr="001F5CF7">
        <w:rPr>
          <w:szCs w:val="22"/>
        </w:rPr>
        <w:t>Ringerovým</w:t>
      </w:r>
      <w:proofErr w:type="spellEnd"/>
      <w:r w:rsidR="00AD420A" w:rsidRPr="001F5CF7">
        <w:rPr>
          <w:szCs w:val="22"/>
        </w:rPr>
        <w:t xml:space="preserve"> laktátovým roztokem) nebyly s tímto veterinárním léčivým přípravkem provedeny.</w:t>
      </w:r>
    </w:p>
    <w:p w14:paraId="10BA09C6" w14:textId="77777777" w:rsidR="005F597F" w:rsidRPr="001F5CF7" w:rsidRDefault="005F597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15992A" w14:textId="0D193849" w:rsidR="00C114FF" w:rsidRPr="001F5CF7" w:rsidRDefault="00AD420A" w:rsidP="00B10CB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/>
          <w:szCs w:val="22"/>
          <w:highlight w:val="lightGray"/>
        </w:rPr>
        <w:lastRenderedPageBreak/>
        <w:t>7</w:t>
      </w:r>
      <w:r w:rsidR="00C114FF" w:rsidRPr="001F5CF7">
        <w:rPr>
          <w:b/>
          <w:szCs w:val="22"/>
          <w:highlight w:val="lightGray"/>
        </w:rPr>
        <w:t>.</w:t>
      </w:r>
      <w:r w:rsidR="00C114FF" w:rsidRPr="001F5CF7">
        <w:rPr>
          <w:b/>
          <w:szCs w:val="22"/>
        </w:rPr>
        <w:tab/>
        <w:t>N</w:t>
      </w:r>
      <w:r w:rsidRPr="001F5CF7">
        <w:rPr>
          <w:b/>
          <w:szCs w:val="22"/>
        </w:rPr>
        <w:t>ežádoucí účinky</w:t>
      </w:r>
    </w:p>
    <w:p w14:paraId="5AFB6E9F" w14:textId="77777777" w:rsidR="00E6208A" w:rsidRPr="001F5CF7" w:rsidRDefault="00E6208A" w:rsidP="00B10CB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3A1CED9" w14:textId="4DBC4448" w:rsidR="00C114FF" w:rsidRPr="001F5CF7" w:rsidRDefault="00AD420A" w:rsidP="00B10CB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Psi</w:t>
      </w:r>
    </w:p>
    <w:p w14:paraId="21895EEF" w14:textId="77777777" w:rsidR="00AD420A" w:rsidRDefault="00AD420A" w:rsidP="00B10CB3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064"/>
      </w:tblGrid>
      <w:tr w:rsidR="00AD420A" w:rsidRPr="009F370A" w14:paraId="5EB04F6F" w14:textId="77777777" w:rsidTr="00DA354B">
        <w:tc>
          <w:tcPr>
            <w:tcW w:w="1102" w:type="pct"/>
          </w:tcPr>
          <w:p w14:paraId="2E0BB34B" w14:textId="77777777" w:rsidR="00AD420A" w:rsidRDefault="00AD420A" w:rsidP="00B10CB3">
            <w:pPr>
              <w:keepNext/>
            </w:pPr>
            <w:r>
              <w:t>Velmi časté</w:t>
            </w:r>
          </w:p>
          <w:p w14:paraId="11EA0E21" w14:textId="77777777" w:rsidR="00AD420A" w:rsidRPr="009F370A" w:rsidRDefault="00AD420A" w:rsidP="00B10CB3">
            <w:pPr>
              <w:keepNext/>
            </w:pPr>
            <w:r w:rsidRPr="009F370A">
              <w:t>(</w:t>
            </w:r>
            <w:r>
              <w:t>&gt;</w:t>
            </w:r>
            <w:r w:rsidRPr="009F370A">
              <w:t xml:space="preserve">1 </w:t>
            </w:r>
            <w:r>
              <w:t>zvíře</w:t>
            </w:r>
            <w:r w:rsidRPr="009F370A">
              <w:t xml:space="preserve"> / 10 </w:t>
            </w:r>
            <w:r>
              <w:t>ošetřených zvířat)</w:t>
            </w:r>
          </w:p>
        </w:tc>
        <w:tc>
          <w:tcPr>
            <w:tcW w:w="3898" w:type="pct"/>
          </w:tcPr>
          <w:p w14:paraId="5B2CBF36" w14:textId="664D9332" w:rsidR="00AD420A" w:rsidRPr="00DA354B" w:rsidRDefault="00AD420A" w:rsidP="00B10CB3">
            <w:pPr>
              <w:keepNext/>
              <w:rPr>
                <w:bCs/>
              </w:rPr>
            </w:pPr>
            <w:r w:rsidRPr="00DA354B">
              <w:rPr>
                <w:bCs/>
              </w:rPr>
              <w:t>Apnoe</w:t>
            </w:r>
            <w:r w:rsidR="00E94DA5">
              <w:rPr>
                <w:bCs/>
              </w:rPr>
              <w:t xml:space="preserve"> (dočasné zástava dechu)</w:t>
            </w:r>
          </w:p>
        </w:tc>
      </w:tr>
      <w:tr w:rsidR="00AD420A" w:rsidRPr="009F370A" w14:paraId="654BF77E" w14:textId="77777777" w:rsidTr="00DA354B">
        <w:tc>
          <w:tcPr>
            <w:tcW w:w="1102" w:type="pct"/>
          </w:tcPr>
          <w:p w14:paraId="2CE446D8" w14:textId="77777777" w:rsidR="00AD420A" w:rsidRDefault="00AD420A" w:rsidP="00DA354B">
            <w:r>
              <w:t xml:space="preserve">Časté </w:t>
            </w:r>
          </w:p>
          <w:p w14:paraId="4C7E8710" w14:textId="77777777" w:rsidR="00AD420A" w:rsidRPr="009F370A" w:rsidRDefault="00AD420A" w:rsidP="00DA354B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</w:tcPr>
          <w:p w14:paraId="2D104C4D" w14:textId="114FD341" w:rsidR="00AD420A" w:rsidRPr="00DA354B" w:rsidRDefault="00E6208A" w:rsidP="00DA354B">
            <w:pPr>
              <w:rPr>
                <w:bCs/>
              </w:rPr>
            </w:pPr>
            <w:r>
              <w:t xml:space="preserve">Excitace, </w:t>
            </w:r>
            <w:r w:rsidR="00AD420A">
              <w:t xml:space="preserve">arytmie, </w:t>
            </w:r>
            <w:r>
              <w:t>bradykardie</w:t>
            </w:r>
            <w:r w:rsidR="00E94DA5">
              <w:t xml:space="preserve"> (pomalý srdeční tep)</w:t>
            </w:r>
            <w:r>
              <w:t xml:space="preserve">, </w:t>
            </w:r>
            <w:r w:rsidR="00AD420A">
              <w:t>hypotenze</w:t>
            </w:r>
            <w:r w:rsidR="00E94DA5">
              <w:t xml:space="preserve"> (nízký krevní tlak)</w:t>
            </w:r>
            <w:r w:rsidR="00AD420A">
              <w:t xml:space="preserve">, </w:t>
            </w:r>
            <w:proofErr w:type="spellStart"/>
            <w:r>
              <w:t>hypertenze</w:t>
            </w:r>
            <w:r w:rsidRPr="00B10CB3">
              <w:rPr>
                <w:vertAlign w:val="superscript"/>
              </w:rPr>
              <w:t>a</w:t>
            </w:r>
            <w:proofErr w:type="spellEnd"/>
            <w:r>
              <w:t xml:space="preserve">, zvracení, </w:t>
            </w:r>
            <w:proofErr w:type="spellStart"/>
            <w:r>
              <w:t>hypersalivace</w:t>
            </w:r>
            <w:proofErr w:type="spellEnd"/>
            <w:r w:rsidR="00E94DA5">
              <w:t xml:space="preserve"> (nadměrné slinění)</w:t>
            </w:r>
            <w:r>
              <w:t xml:space="preserve">, </w:t>
            </w:r>
            <w:proofErr w:type="gramStart"/>
            <w:r>
              <w:t xml:space="preserve">říhání,  </w:t>
            </w:r>
            <w:r w:rsidR="00AD420A">
              <w:t>pohybování</w:t>
            </w:r>
            <w:proofErr w:type="gramEnd"/>
            <w:r w:rsidR="00AD420A">
              <w:t xml:space="preserve"> končetinami, </w:t>
            </w:r>
            <w:proofErr w:type="spellStart"/>
            <w:r w:rsidR="00AD420A">
              <w:t>myoklonus</w:t>
            </w:r>
            <w:proofErr w:type="spellEnd"/>
            <w:r w:rsidR="00E94DA5">
              <w:t xml:space="preserve"> (mimovolní pohyby)</w:t>
            </w:r>
            <w:r w:rsidR="00AD420A">
              <w:t>, nystagmus</w:t>
            </w:r>
            <w:r w:rsidR="00E94DA5">
              <w:t xml:space="preserve"> (mimovolný pohyb očí)</w:t>
            </w:r>
            <w:r w:rsidR="00AD420A">
              <w:t xml:space="preserve">, </w:t>
            </w:r>
            <w:proofErr w:type="spellStart"/>
            <w:r w:rsidR="00AD420A">
              <w:t>opistotonus</w:t>
            </w:r>
            <w:proofErr w:type="spellEnd"/>
            <w:r w:rsidR="00E94DA5">
              <w:t xml:space="preserve"> (prohnutí těla do oblouku)</w:t>
            </w:r>
            <w:r>
              <w:t xml:space="preserve">, </w:t>
            </w:r>
            <w:r w:rsidRPr="0069286C">
              <w:t>p</w:t>
            </w:r>
            <w:r>
              <w:t>rodloužené</w:t>
            </w:r>
            <w:r w:rsidRPr="0069286C">
              <w:t xml:space="preserve"> </w:t>
            </w:r>
            <w:proofErr w:type="spellStart"/>
            <w:r w:rsidRPr="0069286C">
              <w:t>zotavování</w:t>
            </w:r>
            <w:r w:rsidRPr="00B10CB3">
              <w:rPr>
                <w:vertAlign w:val="superscript"/>
              </w:rPr>
              <w:t>b</w:t>
            </w:r>
            <w:proofErr w:type="spellEnd"/>
            <w:r>
              <w:t xml:space="preserve">, </w:t>
            </w:r>
            <w:r w:rsidR="00AD420A" w:rsidRPr="0069286C">
              <w:t>kýchání, mnutí obličeje/nosu</w:t>
            </w:r>
          </w:p>
        </w:tc>
      </w:tr>
      <w:tr w:rsidR="00AD420A" w:rsidRPr="009F370A" w14:paraId="3F9D85F4" w14:textId="77777777" w:rsidTr="00DA354B">
        <w:tc>
          <w:tcPr>
            <w:tcW w:w="1102" w:type="pct"/>
          </w:tcPr>
          <w:p w14:paraId="2E628E97" w14:textId="77777777" w:rsidR="00AD420A" w:rsidRPr="009F370A" w:rsidRDefault="00AD420A" w:rsidP="00DA354B">
            <w:r>
              <w:t xml:space="preserve">Méně časté </w:t>
            </w:r>
          </w:p>
          <w:p w14:paraId="16050D53" w14:textId="77777777" w:rsidR="00AD420A" w:rsidRPr="009F370A" w:rsidRDefault="00AD420A" w:rsidP="00DA354B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  <w:hideMark/>
          </w:tcPr>
          <w:p w14:paraId="5ADCF427" w14:textId="6CB7C778" w:rsidR="00AD420A" w:rsidRPr="009F370A" w:rsidRDefault="00AD420A" w:rsidP="00DA354B">
            <w:r>
              <w:t>Z</w:t>
            </w:r>
            <w:r w:rsidRPr="00E13A7D">
              <w:t>výšení glukózy</w:t>
            </w:r>
            <w:r w:rsidRPr="00354209">
              <w:t xml:space="preserve"> v krvi</w:t>
            </w:r>
            <w:r w:rsidRPr="000A1D5C">
              <w:t>, bolest</w:t>
            </w:r>
            <w:r w:rsidRPr="0069286C">
              <w:t>ivost v místě intravenózního</w:t>
            </w:r>
            <w:r>
              <w:t xml:space="preserve"> </w:t>
            </w:r>
            <w:proofErr w:type="spellStart"/>
            <w:r>
              <w:t>podání</w:t>
            </w:r>
            <w:r w:rsidR="00E6208A" w:rsidRPr="00B10CB3">
              <w:rPr>
                <w:vertAlign w:val="superscript"/>
              </w:rPr>
              <w:t>c</w:t>
            </w:r>
            <w:proofErr w:type="spellEnd"/>
            <w:r w:rsidRPr="009F370A">
              <w:t xml:space="preserve"> </w:t>
            </w:r>
          </w:p>
          <w:p w14:paraId="698F758D" w14:textId="77777777" w:rsidR="00AD420A" w:rsidRPr="009F370A" w:rsidRDefault="00AD420A" w:rsidP="00DA354B">
            <w:r w:rsidRPr="009F370A">
              <w:t xml:space="preserve"> </w:t>
            </w:r>
          </w:p>
        </w:tc>
      </w:tr>
    </w:tbl>
    <w:p w14:paraId="1928B26B" w14:textId="77777777" w:rsidR="00AD420A" w:rsidRPr="00A40EC9" w:rsidRDefault="00AD4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682AD" w14:textId="4940BA92" w:rsidR="00401C9C" w:rsidRDefault="00E6208A" w:rsidP="00401C9C">
      <w:pPr>
        <w:tabs>
          <w:tab w:val="clear" w:pos="567"/>
        </w:tabs>
        <w:spacing w:line="240" w:lineRule="auto"/>
      </w:pPr>
      <w:r w:rsidRPr="00B10CB3">
        <w:rPr>
          <w:vertAlign w:val="superscript"/>
        </w:rPr>
        <w:t xml:space="preserve">a </w:t>
      </w:r>
      <w:r w:rsidR="00A57AA8" w:rsidRPr="00A40EC9">
        <w:t xml:space="preserve">Pokud je </w:t>
      </w:r>
      <w:proofErr w:type="spellStart"/>
      <w:r w:rsidR="00A57AA8" w:rsidRPr="00A40EC9">
        <w:t>propofol</w:t>
      </w:r>
      <w:proofErr w:type="spellEnd"/>
      <w:r w:rsidR="00A57AA8" w:rsidRPr="00A40EC9">
        <w:t xml:space="preserve"> používán bez premedikace jako jediná látka vyvolávající anest</w:t>
      </w:r>
      <w:r w:rsidR="00A06EAF">
        <w:t>é</w:t>
      </w:r>
      <w:r w:rsidR="00A57AA8" w:rsidRPr="00A40EC9">
        <w:t>zii, může být u psů pozorováno krátké přechodné zvýšení arteriálního krevního tlaku.</w:t>
      </w:r>
    </w:p>
    <w:p w14:paraId="4C5458C7" w14:textId="31BA9DC3" w:rsidR="00E6208A" w:rsidRPr="00B10CB3" w:rsidRDefault="00E6208A" w:rsidP="00401C9C">
      <w:pPr>
        <w:tabs>
          <w:tab w:val="clear" w:pos="567"/>
        </w:tabs>
        <w:spacing w:line="240" w:lineRule="auto"/>
        <w:rPr>
          <w:szCs w:val="22"/>
        </w:rPr>
      </w:pPr>
      <w:r w:rsidRPr="00B10CB3">
        <w:rPr>
          <w:szCs w:val="22"/>
          <w:vertAlign w:val="superscript"/>
        </w:rPr>
        <w:t xml:space="preserve">b </w:t>
      </w:r>
      <w:r w:rsidRPr="00B10CB3">
        <w:rPr>
          <w:szCs w:val="22"/>
        </w:rPr>
        <w:t>Pomalé zotavování.</w:t>
      </w:r>
    </w:p>
    <w:p w14:paraId="2238022C" w14:textId="3613D40C" w:rsidR="00E6208A" w:rsidRPr="00B10CB3" w:rsidRDefault="00E6208A" w:rsidP="00401C9C">
      <w:pPr>
        <w:tabs>
          <w:tab w:val="clear" w:pos="567"/>
        </w:tabs>
        <w:spacing w:line="240" w:lineRule="auto"/>
        <w:rPr>
          <w:szCs w:val="22"/>
        </w:rPr>
      </w:pPr>
      <w:r w:rsidRPr="00B10CB3">
        <w:rPr>
          <w:szCs w:val="22"/>
          <w:vertAlign w:val="superscript"/>
        </w:rPr>
        <w:t>c</w:t>
      </w:r>
      <w:r w:rsidRPr="00B10CB3">
        <w:rPr>
          <w:szCs w:val="22"/>
        </w:rPr>
        <w:t xml:space="preserve"> Po </w:t>
      </w:r>
      <w:proofErr w:type="spellStart"/>
      <w:r w:rsidRPr="00B10CB3">
        <w:rPr>
          <w:szCs w:val="22"/>
        </w:rPr>
        <w:t>intravenozním</w:t>
      </w:r>
      <w:proofErr w:type="spellEnd"/>
      <w:r w:rsidRPr="00B10CB3">
        <w:rPr>
          <w:szCs w:val="22"/>
        </w:rPr>
        <w:t xml:space="preserve"> podání.</w:t>
      </w:r>
    </w:p>
    <w:p w14:paraId="30B12F5B" w14:textId="187283B0" w:rsidR="00E6208A" w:rsidRDefault="00E6208A" w:rsidP="00401C9C">
      <w:pPr>
        <w:tabs>
          <w:tab w:val="clear" w:pos="567"/>
        </w:tabs>
        <w:spacing w:line="240" w:lineRule="auto"/>
      </w:pPr>
    </w:p>
    <w:p w14:paraId="7C32B14E" w14:textId="4107696B" w:rsidR="00E6208A" w:rsidRDefault="00E6208A" w:rsidP="00401C9C">
      <w:pPr>
        <w:tabs>
          <w:tab w:val="clear" w:pos="567"/>
        </w:tabs>
        <w:spacing w:line="240" w:lineRule="auto"/>
      </w:pPr>
      <w:r>
        <w:t>Kočky</w:t>
      </w:r>
    </w:p>
    <w:p w14:paraId="5463F2BB" w14:textId="1963C701" w:rsidR="00E6208A" w:rsidRDefault="00E6208A" w:rsidP="00401C9C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064"/>
      </w:tblGrid>
      <w:tr w:rsidR="00E6208A" w:rsidRPr="009F370A" w14:paraId="1AB77DC6" w14:textId="77777777" w:rsidTr="000649B7">
        <w:tc>
          <w:tcPr>
            <w:tcW w:w="1102" w:type="pct"/>
          </w:tcPr>
          <w:p w14:paraId="69B1D961" w14:textId="77777777" w:rsidR="00E6208A" w:rsidRDefault="00E6208A" w:rsidP="000649B7">
            <w:r>
              <w:t>Velmi časté</w:t>
            </w:r>
          </w:p>
          <w:p w14:paraId="66ED44F7" w14:textId="77777777" w:rsidR="00E6208A" w:rsidRPr="009F370A" w:rsidRDefault="00E6208A" w:rsidP="000649B7">
            <w:r w:rsidRPr="009F370A">
              <w:t>(</w:t>
            </w:r>
            <w:r>
              <w:t>&gt;</w:t>
            </w:r>
            <w:r w:rsidRPr="009F370A">
              <w:t xml:space="preserve">1 </w:t>
            </w:r>
            <w:r>
              <w:t>zvíře</w:t>
            </w:r>
            <w:r w:rsidRPr="009F370A">
              <w:t xml:space="preserve"> / 10 </w:t>
            </w:r>
            <w:r>
              <w:t>ošetřených zvířat)</w:t>
            </w:r>
          </w:p>
        </w:tc>
        <w:tc>
          <w:tcPr>
            <w:tcW w:w="3898" w:type="pct"/>
          </w:tcPr>
          <w:p w14:paraId="377B92B2" w14:textId="750F8ED9" w:rsidR="00E6208A" w:rsidRPr="00DA354B" w:rsidRDefault="00E6208A" w:rsidP="000649B7">
            <w:pPr>
              <w:rPr>
                <w:bCs/>
              </w:rPr>
            </w:pPr>
            <w:r w:rsidRPr="00DA354B">
              <w:rPr>
                <w:bCs/>
              </w:rPr>
              <w:t>Apnoe</w:t>
            </w:r>
            <w:r w:rsidR="00E94DA5">
              <w:rPr>
                <w:bCs/>
              </w:rPr>
              <w:t xml:space="preserve"> (dočasné zástava dechu)</w:t>
            </w:r>
          </w:p>
        </w:tc>
      </w:tr>
      <w:tr w:rsidR="00E6208A" w:rsidRPr="009F370A" w14:paraId="3AE2DCEA" w14:textId="77777777" w:rsidTr="000649B7">
        <w:tc>
          <w:tcPr>
            <w:tcW w:w="1102" w:type="pct"/>
          </w:tcPr>
          <w:p w14:paraId="0C60D6DF" w14:textId="77777777" w:rsidR="00E6208A" w:rsidRDefault="00E6208A" w:rsidP="000649B7">
            <w:r>
              <w:t xml:space="preserve">Časté </w:t>
            </w:r>
          </w:p>
          <w:p w14:paraId="7A1FD67D" w14:textId="77777777" w:rsidR="00E6208A" w:rsidRPr="009F370A" w:rsidRDefault="00E6208A" w:rsidP="000649B7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</w:tcPr>
          <w:p w14:paraId="3274836E" w14:textId="640BCB80" w:rsidR="00E6208A" w:rsidRPr="00DA354B" w:rsidRDefault="00B45962" w:rsidP="000649B7">
            <w:pPr>
              <w:rPr>
                <w:bCs/>
              </w:rPr>
            </w:pPr>
            <w:r>
              <w:t>Excitace, arytmie, bradykardie</w:t>
            </w:r>
            <w:r w:rsidR="00E94DA5">
              <w:t xml:space="preserve"> (pomalý srdeční tep)</w:t>
            </w:r>
            <w:r>
              <w:t>, hypotenze</w:t>
            </w:r>
            <w:r w:rsidR="00E94DA5">
              <w:t xml:space="preserve"> (nízký krevní tlak)</w:t>
            </w:r>
            <w:r>
              <w:t xml:space="preserve">, zvracení, </w:t>
            </w:r>
            <w:proofErr w:type="spellStart"/>
            <w:r>
              <w:t>hypersalivace</w:t>
            </w:r>
            <w:proofErr w:type="spellEnd"/>
            <w:r w:rsidR="00E94DA5">
              <w:t xml:space="preserve"> (nadměrné slinění)</w:t>
            </w:r>
            <w:r>
              <w:t xml:space="preserve">, </w:t>
            </w:r>
            <w:proofErr w:type="gramStart"/>
            <w:r>
              <w:t>říhání,  pohybování</w:t>
            </w:r>
            <w:proofErr w:type="gramEnd"/>
            <w:r>
              <w:t xml:space="preserve"> končetinami, </w:t>
            </w:r>
            <w:proofErr w:type="spellStart"/>
            <w:r>
              <w:t>myoklonus</w:t>
            </w:r>
            <w:proofErr w:type="spellEnd"/>
            <w:r w:rsidR="00E94DA5">
              <w:t xml:space="preserve"> (mimovolní pohyby)</w:t>
            </w:r>
            <w:r>
              <w:t>, nystagmus</w:t>
            </w:r>
            <w:r w:rsidR="00E94DA5">
              <w:t xml:space="preserve"> (mimovolný pohyb očí)</w:t>
            </w:r>
            <w:r>
              <w:t xml:space="preserve">, </w:t>
            </w:r>
            <w:proofErr w:type="spellStart"/>
            <w:r>
              <w:t>opistotonus</w:t>
            </w:r>
            <w:proofErr w:type="spellEnd"/>
            <w:r w:rsidR="00E94DA5">
              <w:t xml:space="preserve"> (prohnutí těla do oblouku)</w:t>
            </w:r>
            <w:r>
              <w:t xml:space="preserve">, </w:t>
            </w:r>
            <w:r w:rsidRPr="0069286C">
              <w:t>p</w:t>
            </w:r>
            <w:r>
              <w:t>rodloužené</w:t>
            </w:r>
            <w:r w:rsidRPr="0069286C">
              <w:t xml:space="preserve"> zotavování</w:t>
            </w:r>
            <w:r>
              <w:t xml:space="preserve">, </w:t>
            </w:r>
            <w:r w:rsidRPr="0069286C">
              <w:t>kýchání, mnutí obličeje/nosu</w:t>
            </w:r>
          </w:p>
        </w:tc>
      </w:tr>
      <w:tr w:rsidR="00E6208A" w:rsidRPr="009F370A" w14:paraId="12FE52A1" w14:textId="77777777" w:rsidTr="000649B7">
        <w:tc>
          <w:tcPr>
            <w:tcW w:w="1102" w:type="pct"/>
          </w:tcPr>
          <w:p w14:paraId="2C41E190" w14:textId="77777777" w:rsidR="00E6208A" w:rsidRPr="009F370A" w:rsidRDefault="00E6208A" w:rsidP="000649B7">
            <w:r>
              <w:t xml:space="preserve">Méně časté </w:t>
            </w:r>
          </w:p>
          <w:p w14:paraId="76772202" w14:textId="77777777" w:rsidR="00E6208A" w:rsidRPr="009F370A" w:rsidRDefault="00E6208A" w:rsidP="000649B7">
            <w:r w:rsidRPr="009F370A">
              <w:t xml:space="preserve">(1 </w:t>
            </w:r>
            <w:r>
              <w:t>až 10 zvířat</w:t>
            </w:r>
            <w:r w:rsidRPr="009F370A">
              <w:t xml:space="preserve"> / 10</w:t>
            </w:r>
            <w:r>
              <w:t>00</w:t>
            </w:r>
            <w:r w:rsidRPr="009F370A">
              <w:t xml:space="preserve"> </w:t>
            </w:r>
            <w:r>
              <w:t>ošetřených zvířat)</w:t>
            </w:r>
          </w:p>
        </w:tc>
        <w:tc>
          <w:tcPr>
            <w:tcW w:w="3898" w:type="pct"/>
            <w:hideMark/>
          </w:tcPr>
          <w:p w14:paraId="5360989E" w14:textId="30CD649F" w:rsidR="00E6208A" w:rsidRPr="00B10CB3" w:rsidRDefault="00203E2D" w:rsidP="000649B7">
            <w:pPr>
              <w:rPr>
                <w:b/>
              </w:rPr>
            </w:pPr>
            <w:r w:rsidRPr="008A63CF">
              <w:t>B</w:t>
            </w:r>
            <w:r w:rsidR="00E6208A" w:rsidRPr="008A63CF">
              <w:t>olestivost v místě intravenózního</w:t>
            </w:r>
            <w:r w:rsidR="00E6208A" w:rsidRPr="008F66AE">
              <w:t xml:space="preserve"> podání</w:t>
            </w:r>
            <w:r w:rsidRPr="00B10CB3">
              <w:rPr>
                <w:vertAlign w:val="superscript"/>
              </w:rPr>
              <w:t xml:space="preserve"> a</w:t>
            </w:r>
            <w:r w:rsidRPr="00B10CB3">
              <w:t xml:space="preserve">, </w:t>
            </w:r>
            <w:proofErr w:type="spellStart"/>
            <w:r w:rsidRPr="00B10CB3">
              <w:t>průjem</w:t>
            </w:r>
            <w:r w:rsidR="008A63CF" w:rsidRPr="00B10CB3">
              <w:rPr>
                <w:vertAlign w:val="superscript"/>
              </w:rPr>
              <w:t>b</w:t>
            </w:r>
            <w:proofErr w:type="spellEnd"/>
            <w:r w:rsidRPr="00B10CB3">
              <w:t xml:space="preserve">, otok </w:t>
            </w:r>
            <w:proofErr w:type="spellStart"/>
            <w:proofErr w:type="gramStart"/>
            <w:r w:rsidRPr="00B10CB3">
              <w:t>obličeje</w:t>
            </w:r>
            <w:r w:rsidR="008A63CF" w:rsidRPr="00B10CB3">
              <w:rPr>
                <w:vertAlign w:val="superscript"/>
              </w:rPr>
              <w:t>b,c</w:t>
            </w:r>
            <w:proofErr w:type="spellEnd"/>
            <w:proofErr w:type="gramEnd"/>
            <w:r w:rsidRPr="00B10CB3">
              <w:t>, z</w:t>
            </w:r>
            <w:r w:rsidRPr="008A63CF">
              <w:t>v</w:t>
            </w:r>
            <w:r w:rsidRPr="008F66AE">
              <w:t>ýšení glukózy v krvi, anémie</w:t>
            </w:r>
            <w:r w:rsidR="00B30A1F">
              <w:t xml:space="preserve"> z </w:t>
            </w:r>
            <w:r w:rsidR="00B60DDB">
              <w:t>tvorb</w:t>
            </w:r>
            <w:r w:rsidR="00B30A1F">
              <w:t>y</w:t>
            </w:r>
            <w:r w:rsidR="00B60DDB">
              <w:t xml:space="preserve"> </w:t>
            </w:r>
            <w:r w:rsidR="008A63CF" w:rsidRPr="008F66AE">
              <w:t xml:space="preserve">Heinzových </w:t>
            </w:r>
            <w:proofErr w:type="spellStart"/>
            <w:r w:rsidR="008A63CF" w:rsidRPr="008F66AE">
              <w:t>tělísek</w:t>
            </w:r>
            <w:r w:rsidR="008A63CF" w:rsidRPr="00B10CB3">
              <w:rPr>
                <w:vertAlign w:val="superscript"/>
              </w:rPr>
              <w:t>b</w:t>
            </w:r>
            <w:proofErr w:type="spellEnd"/>
            <w:r w:rsidRPr="008A63CF">
              <w:t xml:space="preserve">, </w:t>
            </w:r>
            <w:proofErr w:type="spellStart"/>
            <w:r w:rsidRPr="008A63CF">
              <w:t>anorexie</w:t>
            </w:r>
            <w:r w:rsidR="008A63CF" w:rsidRPr="00B10CB3">
              <w:rPr>
                <w:vertAlign w:val="superscript"/>
              </w:rPr>
              <w:t>b</w:t>
            </w:r>
            <w:proofErr w:type="spellEnd"/>
            <w:r w:rsidR="00E94DA5">
              <w:t>(ztráta chuti k jídlu)</w:t>
            </w:r>
          </w:p>
          <w:p w14:paraId="3BCBC2D6" w14:textId="77777777" w:rsidR="00E6208A" w:rsidRPr="009F370A" w:rsidRDefault="00E6208A" w:rsidP="000649B7">
            <w:r w:rsidRPr="009F370A">
              <w:t xml:space="preserve"> </w:t>
            </w:r>
          </w:p>
        </w:tc>
      </w:tr>
    </w:tbl>
    <w:p w14:paraId="23D62763" w14:textId="006A2E82" w:rsidR="00E6208A" w:rsidRDefault="00E6208A" w:rsidP="00401C9C">
      <w:pPr>
        <w:tabs>
          <w:tab w:val="clear" w:pos="567"/>
        </w:tabs>
        <w:spacing w:line="240" w:lineRule="auto"/>
      </w:pPr>
    </w:p>
    <w:p w14:paraId="0486E23C" w14:textId="16DC15B0" w:rsidR="00203E2D" w:rsidRPr="00203E2D" w:rsidRDefault="00203E2D" w:rsidP="00401C9C">
      <w:pPr>
        <w:tabs>
          <w:tab w:val="clear" w:pos="567"/>
        </w:tabs>
        <w:spacing w:line="240" w:lineRule="auto"/>
      </w:pPr>
      <w:r w:rsidRPr="00B10CB3">
        <w:rPr>
          <w:vertAlign w:val="superscript"/>
        </w:rPr>
        <w:t>a</w:t>
      </w:r>
      <w:r w:rsidRPr="00B10CB3">
        <w:t xml:space="preserve"> </w:t>
      </w:r>
      <w:r w:rsidRPr="00B10CB3">
        <w:rPr>
          <w:szCs w:val="22"/>
        </w:rPr>
        <w:t xml:space="preserve">Po </w:t>
      </w:r>
      <w:proofErr w:type="spellStart"/>
      <w:r w:rsidRPr="00B10CB3">
        <w:rPr>
          <w:szCs w:val="22"/>
        </w:rPr>
        <w:t>intravenozním</w:t>
      </w:r>
      <w:proofErr w:type="spellEnd"/>
      <w:r w:rsidRPr="00B10CB3">
        <w:rPr>
          <w:szCs w:val="22"/>
        </w:rPr>
        <w:t xml:space="preserve"> podání</w:t>
      </w:r>
    </w:p>
    <w:p w14:paraId="680AD88D" w14:textId="77777777" w:rsidR="00203E2D" w:rsidRDefault="00203E2D" w:rsidP="00401C9C">
      <w:pPr>
        <w:tabs>
          <w:tab w:val="clear" w:pos="567"/>
        </w:tabs>
        <w:spacing w:line="240" w:lineRule="auto"/>
      </w:pPr>
    </w:p>
    <w:p w14:paraId="77397491" w14:textId="3FC4A73A" w:rsidR="00401C9C" w:rsidRDefault="008A63CF" w:rsidP="00401C9C">
      <w:pPr>
        <w:tabs>
          <w:tab w:val="clear" w:pos="567"/>
        </w:tabs>
        <w:spacing w:line="240" w:lineRule="auto"/>
      </w:pPr>
      <w:r w:rsidRPr="00B10CB3">
        <w:rPr>
          <w:vertAlign w:val="superscript"/>
        </w:rPr>
        <w:t xml:space="preserve">b </w:t>
      </w:r>
      <w:r w:rsidR="00B85D71">
        <w:t>U koček</w:t>
      </w:r>
      <w:r w:rsidR="00A06EAF">
        <w:t xml:space="preserve"> podstupujících</w:t>
      </w:r>
      <w:r w:rsidR="00AD420A">
        <w:t xml:space="preserve"> </w:t>
      </w:r>
      <w:r w:rsidR="00A06EAF">
        <w:t>opakovanou anesté</w:t>
      </w:r>
      <w:r w:rsidR="00B85D71">
        <w:t>zii</w:t>
      </w:r>
      <w:r w:rsidR="00B60DDB">
        <w:t xml:space="preserve">. </w:t>
      </w:r>
      <w:r w:rsidR="00401C9C" w:rsidRPr="00A40EC9">
        <w:t>Omezení opakované anest</w:t>
      </w:r>
      <w:r w:rsidR="00A06EAF">
        <w:t>é</w:t>
      </w:r>
      <w:r w:rsidR="00401C9C" w:rsidRPr="00A40EC9">
        <w:t>zie na intervaly delší než 48 hodin sníží pravděpodobnost výskytů těchto účinků.</w:t>
      </w:r>
      <w:r w:rsidR="00B60DDB">
        <w:t xml:space="preserve"> </w:t>
      </w:r>
      <w:r w:rsidR="00401C9C" w:rsidRPr="00A40EC9">
        <w:t>Tyto účinky jsou obecně přechodné a samy odezní.</w:t>
      </w:r>
    </w:p>
    <w:p w14:paraId="690E6CF2" w14:textId="218A53BE" w:rsidR="008F66AE" w:rsidRDefault="008F66AE" w:rsidP="00401C9C">
      <w:pPr>
        <w:tabs>
          <w:tab w:val="clear" w:pos="567"/>
        </w:tabs>
        <w:spacing w:line="240" w:lineRule="auto"/>
        <w:rPr>
          <w:szCs w:val="22"/>
        </w:rPr>
      </w:pPr>
    </w:p>
    <w:p w14:paraId="52BB69C1" w14:textId="169C05B1" w:rsidR="008F66AE" w:rsidRPr="008F66AE" w:rsidRDefault="008F66AE" w:rsidP="00401C9C">
      <w:pPr>
        <w:tabs>
          <w:tab w:val="clear" w:pos="567"/>
        </w:tabs>
        <w:spacing w:line="240" w:lineRule="auto"/>
        <w:rPr>
          <w:szCs w:val="22"/>
        </w:rPr>
      </w:pPr>
      <w:r w:rsidRPr="00B10CB3">
        <w:rPr>
          <w:vertAlign w:val="superscript"/>
        </w:rPr>
        <w:t>c</w:t>
      </w:r>
      <w:r w:rsidRPr="00B10CB3">
        <w:t xml:space="preserve"> Mírný otok obličeje.</w:t>
      </w:r>
    </w:p>
    <w:p w14:paraId="7239C7CD" w14:textId="77777777" w:rsidR="00401C9C" w:rsidRPr="00A40EC9" w:rsidRDefault="00401C9C" w:rsidP="00401C9C">
      <w:pPr>
        <w:tabs>
          <w:tab w:val="clear" w:pos="567"/>
        </w:tabs>
        <w:spacing w:line="240" w:lineRule="auto"/>
        <w:rPr>
          <w:szCs w:val="22"/>
        </w:rPr>
      </w:pPr>
    </w:p>
    <w:p w14:paraId="2DB2EE3F" w14:textId="77777777" w:rsidR="00AD420A" w:rsidRDefault="00AD420A" w:rsidP="001F5CF7">
      <w:pPr>
        <w:tabs>
          <w:tab w:val="clear" w:pos="567"/>
        </w:tabs>
        <w:spacing w:line="240" w:lineRule="auto"/>
        <w:jc w:val="both"/>
      </w:pPr>
      <w:r>
        <w:t xml:space="preserve">Hlášení nežádoucích účinků je důležité. Umožňuje nepřetržité sledování bezpečnosti veterinárního léčivého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</w:t>
      </w:r>
      <w:proofErr w:type="spellStart"/>
      <w:r>
        <w:t>uvedených</w:t>
      </w:r>
      <w:proofErr w:type="spellEnd"/>
      <w:r>
        <w:t xml:space="preserve"> na konci této příbalové informace nebo prostřednictvím národního systému hlášení nežádoucích účinků:</w:t>
      </w:r>
    </w:p>
    <w:p w14:paraId="77D4AC81" w14:textId="77777777" w:rsidR="00FE1DB6" w:rsidRDefault="00FE1DB6" w:rsidP="001F5CF7">
      <w:pPr>
        <w:tabs>
          <w:tab w:val="clear" w:pos="567"/>
        </w:tabs>
        <w:spacing w:line="240" w:lineRule="auto"/>
        <w:jc w:val="both"/>
      </w:pPr>
    </w:p>
    <w:p w14:paraId="446ABA95" w14:textId="2A7579F6" w:rsidR="00AD420A" w:rsidRDefault="00AD420A" w:rsidP="001F5CF7">
      <w:pPr>
        <w:tabs>
          <w:tab w:val="clear" w:pos="567"/>
        </w:tabs>
        <w:spacing w:line="240" w:lineRule="auto"/>
        <w:jc w:val="both"/>
      </w:pPr>
      <w:r>
        <w:t xml:space="preserve">Ústav pro státní kontrolu veterinárních biopreparátů a léčiv </w:t>
      </w:r>
    </w:p>
    <w:p w14:paraId="4D84BBD9" w14:textId="34CBF75A" w:rsidR="00AD420A" w:rsidRDefault="00AD420A" w:rsidP="001F5CF7">
      <w:pPr>
        <w:tabs>
          <w:tab w:val="clear" w:pos="567"/>
        </w:tabs>
        <w:spacing w:line="240" w:lineRule="auto"/>
        <w:jc w:val="both"/>
      </w:pPr>
      <w:r>
        <w:t xml:space="preserve">Hudcova </w:t>
      </w:r>
      <w:r w:rsidR="00872612">
        <w:t>232/</w:t>
      </w:r>
      <w:proofErr w:type="gramStart"/>
      <w:r>
        <w:t>56a</w:t>
      </w:r>
      <w:proofErr w:type="gramEnd"/>
      <w:r>
        <w:t xml:space="preserve"> </w:t>
      </w:r>
    </w:p>
    <w:p w14:paraId="782745E0" w14:textId="77777777" w:rsidR="00AD420A" w:rsidRDefault="00AD420A" w:rsidP="001F5CF7">
      <w:pPr>
        <w:tabs>
          <w:tab w:val="clear" w:pos="567"/>
        </w:tabs>
        <w:spacing w:line="240" w:lineRule="auto"/>
        <w:jc w:val="both"/>
      </w:pPr>
      <w:r>
        <w:t>621 00 Brno</w:t>
      </w:r>
    </w:p>
    <w:p w14:paraId="2F7500C1" w14:textId="281F7BEC" w:rsidR="00872612" w:rsidRDefault="00AD420A" w:rsidP="001F5CF7">
      <w:pPr>
        <w:tabs>
          <w:tab w:val="clear" w:pos="567"/>
        </w:tabs>
        <w:spacing w:line="240" w:lineRule="auto"/>
        <w:jc w:val="both"/>
      </w:pPr>
      <w:r>
        <w:t xml:space="preserve">Mail: </w:t>
      </w:r>
      <w:hyperlink r:id="rId10" w:history="1">
        <w:r w:rsidR="00872612" w:rsidRPr="009156EF">
          <w:rPr>
            <w:rStyle w:val="Hypertextovodkaz"/>
          </w:rPr>
          <w:t>adr@uskvbl.cz</w:t>
        </w:r>
      </w:hyperlink>
    </w:p>
    <w:p w14:paraId="6A5EA12A" w14:textId="528EDF0E" w:rsidR="00B85D71" w:rsidRPr="003468B4" w:rsidRDefault="00AD420A" w:rsidP="001F5CF7">
      <w:pPr>
        <w:spacing w:line="240" w:lineRule="auto"/>
        <w:jc w:val="both"/>
      </w:pPr>
      <w:r>
        <w:lastRenderedPageBreak/>
        <w:t xml:space="preserve">Webové stránky: </w:t>
      </w:r>
      <w:hyperlink r:id="rId11" w:history="1">
        <w:r w:rsidR="00872612" w:rsidRPr="009156EF">
          <w:rPr>
            <w:rStyle w:val="Hypertextovodkaz"/>
          </w:rPr>
          <w:t>http://www.uskvbl.cz/cs/farmakovigilance</w:t>
        </w:r>
      </w:hyperlink>
    </w:p>
    <w:p w14:paraId="4B59AAF0" w14:textId="77777777" w:rsidR="00401C9C" w:rsidRPr="00A40EC9" w:rsidRDefault="00401C9C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FF9B7E" w14:textId="77777777" w:rsidR="00EB1A80" w:rsidRPr="00A40EC9" w:rsidRDefault="00EB1A80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285C9" w14:textId="4ED36477" w:rsidR="00C114FF" w:rsidRPr="00B10CB3" w:rsidRDefault="00C114FF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A40EC9">
        <w:rPr>
          <w:b/>
          <w:szCs w:val="22"/>
          <w:highlight w:val="lightGray"/>
        </w:rPr>
        <w:t>8.</w:t>
      </w:r>
      <w:r w:rsidRPr="00A40EC9">
        <w:rPr>
          <w:b/>
          <w:szCs w:val="22"/>
        </w:rPr>
        <w:tab/>
        <w:t>D</w:t>
      </w:r>
      <w:r w:rsidR="00AD420A">
        <w:rPr>
          <w:b/>
          <w:szCs w:val="22"/>
        </w:rPr>
        <w:t xml:space="preserve">ávkování pro každý druh a způsob podání </w:t>
      </w:r>
    </w:p>
    <w:p w14:paraId="1BF36908" w14:textId="77777777" w:rsidR="00C114FF" w:rsidRPr="00A40EC9" w:rsidRDefault="00C114FF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41118CB" w14:textId="3523C1D6" w:rsidR="00B85D71" w:rsidRPr="00EE0F1E" w:rsidRDefault="00B85D71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</w:t>
      </w:r>
      <w:r w:rsidR="00BB3FDB">
        <w:t xml:space="preserve">veterinární léčivý </w:t>
      </w:r>
      <w:r>
        <w:t>přípravek je sterilní přípravek k intravenóznímu podání.</w:t>
      </w:r>
    </w:p>
    <w:p w14:paraId="7EF1091F" w14:textId="77777777" w:rsidR="00795F1C" w:rsidRPr="00A40EC9" w:rsidRDefault="00795F1C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F7E13F" w14:textId="5CE4FA72" w:rsidR="00B85D71" w:rsidRPr="00EE0F1E" w:rsidRDefault="00B85D71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Požadované dávky se mohou u jednotlivých zvířat významně liš</w:t>
      </w:r>
      <w:r w:rsidR="00857F21">
        <w:t>it</w:t>
      </w:r>
      <w:r>
        <w:t xml:space="preserve"> a jsou ovlivněny různými faktory (</w:t>
      </w:r>
      <w:r w:rsidRPr="00A40EC9">
        <w:t xml:space="preserve">viz </w:t>
      </w:r>
      <w:r>
        <w:t>bod</w:t>
      </w:r>
      <w:r w:rsidRPr="00A40EC9">
        <w:t xml:space="preserve"> </w:t>
      </w:r>
      <w:r w:rsidR="00AD420A">
        <w:t>6</w:t>
      </w:r>
      <w:r w:rsidR="00AD420A" w:rsidRPr="00A40EC9">
        <w:t xml:space="preserve"> </w:t>
      </w:r>
      <w:r w:rsidRPr="00A40EC9">
        <w:t>Zvláštn</w:t>
      </w:r>
      <w:r>
        <w:t xml:space="preserve">í opatření pro </w:t>
      </w:r>
      <w:r w:rsidR="00AD420A">
        <w:t xml:space="preserve">bezpečné </w:t>
      </w:r>
      <w:r>
        <w:t xml:space="preserve">použití u </w:t>
      </w:r>
      <w:r w:rsidR="00AD420A">
        <w:t xml:space="preserve">cílových druhů </w:t>
      </w:r>
      <w:r>
        <w:t>zvířat a bod</w:t>
      </w:r>
      <w:r w:rsidRPr="00A40EC9">
        <w:t xml:space="preserve"> </w:t>
      </w:r>
      <w:r w:rsidR="00AD420A">
        <w:t>6</w:t>
      </w:r>
      <w:r w:rsidR="00AD420A" w:rsidRPr="00A40EC9">
        <w:t xml:space="preserve"> </w:t>
      </w:r>
      <w:r w:rsidRPr="00A40EC9">
        <w:t>Interakce s </w:t>
      </w:r>
      <w:r w:rsidR="00AD420A">
        <w:t>jiným</w:t>
      </w:r>
      <w:r w:rsidR="00AD420A" w:rsidRPr="00A40EC9">
        <w:t xml:space="preserve">i </w:t>
      </w:r>
      <w:r w:rsidRPr="00A40EC9">
        <w:t>léčivými přípravky a další formy interakce</w:t>
      </w:r>
      <w:r>
        <w:t xml:space="preserve">). Zejména platí, že použití </w:t>
      </w:r>
      <w:proofErr w:type="spellStart"/>
      <w:r>
        <w:t>pre</w:t>
      </w:r>
      <w:proofErr w:type="spellEnd"/>
      <w:r>
        <w:t xml:space="preserve">-anestetických látek (premedikace) může významně snížit dávku </w:t>
      </w:r>
      <w:proofErr w:type="spellStart"/>
      <w:r w:rsidR="00F2129E">
        <w:t>propofolu</w:t>
      </w:r>
      <w:proofErr w:type="spellEnd"/>
      <w:r w:rsidR="00F2129E">
        <w:t>,</w:t>
      </w:r>
      <w:r>
        <w:t xml:space="preserve"> a to podle typu a dávky </w:t>
      </w:r>
      <w:proofErr w:type="spellStart"/>
      <w:r>
        <w:t>pre</w:t>
      </w:r>
      <w:proofErr w:type="spellEnd"/>
      <w:r>
        <w:t xml:space="preserve">-anestetické látky. </w:t>
      </w:r>
    </w:p>
    <w:p w14:paraId="638918CF" w14:textId="77777777" w:rsidR="007335F5" w:rsidRPr="00A40EC9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899ED5" w14:textId="5768D8C8" w:rsidR="00B85D71" w:rsidRPr="00EE0F1E" w:rsidRDefault="00B85D71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Dávka by měla být odhadnuta na základě průměrné dávky, potře</w:t>
      </w:r>
      <w:r w:rsidR="00A06EAF">
        <w:t>bné k přípravě na anesté</w:t>
      </w:r>
      <w:r>
        <w:t xml:space="preserve">zii. Skutečné požadavky na dávku u daného zvířete mohou být významně nižší nebo </w:t>
      </w:r>
      <w:proofErr w:type="gramStart"/>
      <w:r>
        <w:t>vyšší</w:t>
      </w:r>
      <w:proofErr w:type="gramEnd"/>
      <w:r>
        <w:t xml:space="preserve"> než je průměrná dávka.</w:t>
      </w:r>
    </w:p>
    <w:p w14:paraId="439F1EDB" w14:textId="77777777" w:rsidR="007335F5" w:rsidRPr="00A40EC9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6F8A5B" w14:textId="77777777" w:rsidR="00B85D71" w:rsidRDefault="00B85D71" w:rsidP="001F5CF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Úvod do anestézie</w:t>
      </w:r>
    </w:p>
    <w:p w14:paraId="341B93E2" w14:textId="6C5143AD" w:rsidR="00657BB1" w:rsidRDefault="00F2129E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Indukční dávka veterinárního léčivého přípravku uvedená v tabulce níže je založena na údajích získaných v kontrolovaných laboratorních a terénních studiích a představuje průměrné množství léčiva, které u psů nebo koček úspěšně vyvolá anestetický účinek. </w:t>
      </w:r>
      <w:r w:rsidR="00657BB1">
        <w:t>Skutečná podaná dávka by měla být založena na individuální reakci daného zvířete.</w:t>
      </w:r>
    </w:p>
    <w:p w14:paraId="5CFF4F88" w14:textId="77777777"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784"/>
        <w:gridCol w:w="3550"/>
      </w:tblGrid>
      <w:tr w:rsidR="007335F5" w:rsidRPr="00A40EC9" w14:paraId="1C19CECB" w14:textId="77777777" w:rsidTr="00B94B14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AF849" w14:textId="77777777" w:rsidR="007335F5" w:rsidRPr="00A40EC9" w:rsidRDefault="007335F5" w:rsidP="00B94B1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PSI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14:paraId="5933E73A" w14:textId="77777777" w:rsidR="007335F5" w:rsidRPr="00A40EC9" w:rsidRDefault="00657BB1" w:rsidP="001642B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Průvodce dávkování</w:t>
            </w:r>
          </w:p>
          <w:p w14:paraId="373A8CB0" w14:textId="77777777" w:rsidR="007335F5" w:rsidRPr="00A40EC9" w:rsidRDefault="007335F5" w:rsidP="00657BB1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mg/kg </w:t>
            </w:r>
            <w:r w:rsidR="00657BB1">
              <w:rPr>
                <w:b/>
                <w:szCs w:val="22"/>
              </w:rPr>
              <w:t>živ</w:t>
            </w:r>
            <w:r w:rsidRPr="00A40EC9">
              <w:rPr>
                <w:b/>
                <w:szCs w:val="22"/>
              </w:rPr>
              <w:t>é hmotnosti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14:paraId="5C341600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Objem dávky</w:t>
            </w:r>
          </w:p>
          <w:p w14:paraId="553CE493" w14:textId="77777777" w:rsidR="007335F5" w:rsidRPr="00A40EC9" w:rsidRDefault="007335F5" w:rsidP="00657BB1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ml/kg </w:t>
            </w:r>
            <w:r w:rsidR="00657BB1">
              <w:rPr>
                <w:b/>
                <w:szCs w:val="22"/>
              </w:rPr>
              <w:t>živ</w:t>
            </w:r>
            <w:r w:rsidRPr="00A40EC9">
              <w:rPr>
                <w:b/>
                <w:szCs w:val="22"/>
              </w:rPr>
              <w:t>é hmotnosti</w:t>
            </w:r>
          </w:p>
        </w:tc>
      </w:tr>
      <w:tr w:rsidR="007335F5" w:rsidRPr="00A40EC9" w14:paraId="543C1924" w14:textId="77777777" w:rsidTr="001642BC">
        <w:tc>
          <w:tcPr>
            <w:tcW w:w="1505" w:type="pct"/>
            <w:tcBorders>
              <w:bottom w:val="nil"/>
            </w:tcBorders>
            <w:shd w:val="clear" w:color="auto" w:fill="auto"/>
          </w:tcPr>
          <w:p w14:paraId="251F1119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Bez premedikace</w:t>
            </w:r>
          </w:p>
        </w:tc>
        <w:tc>
          <w:tcPr>
            <w:tcW w:w="1536" w:type="pct"/>
            <w:tcBorders>
              <w:bottom w:val="nil"/>
            </w:tcBorders>
          </w:tcPr>
          <w:p w14:paraId="33DFAD45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6,5</w:t>
            </w:r>
          </w:p>
        </w:tc>
        <w:tc>
          <w:tcPr>
            <w:tcW w:w="1959" w:type="pct"/>
            <w:tcBorders>
              <w:bottom w:val="nil"/>
            </w:tcBorders>
            <w:shd w:val="clear" w:color="auto" w:fill="auto"/>
          </w:tcPr>
          <w:p w14:paraId="27070AF5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0,65</w:t>
            </w:r>
          </w:p>
        </w:tc>
      </w:tr>
      <w:tr w:rsidR="007335F5" w:rsidRPr="00A40EC9" w14:paraId="14E9F69F" w14:textId="77777777" w:rsidTr="001642BC">
        <w:tc>
          <w:tcPr>
            <w:tcW w:w="1505" w:type="pct"/>
            <w:tcBorders>
              <w:top w:val="nil"/>
            </w:tcBorders>
            <w:shd w:val="clear" w:color="auto" w:fill="auto"/>
          </w:tcPr>
          <w:p w14:paraId="209D6680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  <w:u w:val="single"/>
              </w:rPr>
              <w:t>S premedikací</w:t>
            </w:r>
            <w:r w:rsidRPr="00A40EC9">
              <w:rPr>
                <w:b/>
                <w:szCs w:val="22"/>
              </w:rPr>
              <w:t>*</w:t>
            </w:r>
          </w:p>
          <w:p w14:paraId="51720FF8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alfa-2 agonista </w:t>
            </w:r>
          </w:p>
          <w:p w14:paraId="1FDB8446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na bázi </w:t>
            </w:r>
            <w:proofErr w:type="spellStart"/>
            <w:r w:rsidRPr="00A40EC9">
              <w:rPr>
                <w:b/>
                <w:szCs w:val="22"/>
              </w:rPr>
              <w:t>acepromazinu</w:t>
            </w:r>
            <w:proofErr w:type="spellEnd"/>
          </w:p>
        </w:tc>
        <w:tc>
          <w:tcPr>
            <w:tcW w:w="1536" w:type="pct"/>
            <w:tcBorders>
              <w:top w:val="nil"/>
            </w:tcBorders>
          </w:tcPr>
          <w:p w14:paraId="436E297A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743A0210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3,0</w:t>
            </w:r>
          </w:p>
          <w:p w14:paraId="706E0A5C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4,5</w:t>
            </w:r>
          </w:p>
        </w:tc>
        <w:tc>
          <w:tcPr>
            <w:tcW w:w="1959" w:type="pct"/>
            <w:tcBorders>
              <w:top w:val="nil"/>
            </w:tcBorders>
            <w:shd w:val="clear" w:color="auto" w:fill="auto"/>
          </w:tcPr>
          <w:p w14:paraId="489050A6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6372D96D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0,30</w:t>
            </w:r>
          </w:p>
          <w:p w14:paraId="480C24BB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0,45</w:t>
            </w:r>
          </w:p>
        </w:tc>
      </w:tr>
      <w:tr w:rsidR="007335F5" w:rsidRPr="00A40EC9" w14:paraId="3C0BD53D" w14:textId="77777777" w:rsidTr="001642BC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14:paraId="6EA6FFAF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KOČKY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14:paraId="17ABD92F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14:paraId="36B79640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7335F5" w:rsidRPr="00A40EC9" w14:paraId="1AE2832D" w14:textId="77777777" w:rsidTr="001642BC">
        <w:tc>
          <w:tcPr>
            <w:tcW w:w="1505" w:type="pct"/>
            <w:tcBorders>
              <w:bottom w:val="nil"/>
            </w:tcBorders>
            <w:shd w:val="clear" w:color="auto" w:fill="auto"/>
          </w:tcPr>
          <w:p w14:paraId="2D0063A5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Bez premedikace</w:t>
            </w:r>
          </w:p>
        </w:tc>
        <w:tc>
          <w:tcPr>
            <w:tcW w:w="1536" w:type="pct"/>
            <w:tcBorders>
              <w:bottom w:val="nil"/>
            </w:tcBorders>
          </w:tcPr>
          <w:p w14:paraId="02FB8CA8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8,0</w:t>
            </w:r>
          </w:p>
        </w:tc>
        <w:tc>
          <w:tcPr>
            <w:tcW w:w="1959" w:type="pct"/>
            <w:tcBorders>
              <w:bottom w:val="nil"/>
            </w:tcBorders>
            <w:shd w:val="clear" w:color="auto" w:fill="auto"/>
          </w:tcPr>
          <w:p w14:paraId="074FC919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0,8</w:t>
            </w:r>
          </w:p>
        </w:tc>
      </w:tr>
      <w:tr w:rsidR="007335F5" w:rsidRPr="00A40EC9" w14:paraId="61B02504" w14:textId="77777777" w:rsidTr="001642BC">
        <w:tc>
          <w:tcPr>
            <w:tcW w:w="1505" w:type="pct"/>
            <w:tcBorders>
              <w:top w:val="nil"/>
            </w:tcBorders>
            <w:shd w:val="clear" w:color="auto" w:fill="auto"/>
          </w:tcPr>
          <w:p w14:paraId="7ECF1D91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  <w:u w:val="single"/>
              </w:rPr>
              <w:t>S premedikací</w:t>
            </w:r>
            <w:r w:rsidRPr="00A40EC9">
              <w:rPr>
                <w:b/>
                <w:szCs w:val="22"/>
              </w:rPr>
              <w:t>*</w:t>
            </w:r>
          </w:p>
          <w:p w14:paraId="6AAE3886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>alfa-2 agonista</w:t>
            </w:r>
          </w:p>
          <w:p w14:paraId="38BB640B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40EC9">
              <w:rPr>
                <w:b/>
                <w:szCs w:val="22"/>
              </w:rPr>
              <w:t xml:space="preserve">na bázi </w:t>
            </w:r>
            <w:proofErr w:type="spellStart"/>
            <w:r w:rsidRPr="00A40EC9">
              <w:rPr>
                <w:b/>
                <w:szCs w:val="22"/>
              </w:rPr>
              <w:t>acepromazinu</w:t>
            </w:r>
            <w:proofErr w:type="spellEnd"/>
          </w:p>
        </w:tc>
        <w:tc>
          <w:tcPr>
            <w:tcW w:w="1536" w:type="pct"/>
            <w:tcBorders>
              <w:top w:val="nil"/>
            </w:tcBorders>
          </w:tcPr>
          <w:p w14:paraId="07F9BB0A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12891539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2,0</w:t>
            </w:r>
          </w:p>
          <w:p w14:paraId="2FFFF417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6,0</w:t>
            </w:r>
          </w:p>
        </w:tc>
        <w:tc>
          <w:tcPr>
            <w:tcW w:w="1959" w:type="pct"/>
            <w:tcBorders>
              <w:top w:val="nil"/>
            </w:tcBorders>
            <w:shd w:val="clear" w:color="auto" w:fill="auto"/>
          </w:tcPr>
          <w:p w14:paraId="0943DBAB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0B4EE346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0,2</w:t>
            </w:r>
          </w:p>
          <w:p w14:paraId="6C71B816" w14:textId="77777777" w:rsidR="007335F5" w:rsidRPr="00A40EC9" w:rsidRDefault="007335F5" w:rsidP="001642B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40EC9">
              <w:t>0,6</w:t>
            </w:r>
          </w:p>
        </w:tc>
      </w:tr>
    </w:tbl>
    <w:p w14:paraId="3D890290" w14:textId="77777777" w:rsidR="007335F5" w:rsidRPr="00A40EC9" w:rsidRDefault="007335F5" w:rsidP="007335F5">
      <w:pPr>
        <w:tabs>
          <w:tab w:val="clear" w:pos="567"/>
        </w:tabs>
        <w:spacing w:line="240" w:lineRule="auto"/>
        <w:rPr>
          <w:szCs w:val="22"/>
        </w:rPr>
      </w:pPr>
    </w:p>
    <w:p w14:paraId="4C342EAB" w14:textId="77777777" w:rsidR="00657BB1" w:rsidRPr="00EE0F1E" w:rsidRDefault="00657BB1" w:rsidP="00657BB1">
      <w:pPr>
        <w:tabs>
          <w:tab w:val="clear" w:pos="567"/>
        </w:tabs>
        <w:spacing w:line="240" w:lineRule="auto"/>
        <w:rPr>
          <w:szCs w:val="22"/>
        </w:rPr>
      </w:pPr>
      <w:r>
        <w:t xml:space="preserve">* U některých zvířat při premedikaci alfa-2 </w:t>
      </w:r>
      <w:proofErr w:type="spellStart"/>
      <w:r>
        <w:t>adrenoceptorem</w:t>
      </w:r>
      <w:proofErr w:type="spellEnd"/>
      <w:r>
        <w:t xml:space="preserve"> dle protokolu mohou být účinné indukční dávky, které jsou významně </w:t>
      </w:r>
      <w:proofErr w:type="gramStart"/>
      <w:r>
        <w:t>nižší</w:t>
      </w:r>
      <w:proofErr w:type="gramEnd"/>
      <w:r>
        <w:t xml:space="preserve"> než je průměrná dávka.</w:t>
      </w:r>
    </w:p>
    <w:p w14:paraId="08EF4698" w14:textId="77777777" w:rsidR="00B03DB0" w:rsidRPr="001F5CF7" w:rsidRDefault="00B03DB0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73DAFB" w14:textId="77777777" w:rsidR="00B03DB0" w:rsidRPr="001F5CF7" w:rsidRDefault="00B03DB0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Pokud je </w:t>
      </w:r>
      <w:proofErr w:type="spellStart"/>
      <w:r w:rsidRPr="001F5CF7">
        <w:rPr>
          <w:szCs w:val="22"/>
        </w:rPr>
        <w:t>propofol</w:t>
      </w:r>
      <w:proofErr w:type="spellEnd"/>
      <w:r w:rsidRPr="001F5CF7">
        <w:rPr>
          <w:szCs w:val="22"/>
        </w:rPr>
        <w:t xml:space="preserve"> použit v kombinaci například s </w:t>
      </w:r>
      <w:proofErr w:type="spellStart"/>
      <w:r w:rsidRPr="001F5CF7">
        <w:rPr>
          <w:szCs w:val="22"/>
        </w:rPr>
        <w:t>ketaminem</w:t>
      </w:r>
      <w:proofErr w:type="spellEnd"/>
      <w:r w:rsidRPr="001F5CF7">
        <w:rPr>
          <w:szCs w:val="22"/>
        </w:rPr>
        <w:t xml:space="preserve">, </w:t>
      </w:r>
      <w:proofErr w:type="spellStart"/>
      <w:r w:rsidRPr="001F5CF7">
        <w:rPr>
          <w:szCs w:val="22"/>
        </w:rPr>
        <w:t>fentanylem</w:t>
      </w:r>
      <w:proofErr w:type="spellEnd"/>
      <w:r w:rsidRPr="001F5CF7">
        <w:rPr>
          <w:szCs w:val="22"/>
        </w:rPr>
        <w:t xml:space="preserve"> nebo benzodiazepiny k </w:t>
      </w:r>
      <w:r w:rsidR="00657BB1" w:rsidRPr="001F5CF7">
        <w:rPr>
          <w:szCs w:val="22"/>
        </w:rPr>
        <w:t xml:space="preserve">úvodu do </w:t>
      </w:r>
      <w:r w:rsidRPr="001F5CF7">
        <w:rPr>
          <w:szCs w:val="22"/>
        </w:rPr>
        <w:t>anest</w:t>
      </w:r>
      <w:r w:rsidR="00657BB1" w:rsidRPr="001F5CF7">
        <w:rPr>
          <w:szCs w:val="22"/>
        </w:rPr>
        <w:t>é</w:t>
      </w:r>
      <w:r w:rsidRPr="001F5CF7">
        <w:rPr>
          <w:szCs w:val="22"/>
        </w:rPr>
        <w:t xml:space="preserve">zie (takzvaná </w:t>
      </w:r>
      <w:proofErr w:type="spellStart"/>
      <w:r w:rsidRPr="001F5CF7">
        <w:rPr>
          <w:szCs w:val="22"/>
        </w:rPr>
        <w:t>koindukce</w:t>
      </w:r>
      <w:proofErr w:type="spellEnd"/>
      <w:r w:rsidRPr="001F5CF7">
        <w:rPr>
          <w:szCs w:val="22"/>
        </w:rPr>
        <w:t xml:space="preserve">), lze celkovou dávku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 ještě snížit.</w:t>
      </w:r>
    </w:p>
    <w:p w14:paraId="1DA4BE01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19F8A4" w14:textId="049E2795" w:rsidR="00657BB1" w:rsidRPr="001F5CF7" w:rsidRDefault="00657BB1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Dávkovací stříkačka by měla být připravena dle objemu dávky </w:t>
      </w:r>
      <w:r w:rsidR="00BB3FDB" w:rsidRPr="001F5CF7">
        <w:rPr>
          <w:szCs w:val="22"/>
        </w:rPr>
        <w:t xml:space="preserve">veterinárního léčivého </w:t>
      </w:r>
      <w:r w:rsidRPr="001F5CF7">
        <w:rPr>
          <w:szCs w:val="22"/>
        </w:rPr>
        <w:t xml:space="preserve">přípravku uvedeného výše. Tento objem by měl být vypočten na základě živé hmotnosti. </w:t>
      </w:r>
      <w:r w:rsidR="00F2129E" w:rsidRPr="001F5CF7">
        <w:rPr>
          <w:szCs w:val="22"/>
        </w:rPr>
        <w:t xml:space="preserve">Dávka by měla být podávána pomalu z důvodu omezení výskytu a délky apnoe a podávání by mělo pokračovat, dokud lékař nevyhodnotí hloubku anestézie jako dostatečnou k endotracheální intubaci nebo k provedení plánovaného zákroku. </w:t>
      </w:r>
      <w:r w:rsidRPr="001F5CF7">
        <w:rPr>
          <w:szCs w:val="22"/>
        </w:rPr>
        <w:t xml:space="preserve">Jako </w:t>
      </w:r>
      <w:proofErr w:type="gramStart"/>
      <w:r w:rsidRPr="001F5CF7">
        <w:rPr>
          <w:szCs w:val="22"/>
        </w:rPr>
        <w:t>vodítko - podávání</w:t>
      </w:r>
      <w:proofErr w:type="gramEnd"/>
      <w:r w:rsidRPr="001F5CF7">
        <w:rPr>
          <w:szCs w:val="22"/>
        </w:rPr>
        <w:t xml:space="preserve"> </w:t>
      </w:r>
      <w:r w:rsidR="00BB3FDB" w:rsidRPr="001F5CF7">
        <w:rPr>
          <w:szCs w:val="22"/>
        </w:rPr>
        <w:t xml:space="preserve">veterinárního léčivého </w:t>
      </w:r>
      <w:r w:rsidRPr="001F5CF7">
        <w:rPr>
          <w:szCs w:val="22"/>
        </w:rPr>
        <w:t>přípravku by mělo trvat po dobu 20 až 60 sekund.</w:t>
      </w:r>
    </w:p>
    <w:p w14:paraId="036481F9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DAF17E" w14:textId="77777777" w:rsidR="00657BB1" w:rsidRPr="001F5CF7" w:rsidRDefault="00657BB1" w:rsidP="001F5CF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F5CF7">
        <w:rPr>
          <w:szCs w:val="22"/>
          <w:u w:val="single"/>
        </w:rPr>
        <w:t>Udržování anestézie</w:t>
      </w:r>
    </w:p>
    <w:p w14:paraId="076F45EB" w14:textId="77777777" w:rsidR="00026194" w:rsidRPr="001F5CF7" w:rsidRDefault="00026194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0C9515" w14:textId="77777777" w:rsidR="00657BB1" w:rsidRPr="001F5CF7" w:rsidRDefault="00657BB1" w:rsidP="001F5CF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1F5CF7">
        <w:rPr>
          <w:i/>
          <w:szCs w:val="22"/>
        </w:rPr>
        <w:t xml:space="preserve">Opakované bolusové injekce  </w:t>
      </w:r>
    </w:p>
    <w:p w14:paraId="2AC0075E" w14:textId="24864580" w:rsidR="00657BB1" w:rsidRPr="001F5CF7" w:rsidRDefault="00657BB1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Velikost dávky a trvání účinku se budou lišit u jednotlivých zvířat při udržování anestézie přírůstkovým podáváním </w:t>
      </w:r>
      <w:r w:rsidR="00BB3FDB" w:rsidRPr="001F5CF7">
        <w:rPr>
          <w:szCs w:val="22"/>
        </w:rPr>
        <w:t xml:space="preserve">veterinárního léčivého </w:t>
      </w:r>
      <w:r w:rsidRPr="001F5CF7">
        <w:rPr>
          <w:szCs w:val="22"/>
        </w:rPr>
        <w:t xml:space="preserve">přípravku. Přírůstkové dávky nutné k udržování anestézie jsou </w:t>
      </w:r>
      <w:r w:rsidR="00FE1DB6" w:rsidRPr="001F5CF7">
        <w:rPr>
          <w:szCs w:val="22"/>
        </w:rPr>
        <w:t>u</w:t>
      </w:r>
      <w:r w:rsidR="00FE1DB6">
        <w:rPr>
          <w:szCs w:val="22"/>
        </w:rPr>
        <w:t> </w:t>
      </w:r>
      <w:r w:rsidRPr="001F5CF7">
        <w:rPr>
          <w:szCs w:val="22"/>
        </w:rPr>
        <w:t>zvířat s premedikací typicky nižší než u zvířat bez premedikace.</w:t>
      </w:r>
    </w:p>
    <w:p w14:paraId="23E77897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0A11B9" w14:textId="4E2514B1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Pokud anestetický účinek příliš zeslábne, lze podat p</w:t>
      </w:r>
      <w:r w:rsidR="0052071C" w:rsidRPr="001F5CF7">
        <w:rPr>
          <w:szCs w:val="22"/>
        </w:rPr>
        <w:t>řírůstkovou</w:t>
      </w:r>
      <w:r w:rsidRPr="001F5CF7">
        <w:rPr>
          <w:szCs w:val="22"/>
        </w:rPr>
        <w:t xml:space="preserve"> dávku přibližně 1 mg/kg (0,1 ml/kg) </w:t>
      </w:r>
      <w:r w:rsidR="00FE1DB6" w:rsidRPr="001F5CF7">
        <w:rPr>
          <w:szCs w:val="22"/>
        </w:rPr>
        <w:t>u</w:t>
      </w:r>
      <w:r w:rsidR="00FE1DB6">
        <w:rPr>
          <w:szCs w:val="22"/>
        </w:rPr>
        <w:t> </w:t>
      </w:r>
      <w:r w:rsidRPr="001F5CF7">
        <w:rPr>
          <w:szCs w:val="22"/>
        </w:rPr>
        <w:t>psů a 2 mg/kg (0,2 ml/kg) u koček. Tuto dávku lze podle potřeby opakovat k udržení dostatečně hluboké anest</w:t>
      </w:r>
      <w:r w:rsidR="00A06EAF" w:rsidRPr="001F5CF7">
        <w:rPr>
          <w:szCs w:val="22"/>
        </w:rPr>
        <w:t>é</w:t>
      </w:r>
      <w:r w:rsidRPr="001F5CF7">
        <w:rPr>
          <w:szCs w:val="22"/>
        </w:rPr>
        <w:t xml:space="preserve">zie, přičemž mezi jednotlivými dávkami vyčkejte 20 až 30 sekund, abyste mohli posoudit </w:t>
      </w:r>
      <w:r w:rsidR="0052071C" w:rsidRPr="001F5CF7">
        <w:rPr>
          <w:szCs w:val="22"/>
        </w:rPr>
        <w:lastRenderedPageBreak/>
        <w:t xml:space="preserve">její </w:t>
      </w:r>
      <w:r w:rsidRPr="001F5CF7">
        <w:rPr>
          <w:szCs w:val="22"/>
        </w:rPr>
        <w:t>účinek. Jednotlivé p</w:t>
      </w:r>
      <w:r w:rsidR="0052071C" w:rsidRPr="001F5CF7">
        <w:rPr>
          <w:szCs w:val="22"/>
        </w:rPr>
        <w:t>řírůstkové</w:t>
      </w:r>
      <w:r w:rsidRPr="001F5CF7">
        <w:rPr>
          <w:szCs w:val="22"/>
        </w:rPr>
        <w:t xml:space="preserve"> dávky by měly být podávány pomalu až do dosažení požadovaného účinku.</w:t>
      </w:r>
    </w:p>
    <w:p w14:paraId="5756AA04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C5440E" w14:textId="77777777" w:rsidR="00026194" w:rsidRPr="001F5CF7" w:rsidRDefault="00026194" w:rsidP="001F5CF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1F5CF7">
        <w:rPr>
          <w:i/>
          <w:szCs w:val="22"/>
        </w:rPr>
        <w:t>Inf</w:t>
      </w:r>
      <w:r w:rsidR="0052071C" w:rsidRPr="001F5CF7">
        <w:rPr>
          <w:i/>
          <w:szCs w:val="22"/>
        </w:rPr>
        <w:t>ú</w:t>
      </w:r>
      <w:r w:rsidRPr="001F5CF7">
        <w:rPr>
          <w:i/>
          <w:szCs w:val="22"/>
        </w:rPr>
        <w:t>ze s konstantní rychlostí</w:t>
      </w:r>
    </w:p>
    <w:p w14:paraId="54D0AD71" w14:textId="7F97B84B" w:rsidR="0052071C" w:rsidRPr="001F5CF7" w:rsidRDefault="0052071C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Pokud je anestézie udržována pomocí infúze s konstantní rychlostí (CRI) podání </w:t>
      </w:r>
      <w:proofErr w:type="spellStart"/>
      <w:r w:rsidRPr="001F5CF7">
        <w:rPr>
          <w:szCs w:val="22"/>
        </w:rPr>
        <w:t>propofolu</w:t>
      </w:r>
      <w:proofErr w:type="spellEnd"/>
      <w:r w:rsidRPr="001F5CF7">
        <w:rPr>
          <w:szCs w:val="22"/>
        </w:rPr>
        <w:t xml:space="preserve">, je dávka </w:t>
      </w:r>
      <w:r w:rsidR="00FE1DB6" w:rsidRPr="001F5CF7">
        <w:rPr>
          <w:szCs w:val="22"/>
        </w:rPr>
        <w:t>u</w:t>
      </w:r>
      <w:r w:rsidR="00FE1DB6">
        <w:rPr>
          <w:szCs w:val="22"/>
        </w:rPr>
        <w:t> </w:t>
      </w:r>
      <w:r w:rsidRPr="001F5CF7">
        <w:rPr>
          <w:szCs w:val="22"/>
        </w:rPr>
        <w:t xml:space="preserve">psů 0,2–0,4 mg/kg/min. Skutečná podaná dávka musí být založena na individuální reakci daného zvířete a může být krátkodobě zvýšena až na 0,6 mg/kg/min. U koček je udržovací dávka 0,1–0,3 mg/kg/min. a měla by být přizpůsobena dle individuální reakce. Infúze s konstantní rychlostí trvající až 2 hodiny při dávce 0,4 mg/kg/min u psů a 0,2 mg/kg/min u koček je podle hlášení dobře snášena. Kromě toho může být rychlost infúze zvýšena nebo snížena po krocích 0,025–0,1 mg/kg/min. u psů nebo 0,01–0,025 mg/kg/min. u koček v intervalech 5–10 minut, aby se přizpůsobila úroveň anestézie. </w:t>
      </w:r>
    </w:p>
    <w:p w14:paraId="649AB884" w14:textId="77777777" w:rsidR="0052071C" w:rsidRPr="001F5CF7" w:rsidRDefault="0052071C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A59272" w14:textId="77777777" w:rsidR="0052071C" w:rsidRPr="001F5CF7" w:rsidRDefault="0052071C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Nepřetržité a dlouhodobé vystavení (trvající více než 30 minut) může vést k pomalejšímu zotavení, zejména u koček.</w:t>
      </w:r>
    </w:p>
    <w:p w14:paraId="50EFE7DE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9F224B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F5CF7">
        <w:rPr>
          <w:szCs w:val="22"/>
          <w:u w:val="single"/>
        </w:rPr>
        <w:t>Udržování anest</w:t>
      </w:r>
      <w:r w:rsidR="0052071C" w:rsidRPr="001F5CF7">
        <w:rPr>
          <w:szCs w:val="22"/>
          <w:u w:val="single"/>
        </w:rPr>
        <w:t>é</w:t>
      </w:r>
      <w:r w:rsidRPr="001F5CF7">
        <w:rPr>
          <w:szCs w:val="22"/>
          <w:u w:val="single"/>
        </w:rPr>
        <w:t>zie pomocí inhalačních látek</w:t>
      </w:r>
    </w:p>
    <w:p w14:paraId="59F34746" w14:textId="77777777" w:rsidR="0052071C" w:rsidRPr="001F5CF7" w:rsidRDefault="0052071C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Pokud jsou k udržování celkové anestézie použity inhalační látky, měla by být podána pro úvod do anestézie vyšší úvodní koncentrace inhalačního </w:t>
      </w:r>
      <w:proofErr w:type="gramStart"/>
      <w:r w:rsidRPr="001F5CF7">
        <w:rPr>
          <w:szCs w:val="22"/>
        </w:rPr>
        <w:t>anestetika</w:t>
      </w:r>
      <w:proofErr w:type="gramEnd"/>
      <w:r w:rsidRPr="001F5CF7">
        <w:rPr>
          <w:szCs w:val="22"/>
        </w:rPr>
        <w:t xml:space="preserve"> než je běžné při úvodu do anestézie barbituráty.</w:t>
      </w:r>
    </w:p>
    <w:p w14:paraId="650232D3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64C629" w14:textId="7A8607F5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Další informace viz </w:t>
      </w:r>
      <w:r w:rsidR="0052071C" w:rsidRPr="001F5CF7">
        <w:rPr>
          <w:szCs w:val="22"/>
        </w:rPr>
        <w:t>bod</w:t>
      </w:r>
      <w:r w:rsidRPr="001F5CF7">
        <w:rPr>
          <w:szCs w:val="22"/>
        </w:rPr>
        <w:t xml:space="preserve"> </w:t>
      </w:r>
      <w:r w:rsidR="00713ABA" w:rsidRPr="001F5CF7">
        <w:rPr>
          <w:szCs w:val="22"/>
        </w:rPr>
        <w:t>6</w:t>
      </w:r>
      <w:r w:rsidRPr="001F5CF7">
        <w:rPr>
          <w:szCs w:val="22"/>
        </w:rPr>
        <w:t xml:space="preserve"> Zvláštní opatření pro </w:t>
      </w:r>
      <w:r w:rsidR="00713ABA" w:rsidRPr="001F5CF7">
        <w:rPr>
          <w:szCs w:val="22"/>
        </w:rPr>
        <w:t xml:space="preserve">bezpečné </w:t>
      </w:r>
      <w:r w:rsidRPr="001F5CF7">
        <w:rPr>
          <w:szCs w:val="22"/>
        </w:rPr>
        <w:t xml:space="preserve">použití u </w:t>
      </w:r>
      <w:r w:rsidR="00713ABA" w:rsidRPr="001F5CF7">
        <w:rPr>
          <w:szCs w:val="22"/>
        </w:rPr>
        <w:t xml:space="preserve">cílových druhů </w:t>
      </w:r>
      <w:r w:rsidRPr="001F5CF7">
        <w:rPr>
          <w:szCs w:val="22"/>
        </w:rPr>
        <w:t>zvířat.</w:t>
      </w:r>
    </w:p>
    <w:p w14:paraId="5512CFE3" w14:textId="77777777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DBE0BC2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ED5F895" w14:textId="02EC45CF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/>
          <w:szCs w:val="22"/>
          <w:highlight w:val="lightGray"/>
        </w:rPr>
        <w:t>9.</w:t>
      </w:r>
      <w:r w:rsidRPr="001F5CF7">
        <w:rPr>
          <w:b/>
          <w:szCs w:val="22"/>
        </w:rPr>
        <w:tab/>
      </w:r>
      <w:r w:rsidR="00912939" w:rsidRPr="001F5CF7">
        <w:rPr>
          <w:b/>
          <w:szCs w:val="22"/>
        </w:rPr>
        <w:t>Informace o správném podávání</w:t>
      </w:r>
    </w:p>
    <w:p w14:paraId="41AE1D35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A3531E" w14:textId="77777777" w:rsidR="00732D7D" w:rsidRPr="001F5CF7" w:rsidRDefault="00732D7D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Před použitím jemně protřep</w:t>
      </w:r>
      <w:r w:rsidR="0052071C" w:rsidRPr="001F5CF7">
        <w:rPr>
          <w:szCs w:val="22"/>
        </w:rPr>
        <w:t>at</w:t>
      </w:r>
      <w:r w:rsidRPr="001F5CF7">
        <w:rPr>
          <w:szCs w:val="22"/>
        </w:rPr>
        <w:t>.</w:t>
      </w:r>
    </w:p>
    <w:p w14:paraId="47B89012" w14:textId="77777777" w:rsidR="00732D7D" w:rsidRPr="001F5CF7" w:rsidRDefault="00732D7D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7BEB24" w14:textId="77777777" w:rsidR="00C80401" w:rsidRPr="001F5CF7" w:rsidRDefault="00C80401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F88D6F" w14:textId="3D3EB6CB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/>
          <w:szCs w:val="22"/>
          <w:highlight w:val="lightGray"/>
        </w:rPr>
        <w:t>10.</w:t>
      </w:r>
      <w:r w:rsidRPr="001F5CF7">
        <w:rPr>
          <w:b/>
          <w:szCs w:val="22"/>
        </w:rPr>
        <w:tab/>
        <w:t>O</w:t>
      </w:r>
      <w:r w:rsidR="00912939" w:rsidRPr="001F5CF7">
        <w:rPr>
          <w:b/>
          <w:szCs w:val="22"/>
        </w:rPr>
        <w:t xml:space="preserve">chranné lhůty </w:t>
      </w:r>
    </w:p>
    <w:p w14:paraId="5456AE7E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10971" w14:textId="29F7641D" w:rsidR="007335F5" w:rsidRPr="001F5CF7" w:rsidRDefault="00A32EBB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1F5CF7">
        <w:rPr>
          <w:iCs/>
          <w:szCs w:val="22"/>
        </w:rPr>
        <w:t>Ne</w:t>
      </w:r>
      <w:r w:rsidR="00E94DA5" w:rsidRPr="001F5CF7">
        <w:rPr>
          <w:iCs/>
          <w:szCs w:val="22"/>
        </w:rPr>
        <w:t>uplatňuje se</w:t>
      </w:r>
      <w:r w:rsidRPr="001F5CF7">
        <w:rPr>
          <w:iCs/>
          <w:szCs w:val="22"/>
        </w:rPr>
        <w:t>.</w:t>
      </w:r>
    </w:p>
    <w:p w14:paraId="3783FC95" w14:textId="77777777" w:rsidR="00D102F2" w:rsidRPr="001F5CF7" w:rsidRDefault="00D102F2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D7DB35F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A573C26" w14:textId="12C87944" w:rsidR="00C114FF" w:rsidRPr="001F5CF7" w:rsidRDefault="00C114FF" w:rsidP="001F5CF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/>
          <w:szCs w:val="22"/>
          <w:highlight w:val="lightGray"/>
        </w:rPr>
        <w:t>11.</w:t>
      </w:r>
      <w:r w:rsidRPr="001F5CF7">
        <w:rPr>
          <w:b/>
          <w:szCs w:val="22"/>
        </w:rPr>
        <w:tab/>
        <w:t>Z</w:t>
      </w:r>
      <w:r w:rsidR="00912939" w:rsidRPr="001F5CF7">
        <w:rPr>
          <w:b/>
          <w:szCs w:val="22"/>
        </w:rPr>
        <w:t xml:space="preserve">vláštní opatření pro uchovávání </w:t>
      </w:r>
    </w:p>
    <w:p w14:paraId="3FAB4237" w14:textId="77777777" w:rsidR="00C114FF" w:rsidRPr="001F5CF7" w:rsidRDefault="00C114FF" w:rsidP="001F5CF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8180B9A" w14:textId="5FF88B62" w:rsidR="00C114FF" w:rsidRPr="001F5CF7" w:rsidRDefault="00C114FF" w:rsidP="001F5CF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Uchováv</w:t>
      </w:r>
      <w:r w:rsidR="00912939" w:rsidRPr="001F5CF7">
        <w:rPr>
          <w:szCs w:val="22"/>
        </w:rPr>
        <w:t>ejte</w:t>
      </w:r>
      <w:r w:rsidRPr="001F5CF7">
        <w:rPr>
          <w:szCs w:val="22"/>
        </w:rPr>
        <w:t xml:space="preserve"> mimo dohled a dosah dětí.</w:t>
      </w:r>
    </w:p>
    <w:p w14:paraId="3D81E1B2" w14:textId="77777777" w:rsidR="00C114FF" w:rsidRPr="001F5CF7" w:rsidRDefault="00C114FF" w:rsidP="001F5CF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ABC3FD5" w14:textId="2FE14720" w:rsidR="007335F5" w:rsidRPr="001F5CF7" w:rsidRDefault="007335F5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Chraňte před mrazem.</w:t>
      </w:r>
      <w:r w:rsidR="00BB3FDB" w:rsidRPr="001F5CF7">
        <w:rPr>
          <w:szCs w:val="22"/>
        </w:rPr>
        <w:t xml:space="preserve"> Uchovávejte lahvičku v krabičce.</w:t>
      </w:r>
    </w:p>
    <w:p w14:paraId="62E9A3DF" w14:textId="77777777" w:rsidR="00827F49" w:rsidRPr="001F5CF7" w:rsidRDefault="00827F4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408584" w14:textId="77777777" w:rsidR="00827F49" w:rsidRPr="001F5CF7" w:rsidRDefault="00827F4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Doba použitelnosti po prvním otevření </w:t>
      </w:r>
      <w:r w:rsidR="000F2727" w:rsidRPr="001F5CF7">
        <w:rPr>
          <w:szCs w:val="22"/>
        </w:rPr>
        <w:t xml:space="preserve">vnitřního </w:t>
      </w:r>
      <w:r w:rsidRPr="001F5CF7">
        <w:rPr>
          <w:szCs w:val="22"/>
        </w:rPr>
        <w:t>obalu: spotřebujte</w:t>
      </w:r>
      <w:r w:rsidR="000F2727" w:rsidRPr="001F5CF7">
        <w:rPr>
          <w:szCs w:val="22"/>
        </w:rPr>
        <w:t xml:space="preserve"> ihned</w:t>
      </w:r>
      <w:r w:rsidRPr="001F5CF7">
        <w:rPr>
          <w:szCs w:val="22"/>
        </w:rPr>
        <w:t>.</w:t>
      </w:r>
    </w:p>
    <w:p w14:paraId="1E4EFB30" w14:textId="77777777" w:rsidR="00C114FF" w:rsidRPr="001F5CF7" w:rsidRDefault="00C114FF" w:rsidP="001F5CF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70718EF" w14:textId="3B071F41" w:rsidR="00C114FF" w:rsidRPr="001F5CF7" w:rsidRDefault="0043320A" w:rsidP="001F5CF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Nepoužívejte tento veterinární léčivý přípravek po uplynutí doby použitelnosti uvedené na </w:t>
      </w:r>
      <w:r w:rsidR="00BB3FDB" w:rsidRPr="001F5CF7">
        <w:rPr>
          <w:szCs w:val="22"/>
        </w:rPr>
        <w:t xml:space="preserve">etiketě </w:t>
      </w:r>
      <w:r w:rsidR="00FE1DB6" w:rsidRPr="001F5CF7">
        <w:rPr>
          <w:szCs w:val="22"/>
        </w:rPr>
        <w:t>a</w:t>
      </w:r>
      <w:r w:rsidR="00FE1DB6">
        <w:rPr>
          <w:szCs w:val="22"/>
        </w:rPr>
        <w:t> </w:t>
      </w:r>
      <w:r w:rsidRPr="001F5CF7">
        <w:rPr>
          <w:szCs w:val="22"/>
        </w:rPr>
        <w:t xml:space="preserve">krabičce </w:t>
      </w:r>
      <w:r w:rsidR="000F2727" w:rsidRPr="001F5CF7">
        <w:rPr>
          <w:szCs w:val="22"/>
        </w:rPr>
        <w:t xml:space="preserve">po </w:t>
      </w:r>
      <w:r w:rsidRPr="001F5CF7">
        <w:rPr>
          <w:szCs w:val="22"/>
        </w:rPr>
        <w:t>E</w:t>
      </w:r>
      <w:r w:rsidR="00BB3FDB" w:rsidRPr="001F5CF7">
        <w:rPr>
          <w:szCs w:val="22"/>
        </w:rPr>
        <w:t>xp</w:t>
      </w:r>
      <w:r w:rsidRPr="001F5CF7">
        <w:rPr>
          <w:szCs w:val="22"/>
        </w:rPr>
        <w:t>. Doba použitelnosti končí posledním dnem v uvedeném měsíci.</w:t>
      </w:r>
    </w:p>
    <w:p w14:paraId="46546104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AA847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B66CC1" w14:textId="1B46CC98" w:rsidR="00C114FF" w:rsidRPr="00FE1DB6" w:rsidRDefault="00C114FF" w:rsidP="00B10CB3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FE1DB6">
        <w:rPr>
          <w:b/>
          <w:szCs w:val="22"/>
          <w:highlight w:val="lightGray"/>
        </w:rPr>
        <w:t>12.</w:t>
      </w:r>
      <w:r w:rsidRPr="00FE1DB6">
        <w:rPr>
          <w:b/>
          <w:szCs w:val="22"/>
        </w:rPr>
        <w:tab/>
        <w:t>Z</w:t>
      </w:r>
      <w:r w:rsidR="00912939" w:rsidRPr="00FE1DB6">
        <w:rPr>
          <w:b/>
          <w:szCs w:val="22"/>
        </w:rPr>
        <w:t>vláštní opatření pro likvidaci</w:t>
      </w:r>
    </w:p>
    <w:p w14:paraId="24771476" w14:textId="77777777" w:rsidR="00C114FF" w:rsidRPr="00FE1DB6" w:rsidRDefault="00C114FF" w:rsidP="00B10CB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21A38B7" w14:textId="77777777" w:rsidR="00713ABA" w:rsidRPr="00FE1DB6" w:rsidRDefault="005B579F" w:rsidP="00FE1DB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1DB6">
        <w:rPr>
          <w:szCs w:val="22"/>
        </w:rPr>
        <w:t xml:space="preserve">Léčivé přípravky se nesmí likvidovat prostřednictvím odpadní vody či domovního odpadu. </w:t>
      </w:r>
    </w:p>
    <w:p w14:paraId="02A43957" w14:textId="77777777" w:rsidR="00FE1DB6" w:rsidRPr="00FE1DB6" w:rsidRDefault="00FE1DB6" w:rsidP="00FE1DB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FE6D77" w14:textId="6F7550A8" w:rsidR="00713ABA" w:rsidRPr="00FE1DB6" w:rsidRDefault="00713ABA" w:rsidP="00FE1DB6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FE1DB6">
        <w:rPr>
          <w:szCs w:val="22"/>
        </w:rPr>
        <w:t xml:space="preserve">Všechen nepoužitý veterinární léčivý přípravek nebo odpad, který pochází z tohoto přípravku, likvidujte odevzdáním v souladu s místními požadavky a platnými národními systémy sběru. </w:t>
      </w:r>
    </w:p>
    <w:p w14:paraId="35BA55C9" w14:textId="35911B5E" w:rsidR="00854A76" w:rsidRPr="00FE1DB6" w:rsidRDefault="005B579F" w:rsidP="00FE1DB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FE1DB6">
        <w:rPr>
          <w:szCs w:val="22"/>
        </w:rPr>
        <w:t>Tato opatření napomáhají chránit životní prostředí.</w:t>
      </w:r>
    </w:p>
    <w:p w14:paraId="4879CB8C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82974D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F3057E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b/>
          <w:szCs w:val="22"/>
          <w:highlight w:val="lightGray"/>
        </w:rPr>
      </w:pPr>
      <w:r w:rsidRPr="001F5CF7">
        <w:rPr>
          <w:b/>
          <w:szCs w:val="22"/>
          <w:highlight w:val="lightGray"/>
        </w:rPr>
        <w:t>13.</w:t>
      </w:r>
      <w:r w:rsidRPr="00B10CB3">
        <w:rPr>
          <w:b/>
          <w:szCs w:val="22"/>
        </w:rPr>
        <w:tab/>
        <w:t>Klasifikace veterinárních léčivých přípravků</w:t>
      </w:r>
    </w:p>
    <w:p w14:paraId="5D26862B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b/>
          <w:szCs w:val="22"/>
          <w:highlight w:val="lightGray"/>
        </w:rPr>
      </w:pPr>
    </w:p>
    <w:p w14:paraId="29F5FFD5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b/>
          <w:szCs w:val="22"/>
          <w:highlight w:val="lightGray"/>
        </w:rPr>
      </w:pPr>
      <w:r w:rsidRPr="001F5CF7">
        <w:rPr>
          <w:szCs w:val="22"/>
        </w:rPr>
        <w:t>Veterinární léčivý přípravek je vydáván pouze na předpis.</w:t>
      </w:r>
    </w:p>
    <w:p w14:paraId="5D644A8B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b/>
          <w:szCs w:val="22"/>
          <w:highlight w:val="lightGray"/>
        </w:rPr>
      </w:pPr>
    </w:p>
    <w:p w14:paraId="6B8CB13A" w14:textId="740BDC81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/>
          <w:szCs w:val="22"/>
          <w:highlight w:val="lightGray"/>
        </w:rPr>
        <w:t>14.</w:t>
      </w:r>
      <w:r w:rsidRPr="001F5CF7">
        <w:rPr>
          <w:b/>
          <w:szCs w:val="22"/>
        </w:rPr>
        <w:tab/>
      </w:r>
      <w:r w:rsidR="00912939" w:rsidRPr="001F5CF7">
        <w:rPr>
          <w:b/>
          <w:szCs w:val="22"/>
        </w:rPr>
        <w:t xml:space="preserve">Registrační čísla a velikosti balení </w:t>
      </w:r>
    </w:p>
    <w:p w14:paraId="0F77EC25" w14:textId="77777777" w:rsidR="00713ABA" w:rsidRPr="001F5CF7" w:rsidRDefault="00713AB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AAF47A" w14:textId="77777777" w:rsidR="00912939" w:rsidRPr="001F5CF7" w:rsidRDefault="00713AB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96/030/</w:t>
      </w:r>
      <w:proofErr w:type="gramStart"/>
      <w:r w:rsidRPr="001F5CF7">
        <w:rPr>
          <w:szCs w:val="22"/>
        </w:rPr>
        <w:t>20-C</w:t>
      </w:r>
      <w:proofErr w:type="gramEnd"/>
    </w:p>
    <w:p w14:paraId="6771A62A" w14:textId="77777777" w:rsidR="00713ABA" w:rsidRPr="001F5CF7" w:rsidRDefault="00713ABA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BB4436" w14:textId="77777777" w:rsidR="00BB3FDB" w:rsidRPr="001F5CF7" w:rsidRDefault="00BB3FDB" w:rsidP="001F5CF7">
      <w:pPr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Injekční lahvička ze skla typu I (20, 50 a 100 ml) s šedou </w:t>
      </w:r>
      <w:proofErr w:type="spellStart"/>
      <w:r w:rsidRPr="001F5CF7">
        <w:rPr>
          <w:szCs w:val="22"/>
        </w:rPr>
        <w:t>silikonozovanou</w:t>
      </w:r>
      <w:proofErr w:type="spellEnd"/>
      <w:r w:rsidRPr="001F5CF7">
        <w:rPr>
          <w:szCs w:val="22"/>
        </w:rPr>
        <w:t xml:space="preserve"> </w:t>
      </w:r>
      <w:proofErr w:type="spellStart"/>
      <w:r w:rsidRPr="001F5CF7">
        <w:rPr>
          <w:szCs w:val="22"/>
        </w:rPr>
        <w:t>bromobutylovou</w:t>
      </w:r>
      <w:proofErr w:type="spellEnd"/>
      <w:r w:rsidRPr="001F5CF7">
        <w:rPr>
          <w:szCs w:val="22"/>
        </w:rPr>
        <w:t xml:space="preserve"> gumovou zátkou a hliníkovou </w:t>
      </w:r>
      <w:proofErr w:type="spellStart"/>
      <w:r w:rsidRPr="001F5CF7">
        <w:rPr>
          <w:szCs w:val="22"/>
        </w:rPr>
        <w:t>pertlí</w:t>
      </w:r>
      <w:proofErr w:type="spellEnd"/>
      <w:r w:rsidRPr="001F5CF7">
        <w:rPr>
          <w:szCs w:val="22"/>
        </w:rPr>
        <w:t>.</w:t>
      </w:r>
    </w:p>
    <w:p w14:paraId="4255F17A" w14:textId="77777777" w:rsidR="00BB3FDB" w:rsidRPr="001F5CF7" w:rsidRDefault="00BB3FDB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FBC8A8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Velikosti balení: 1 x 20 ml, 5 x 20 ml, 1 x 50 ml, 1 x 100 ml</w:t>
      </w:r>
    </w:p>
    <w:p w14:paraId="2C4722BD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Na trhu nemusí být všechny velikosti balení.</w:t>
      </w:r>
    </w:p>
    <w:p w14:paraId="0582EBEA" w14:textId="77777777" w:rsidR="005B579F" w:rsidRPr="001F5CF7" w:rsidRDefault="005B579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A13060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C98779" w14:textId="46642CB2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/>
          <w:szCs w:val="22"/>
          <w:highlight w:val="lightGray"/>
        </w:rPr>
        <w:t>15.</w:t>
      </w:r>
      <w:r w:rsidRPr="001F5CF7">
        <w:rPr>
          <w:b/>
          <w:szCs w:val="22"/>
        </w:rPr>
        <w:tab/>
        <w:t>D</w:t>
      </w:r>
      <w:r w:rsidR="00912939" w:rsidRPr="001F5CF7">
        <w:rPr>
          <w:b/>
          <w:szCs w:val="22"/>
        </w:rPr>
        <w:t>atum poslední revize příbalové informace</w:t>
      </w:r>
    </w:p>
    <w:p w14:paraId="225F1A6E" w14:textId="77777777" w:rsidR="00C114FF" w:rsidRPr="001F5CF7" w:rsidRDefault="00C114FF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B9DE66" w14:textId="5BF83EEB" w:rsidR="00337F43" w:rsidRPr="001F5CF7" w:rsidRDefault="00B10CB3" w:rsidP="001F5CF7">
      <w:pPr>
        <w:spacing w:line="240" w:lineRule="auto"/>
        <w:jc w:val="both"/>
        <w:rPr>
          <w:szCs w:val="22"/>
        </w:rPr>
      </w:pPr>
      <w:proofErr w:type="gramStart"/>
      <w:r>
        <w:rPr>
          <w:szCs w:val="22"/>
        </w:rPr>
        <w:t>Leden</w:t>
      </w:r>
      <w:proofErr w:type="gramEnd"/>
      <w:r>
        <w:rPr>
          <w:szCs w:val="22"/>
        </w:rPr>
        <w:t xml:space="preserve"> 2024</w:t>
      </w:r>
    </w:p>
    <w:p w14:paraId="4995D2B6" w14:textId="77777777" w:rsidR="00B7351D" w:rsidRPr="001F5CF7" w:rsidRDefault="00B7351D" w:rsidP="001F5CF7">
      <w:pPr>
        <w:spacing w:line="240" w:lineRule="auto"/>
        <w:jc w:val="both"/>
        <w:rPr>
          <w:szCs w:val="22"/>
        </w:rPr>
      </w:pPr>
    </w:p>
    <w:p w14:paraId="13C159ED" w14:textId="2F15607C" w:rsidR="00713ABA" w:rsidRPr="001F5CF7" w:rsidRDefault="00713ABA" w:rsidP="001F5CF7">
      <w:pPr>
        <w:spacing w:line="240" w:lineRule="auto"/>
        <w:jc w:val="both"/>
        <w:rPr>
          <w:szCs w:val="22"/>
        </w:rPr>
      </w:pPr>
      <w:r w:rsidRPr="001F5CF7">
        <w:rPr>
          <w:szCs w:val="22"/>
        </w:rPr>
        <w:t>Podrobné informace o tomto veterinárním léčivém přípravku jsou k dispozici v databázi přípravků Unie (</w:t>
      </w:r>
      <w:hyperlink r:id="rId12" w:history="1">
        <w:r w:rsidR="00872612" w:rsidRPr="009156EF">
          <w:rPr>
            <w:rStyle w:val="Hypertextovodkaz"/>
            <w:szCs w:val="22"/>
          </w:rPr>
          <w:t>https://medicines.health.europa.eu/veterinary</w:t>
        </w:r>
      </w:hyperlink>
      <w:r w:rsidRPr="001F5CF7">
        <w:rPr>
          <w:szCs w:val="22"/>
        </w:rPr>
        <w:t>).</w:t>
      </w:r>
    </w:p>
    <w:p w14:paraId="7BA38959" w14:textId="21D39A7A" w:rsidR="00713ABA" w:rsidRDefault="00713ABA" w:rsidP="001F5CF7">
      <w:pPr>
        <w:spacing w:line="240" w:lineRule="auto"/>
        <w:jc w:val="both"/>
        <w:rPr>
          <w:szCs w:val="22"/>
        </w:rPr>
      </w:pPr>
    </w:p>
    <w:p w14:paraId="40CE8B61" w14:textId="77777777" w:rsidR="00872612" w:rsidRPr="00FF6F52" w:rsidRDefault="00872612" w:rsidP="00872612">
      <w:pPr>
        <w:spacing w:line="240" w:lineRule="auto"/>
        <w:jc w:val="both"/>
        <w:rPr>
          <w:rFonts w:asciiTheme="minorHAnsi" w:hAnsiTheme="minorHAnsi" w:cstheme="minorHAnsi"/>
        </w:rPr>
      </w:pPr>
      <w:bookmarkStart w:id="1" w:name="_Hlk148432335"/>
      <w:r w:rsidRPr="00FF6F52">
        <w:rPr>
          <w:rFonts w:asciiTheme="minorHAnsi" w:hAnsiTheme="minorHAnsi" w:cstheme="minorHAnsi"/>
        </w:rPr>
        <w:t>Podrobné informace o tomto veterinárním léčivém přípravku naleznete také v národní databázi (</w:t>
      </w:r>
      <w:hyperlink r:id="rId13" w:history="1">
        <w:r w:rsidRPr="00FF6F52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FF6F52">
        <w:rPr>
          <w:rFonts w:asciiTheme="minorHAnsi" w:hAnsiTheme="minorHAnsi" w:cstheme="minorHAnsi"/>
        </w:rPr>
        <w:t>).</w:t>
      </w:r>
    </w:p>
    <w:bookmarkEnd w:id="1"/>
    <w:p w14:paraId="4DDA0A6B" w14:textId="77777777" w:rsidR="00872612" w:rsidRPr="001F5CF7" w:rsidRDefault="00872612" w:rsidP="001F5CF7">
      <w:pPr>
        <w:spacing w:line="240" w:lineRule="auto"/>
        <w:jc w:val="both"/>
        <w:rPr>
          <w:szCs w:val="22"/>
        </w:rPr>
      </w:pPr>
    </w:p>
    <w:p w14:paraId="4BD91AA3" w14:textId="77777777" w:rsidR="00713ABA" w:rsidRPr="001F5CF7" w:rsidRDefault="00713ABA" w:rsidP="001F5CF7">
      <w:pPr>
        <w:spacing w:line="240" w:lineRule="auto"/>
        <w:jc w:val="both"/>
        <w:rPr>
          <w:szCs w:val="22"/>
        </w:rPr>
      </w:pPr>
    </w:p>
    <w:p w14:paraId="62DFAA11" w14:textId="77777777" w:rsidR="00912939" w:rsidRPr="00B10CB3" w:rsidRDefault="00912939" w:rsidP="001F5CF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10CB3">
        <w:rPr>
          <w:b/>
          <w:szCs w:val="22"/>
          <w:highlight w:val="lightGray"/>
        </w:rPr>
        <w:t>16.</w:t>
      </w:r>
      <w:r w:rsidRPr="00B10CB3">
        <w:rPr>
          <w:b/>
          <w:szCs w:val="22"/>
        </w:rPr>
        <w:tab/>
        <w:t>Kontaktní údaje</w:t>
      </w:r>
    </w:p>
    <w:p w14:paraId="398C39A0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8B74BC" w14:textId="14C7E468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1F5CF7">
        <w:rPr>
          <w:iCs/>
          <w:szCs w:val="22"/>
          <w:u w:val="single"/>
        </w:rPr>
        <w:t>Držitel rozhodnutí o registraci</w:t>
      </w:r>
      <w:r w:rsidR="00BB3FDB" w:rsidRPr="001F5CF7">
        <w:rPr>
          <w:iCs/>
          <w:szCs w:val="22"/>
          <w:u w:val="single"/>
        </w:rPr>
        <w:t xml:space="preserve"> a </w:t>
      </w:r>
      <w:r w:rsidR="00BB3FDB" w:rsidRPr="001F5CF7">
        <w:rPr>
          <w:szCs w:val="22"/>
          <w:u w:val="single"/>
        </w:rPr>
        <w:t>kontaktní údaje pro hlášení podezření na nežádoucí účinek</w:t>
      </w:r>
      <w:r w:rsidRPr="001F5CF7">
        <w:rPr>
          <w:szCs w:val="22"/>
        </w:rPr>
        <w:t>:</w:t>
      </w:r>
    </w:p>
    <w:p w14:paraId="280A2052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Orion </w:t>
      </w:r>
      <w:proofErr w:type="spellStart"/>
      <w:r w:rsidRPr="001F5CF7">
        <w:rPr>
          <w:szCs w:val="22"/>
        </w:rPr>
        <w:t>Corporation</w:t>
      </w:r>
      <w:proofErr w:type="spellEnd"/>
    </w:p>
    <w:p w14:paraId="2786C355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5CF7">
        <w:rPr>
          <w:szCs w:val="22"/>
        </w:rPr>
        <w:t>Orionintie</w:t>
      </w:r>
      <w:proofErr w:type="spellEnd"/>
      <w:r w:rsidRPr="001F5CF7">
        <w:rPr>
          <w:szCs w:val="22"/>
        </w:rPr>
        <w:t> 1</w:t>
      </w:r>
    </w:p>
    <w:p w14:paraId="780049AD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FI-02200 </w:t>
      </w:r>
      <w:proofErr w:type="spellStart"/>
      <w:r w:rsidRPr="001F5CF7">
        <w:rPr>
          <w:szCs w:val="22"/>
        </w:rPr>
        <w:t>Espoo</w:t>
      </w:r>
      <w:proofErr w:type="spellEnd"/>
    </w:p>
    <w:p w14:paraId="3E175BB9" w14:textId="77777777" w:rsidR="00912939" w:rsidRPr="001F5CF7" w:rsidRDefault="00912939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Finsko</w:t>
      </w:r>
    </w:p>
    <w:p w14:paraId="7776037A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AF311A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Cs/>
          <w:szCs w:val="22"/>
          <w:u w:val="single"/>
        </w:rPr>
        <w:t>Výrobce odpovědný za uvolnění šarže</w:t>
      </w:r>
      <w:r w:rsidRPr="001F5CF7">
        <w:rPr>
          <w:szCs w:val="22"/>
        </w:rPr>
        <w:t>:</w:t>
      </w:r>
    </w:p>
    <w:p w14:paraId="23FB9AE6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lang w:val="en-GB"/>
        </w:rPr>
      </w:pPr>
      <w:r w:rsidRPr="001F5CF7">
        <w:rPr>
          <w:szCs w:val="22"/>
          <w:lang w:val="en-GB"/>
        </w:rPr>
        <w:t>Orion Corporation Orion Pharma</w:t>
      </w:r>
    </w:p>
    <w:p w14:paraId="067224FA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lang w:val="en-GB"/>
        </w:rPr>
      </w:pPr>
      <w:proofErr w:type="spellStart"/>
      <w:r w:rsidRPr="001F5CF7">
        <w:rPr>
          <w:szCs w:val="22"/>
          <w:lang w:val="en-GB"/>
        </w:rPr>
        <w:t>Orionintie</w:t>
      </w:r>
      <w:proofErr w:type="spellEnd"/>
      <w:r w:rsidRPr="001F5CF7">
        <w:rPr>
          <w:szCs w:val="22"/>
          <w:lang w:val="en-GB"/>
        </w:rPr>
        <w:t> 1</w:t>
      </w:r>
    </w:p>
    <w:p w14:paraId="64013FDE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lang w:val="en-GB"/>
        </w:rPr>
      </w:pPr>
      <w:r w:rsidRPr="001F5CF7">
        <w:rPr>
          <w:szCs w:val="22"/>
          <w:lang w:val="en-GB"/>
        </w:rPr>
        <w:t>FI-02200 Espoo</w:t>
      </w:r>
    </w:p>
    <w:p w14:paraId="1EFC1891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lang w:val="en-GB"/>
        </w:rPr>
      </w:pPr>
      <w:r w:rsidRPr="001F5CF7">
        <w:rPr>
          <w:szCs w:val="22"/>
        </w:rPr>
        <w:t>Finsko</w:t>
      </w:r>
    </w:p>
    <w:p w14:paraId="48474240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lang w:val="en-GB"/>
        </w:rPr>
      </w:pPr>
    </w:p>
    <w:p w14:paraId="70C56757" w14:textId="77777777" w:rsidR="00125677" w:rsidRPr="00B10CB3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highlight w:val="lightGray"/>
          <w:lang w:val="en-GB"/>
        </w:rPr>
      </w:pPr>
      <w:r w:rsidRPr="00B10CB3">
        <w:rPr>
          <w:szCs w:val="22"/>
          <w:highlight w:val="lightGray"/>
          <w:lang w:val="en-GB"/>
        </w:rPr>
        <w:t>Orion Corporation Orion Pharma</w:t>
      </w:r>
    </w:p>
    <w:p w14:paraId="601A697E" w14:textId="77777777" w:rsidR="00125677" w:rsidRPr="00B10CB3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highlight w:val="lightGray"/>
          <w:lang w:val="en-GB"/>
        </w:rPr>
      </w:pPr>
      <w:proofErr w:type="spellStart"/>
      <w:r w:rsidRPr="00B10CB3">
        <w:rPr>
          <w:szCs w:val="22"/>
          <w:highlight w:val="lightGray"/>
          <w:lang w:val="en-GB"/>
        </w:rPr>
        <w:t>Joensuunkatu</w:t>
      </w:r>
      <w:proofErr w:type="spellEnd"/>
      <w:r w:rsidRPr="00B10CB3">
        <w:rPr>
          <w:szCs w:val="22"/>
          <w:highlight w:val="lightGray"/>
          <w:lang w:val="en-GB"/>
        </w:rPr>
        <w:t> 7</w:t>
      </w:r>
    </w:p>
    <w:p w14:paraId="704DEE66" w14:textId="77777777" w:rsidR="00125677" w:rsidRPr="00B10CB3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highlight w:val="lightGray"/>
          <w:lang w:val="en-GB"/>
        </w:rPr>
      </w:pPr>
      <w:r w:rsidRPr="00B10CB3">
        <w:rPr>
          <w:szCs w:val="22"/>
          <w:highlight w:val="lightGray"/>
          <w:lang w:val="en-GB"/>
        </w:rPr>
        <w:t>FI-24100 </w:t>
      </w:r>
      <w:proofErr w:type="spellStart"/>
      <w:r w:rsidRPr="00B10CB3">
        <w:rPr>
          <w:szCs w:val="22"/>
          <w:highlight w:val="lightGray"/>
          <w:lang w:val="en-GB"/>
        </w:rPr>
        <w:t>Salo</w:t>
      </w:r>
      <w:proofErr w:type="spellEnd"/>
    </w:p>
    <w:p w14:paraId="78BFA0E8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  <w:lang w:val="en-GB"/>
        </w:rPr>
      </w:pPr>
      <w:r w:rsidRPr="00B10CB3">
        <w:rPr>
          <w:szCs w:val="22"/>
          <w:highlight w:val="lightGray"/>
        </w:rPr>
        <w:t>Finsko</w:t>
      </w:r>
    </w:p>
    <w:p w14:paraId="78375B19" w14:textId="77777777" w:rsidR="00125677" w:rsidRPr="001F5CF7" w:rsidRDefault="00125677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3F0C4B" w14:textId="1A6DFB00" w:rsidR="00A22D98" w:rsidRPr="00B10CB3" w:rsidRDefault="00912939" w:rsidP="001F5CF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10CB3">
        <w:rPr>
          <w:szCs w:val="22"/>
          <w:u w:val="single"/>
        </w:rPr>
        <w:t>Místní zástupci a kontaktní údaje pro hlášení podezření na nežádoucí účinek</w:t>
      </w:r>
      <w:r w:rsidR="00A22D98" w:rsidRPr="00B10CB3">
        <w:rPr>
          <w:szCs w:val="22"/>
          <w:u w:val="single"/>
        </w:rPr>
        <w:t>:</w:t>
      </w:r>
    </w:p>
    <w:p w14:paraId="67C75064" w14:textId="77777777" w:rsidR="00A22D98" w:rsidRPr="001F5CF7" w:rsidRDefault="00A22D98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 xml:space="preserve">Orion </w:t>
      </w:r>
      <w:proofErr w:type="spellStart"/>
      <w:r w:rsidRPr="001F5CF7">
        <w:rPr>
          <w:szCs w:val="22"/>
        </w:rPr>
        <w:t>Pharma</w:t>
      </w:r>
      <w:proofErr w:type="spellEnd"/>
      <w:r w:rsidRPr="001F5CF7">
        <w:rPr>
          <w:szCs w:val="22"/>
        </w:rPr>
        <w:t xml:space="preserve"> s.r.o.</w:t>
      </w:r>
    </w:p>
    <w:p w14:paraId="4B615228" w14:textId="77777777" w:rsidR="00DE6516" w:rsidRPr="00B10CB3" w:rsidRDefault="00DE6516" w:rsidP="001F5CF7">
      <w:pPr>
        <w:tabs>
          <w:tab w:val="clear" w:pos="567"/>
        </w:tabs>
        <w:spacing w:line="240" w:lineRule="auto"/>
        <w:jc w:val="both"/>
        <w:rPr>
          <w:szCs w:val="22"/>
          <w:lang w:val="en-US"/>
        </w:rPr>
      </w:pPr>
      <w:r w:rsidRPr="00B10CB3">
        <w:rPr>
          <w:bCs/>
          <w:szCs w:val="22"/>
          <w:lang w:val="en-US"/>
        </w:rPr>
        <w:t xml:space="preserve">Na </w:t>
      </w:r>
      <w:proofErr w:type="spellStart"/>
      <w:r w:rsidRPr="00B10CB3">
        <w:rPr>
          <w:bCs/>
          <w:szCs w:val="22"/>
          <w:lang w:val="en-US"/>
        </w:rPr>
        <w:t>Strži</w:t>
      </w:r>
      <w:proofErr w:type="spellEnd"/>
      <w:r w:rsidRPr="00B10CB3">
        <w:rPr>
          <w:bCs/>
          <w:szCs w:val="22"/>
          <w:lang w:val="en-US"/>
        </w:rPr>
        <w:t xml:space="preserve"> 2102/61a,</w:t>
      </w:r>
    </w:p>
    <w:p w14:paraId="4D301181" w14:textId="4E8856A0" w:rsidR="00DE6516" w:rsidRPr="001F5CF7" w:rsidRDefault="00DE6516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bCs/>
          <w:szCs w:val="22"/>
          <w:lang w:val="fi-FI"/>
        </w:rPr>
        <w:t>Praha, 140 00</w:t>
      </w:r>
    </w:p>
    <w:p w14:paraId="1B189D27" w14:textId="0F03DE1B" w:rsidR="00A22D98" w:rsidRPr="001F5CF7" w:rsidRDefault="00A22D98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5CF7">
        <w:rPr>
          <w:szCs w:val="22"/>
        </w:rPr>
        <w:t>Tel: +420 227 027 263</w:t>
      </w:r>
    </w:p>
    <w:p w14:paraId="68368670" w14:textId="2B8A739C" w:rsidR="00DE6516" w:rsidRPr="001F5CF7" w:rsidRDefault="007815F7" w:rsidP="001F5CF7">
      <w:pPr>
        <w:tabs>
          <w:tab w:val="clear" w:pos="567"/>
        </w:tabs>
        <w:spacing w:line="240" w:lineRule="auto"/>
        <w:jc w:val="both"/>
        <w:rPr>
          <w:szCs w:val="22"/>
        </w:rPr>
      </w:pPr>
      <w:hyperlink r:id="rId14" w:history="1">
        <w:r w:rsidR="00DE6516" w:rsidRPr="001F5CF7">
          <w:rPr>
            <w:rStyle w:val="Hypertextovodkaz"/>
            <w:szCs w:val="22"/>
          </w:rPr>
          <w:t>orion@orionpharma.cz</w:t>
        </w:r>
      </w:hyperlink>
    </w:p>
    <w:sectPr w:rsidR="00DE6516" w:rsidRPr="001F5CF7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5CC0" w14:textId="77777777" w:rsidR="007815F7" w:rsidRDefault="007815F7">
      <w:r>
        <w:separator/>
      </w:r>
    </w:p>
  </w:endnote>
  <w:endnote w:type="continuationSeparator" w:id="0">
    <w:p w14:paraId="7BD2DB39" w14:textId="77777777" w:rsidR="007815F7" w:rsidRDefault="0078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6B64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664280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85BC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F6F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83EE" w14:textId="77777777" w:rsidR="007815F7" w:rsidRDefault="007815F7">
      <w:r>
        <w:separator/>
      </w:r>
    </w:p>
  </w:footnote>
  <w:footnote w:type="continuationSeparator" w:id="0">
    <w:p w14:paraId="62ADF5D2" w14:textId="77777777" w:rsidR="007815F7" w:rsidRDefault="0078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E747" w14:textId="77777777" w:rsidR="008A4E2E" w:rsidRDefault="008A4E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4AE9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C09BC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CE3F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A0A0F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3CC6C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2F3C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4738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5C7AF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D66F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003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5951995"/>
    <w:multiLevelType w:val="hybridMultilevel"/>
    <w:tmpl w:val="51CC99F4"/>
    <w:lvl w:ilvl="0" w:tplc="7862E6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7F75792"/>
    <w:multiLevelType w:val="hybridMultilevel"/>
    <w:tmpl w:val="15269350"/>
    <w:lvl w:ilvl="0" w:tplc="7862E6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F65D8"/>
    <w:multiLevelType w:val="multilevel"/>
    <w:tmpl w:val="A02E932A"/>
    <w:numStyleLink w:val="BulletsAgency"/>
  </w:abstractNum>
  <w:abstractNum w:abstractNumId="3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7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6"/>
  </w:num>
  <w:num w:numId="31">
    <w:abstractNumId w:val="47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6"/>
  </w:num>
  <w:num w:numId="38">
    <w:abstractNumId w:val="35"/>
  </w:num>
  <w:num w:numId="39">
    <w:abstractNumId w:val="27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015"/>
    <w:rsid w:val="00021B82"/>
    <w:rsid w:val="00024777"/>
    <w:rsid w:val="00024E21"/>
    <w:rsid w:val="00025AD7"/>
    <w:rsid w:val="00026194"/>
    <w:rsid w:val="000268BB"/>
    <w:rsid w:val="00036C50"/>
    <w:rsid w:val="00052D2B"/>
    <w:rsid w:val="00054F55"/>
    <w:rsid w:val="00062945"/>
    <w:rsid w:val="00080453"/>
    <w:rsid w:val="0008169A"/>
    <w:rsid w:val="0008385B"/>
    <w:rsid w:val="000860CE"/>
    <w:rsid w:val="0009003C"/>
    <w:rsid w:val="00092A37"/>
    <w:rsid w:val="000938A6"/>
    <w:rsid w:val="00097C1E"/>
    <w:rsid w:val="000A1DF5"/>
    <w:rsid w:val="000B7873"/>
    <w:rsid w:val="000C02A1"/>
    <w:rsid w:val="000C1D4F"/>
    <w:rsid w:val="000C687A"/>
    <w:rsid w:val="000D67D0"/>
    <w:rsid w:val="000E195C"/>
    <w:rsid w:val="000E3602"/>
    <w:rsid w:val="000F1116"/>
    <w:rsid w:val="000F2021"/>
    <w:rsid w:val="000F2727"/>
    <w:rsid w:val="000F38DA"/>
    <w:rsid w:val="000F5822"/>
    <w:rsid w:val="000F796B"/>
    <w:rsid w:val="0010031E"/>
    <w:rsid w:val="001012EB"/>
    <w:rsid w:val="001078D1"/>
    <w:rsid w:val="00112288"/>
    <w:rsid w:val="00112B2D"/>
    <w:rsid w:val="00113B57"/>
    <w:rsid w:val="00115782"/>
    <w:rsid w:val="00124F36"/>
    <w:rsid w:val="00125666"/>
    <w:rsid w:val="00125677"/>
    <w:rsid w:val="00125C80"/>
    <w:rsid w:val="001343EB"/>
    <w:rsid w:val="0013799F"/>
    <w:rsid w:val="00140DF6"/>
    <w:rsid w:val="00145C3F"/>
    <w:rsid w:val="00145D34"/>
    <w:rsid w:val="00146284"/>
    <w:rsid w:val="0014690F"/>
    <w:rsid w:val="0015098E"/>
    <w:rsid w:val="001642BC"/>
    <w:rsid w:val="00166575"/>
    <w:rsid w:val="00166F05"/>
    <w:rsid w:val="001674D3"/>
    <w:rsid w:val="00175264"/>
    <w:rsid w:val="001803D2"/>
    <w:rsid w:val="0018228B"/>
    <w:rsid w:val="00182A5D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28C9"/>
    <w:rsid w:val="001A34BC"/>
    <w:rsid w:val="001B1C77"/>
    <w:rsid w:val="001B6F4A"/>
    <w:rsid w:val="001C4DA7"/>
    <w:rsid w:val="001C5288"/>
    <w:rsid w:val="001C5B03"/>
    <w:rsid w:val="001D14B0"/>
    <w:rsid w:val="001D6D96"/>
    <w:rsid w:val="001E5621"/>
    <w:rsid w:val="001E7C2E"/>
    <w:rsid w:val="001F3EF9"/>
    <w:rsid w:val="001F5CF7"/>
    <w:rsid w:val="001F627D"/>
    <w:rsid w:val="001F6622"/>
    <w:rsid w:val="0020022C"/>
    <w:rsid w:val="00203E2D"/>
    <w:rsid w:val="002100FC"/>
    <w:rsid w:val="00213890"/>
    <w:rsid w:val="00214E52"/>
    <w:rsid w:val="002207C0"/>
    <w:rsid w:val="00224B93"/>
    <w:rsid w:val="0023676E"/>
    <w:rsid w:val="002414B6"/>
    <w:rsid w:val="002422EB"/>
    <w:rsid w:val="00242397"/>
    <w:rsid w:val="00250DD1"/>
    <w:rsid w:val="00251183"/>
    <w:rsid w:val="00251689"/>
    <w:rsid w:val="0025267C"/>
    <w:rsid w:val="00253B6B"/>
    <w:rsid w:val="00255F4E"/>
    <w:rsid w:val="002569BF"/>
    <w:rsid w:val="00265656"/>
    <w:rsid w:val="00265E77"/>
    <w:rsid w:val="00266155"/>
    <w:rsid w:val="0027270B"/>
    <w:rsid w:val="002838C8"/>
    <w:rsid w:val="00290805"/>
    <w:rsid w:val="00290C2A"/>
    <w:rsid w:val="002931DD"/>
    <w:rsid w:val="002A0199"/>
    <w:rsid w:val="002A0E7C"/>
    <w:rsid w:val="002A21ED"/>
    <w:rsid w:val="002A3F88"/>
    <w:rsid w:val="002B0F11"/>
    <w:rsid w:val="002C55FF"/>
    <w:rsid w:val="002C592B"/>
    <w:rsid w:val="002D1E3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20BB"/>
    <w:rsid w:val="00304393"/>
    <w:rsid w:val="00304D76"/>
    <w:rsid w:val="00305AB2"/>
    <w:rsid w:val="00305D85"/>
    <w:rsid w:val="0031032B"/>
    <w:rsid w:val="00316E87"/>
    <w:rsid w:val="0032453E"/>
    <w:rsid w:val="00325053"/>
    <w:rsid w:val="003256AC"/>
    <w:rsid w:val="00330DD5"/>
    <w:rsid w:val="0033129D"/>
    <w:rsid w:val="003320ED"/>
    <w:rsid w:val="0033480E"/>
    <w:rsid w:val="00337123"/>
    <w:rsid w:val="00337F43"/>
    <w:rsid w:val="00341866"/>
    <w:rsid w:val="003468B4"/>
    <w:rsid w:val="003533E2"/>
    <w:rsid w:val="003535E0"/>
    <w:rsid w:val="00366F56"/>
    <w:rsid w:val="0037041A"/>
    <w:rsid w:val="003737C8"/>
    <w:rsid w:val="00375209"/>
    <w:rsid w:val="0037589D"/>
    <w:rsid w:val="00376BB1"/>
    <w:rsid w:val="00377E23"/>
    <w:rsid w:val="0038277C"/>
    <w:rsid w:val="003909E0"/>
    <w:rsid w:val="00393E09"/>
    <w:rsid w:val="00395B15"/>
    <w:rsid w:val="00396026"/>
    <w:rsid w:val="003A3E2F"/>
    <w:rsid w:val="003A6CCB"/>
    <w:rsid w:val="003B10C4"/>
    <w:rsid w:val="003B48EB"/>
    <w:rsid w:val="003C33FF"/>
    <w:rsid w:val="003C64A5"/>
    <w:rsid w:val="003D03CC"/>
    <w:rsid w:val="003D4BB7"/>
    <w:rsid w:val="003E0116"/>
    <w:rsid w:val="003E26C3"/>
    <w:rsid w:val="003F0D6C"/>
    <w:rsid w:val="003F0F26"/>
    <w:rsid w:val="003F12D9"/>
    <w:rsid w:val="003F1B4C"/>
    <w:rsid w:val="003F3E06"/>
    <w:rsid w:val="003F6E89"/>
    <w:rsid w:val="004008F6"/>
    <w:rsid w:val="00401C9C"/>
    <w:rsid w:val="00411C46"/>
    <w:rsid w:val="00412BBE"/>
    <w:rsid w:val="00414B20"/>
    <w:rsid w:val="00417DE3"/>
    <w:rsid w:val="00420850"/>
    <w:rsid w:val="00423968"/>
    <w:rsid w:val="004266D0"/>
    <w:rsid w:val="00427054"/>
    <w:rsid w:val="004304B1"/>
    <w:rsid w:val="0043320A"/>
    <w:rsid w:val="004332E3"/>
    <w:rsid w:val="00443CAB"/>
    <w:rsid w:val="00446E32"/>
    <w:rsid w:val="004518A6"/>
    <w:rsid w:val="00453E1D"/>
    <w:rsid w:val="00454589"/>
    <w:rsid w:val="00456ED0"/>
    <w:rsid w:val="00457550"/>
    <w:rsid w:val="00460E61"/>
    <w:rsid w:val="00474C50"/>
    <w:rsid w:val="004771F9"/>
    <w:rsid w:val="00486006"/>
    <w:rsid w:val="00486BAD"/>
    <w:rsid w:val="00486BBE"/>
    <w:rsid w:val="00487123"/>
    <w:rsid w:val="004A02DE"/>
    <w:rsid w:val="004A1BD5"/>
    <w:rsid w:val="004A2506"/>
    <w:rsid w:val="004A61E1"/>
    <w:rsid w:val="004B2344"/>
    <w:rsid w:val="004B5DDC"/>
    <w:rsid w:val="004B798E"/>
    <w:rsid w:val="004C2ABD"/>
    <w:rsid w:val="004D2D31"/>
    <w:rsid w:val="004D3E58"/>
    <w:rsid w:val="004D6746"/>
    <w:rsid w:val="004D767B"/>
    <w:rsid w:val="004E0F32"/>
    <w:rsid w:val="004E23A1"/>
    <w:rsid w:val="004E7092"/>
    <w:rsid w:val="004E71AD"/>
    <w:rsid w:val="004E7ECE"/>
    <w:rsid w:val="004F6F64"/>
    <w:rsid w:val="005004EC"/>
    <w:rsid w:val="00517756"/>
    <w:rsid w:val="005202C6"/>
    <w:rsid w:val="0052071C"/>
    <w:rsid w:val="00523C53"/>
    <w:rsid w:val="00527B8F"/>
    <w:rsid w:val="00541A63"/>
    <w:rsid w:val="00542012"/>
    <w:rsid w:val="00543DF5"/>
    <w:rsid w:val="005467C1"/>
    <w:rsid w:val="0055260D"/>
    <w:rsid w:val="005538A2"/>
    <w:rsid w:val="00555422"/>
    <w:rsid w:val="00555810"/>
    <w:rsid w:val="00561C04"/>
    <w:rsid w:val="00562DCA"/>
    <w:rsid w:val="0056568F"/>
    <w:rsid w:val="00582578"/>
    <w:rsid w:val="005B04A8"/>
    <w:rsid w:val="005B28AD"/>
    <w:rsid w:val="005B328D"/>
    <w:rsid w:val="005B3503"/>
    <w:rsid w:val="005B3EE7"/>
    <w:rsid w:val="005B4DCD"/>
    <w:rsid w:val="005B4FAD"/>
    <w:rsid w:val="005B579F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5F597F"/>
    <w:rsid w:val="00602D3B"/>
    <w:rsid w:val="0060401D"/>
    <w:rsid w:val="00606EA1"/>
    <w:rsid w:val="006128F0"/>
    <w:rsid w:val="0061726B"/>
    <w:rsid w:val="00623026"/>
    <w:rsid w:val="0062387A"/>
    <w:rsid w:val="0063377D"/>
    <w:rsid w:val="006344BE"/>
    <w:rsid w:val="00634A66"/>
    <w:rsid w:val="00640336"/>
    <w:rsid w:val="00640FC9"/>
    <w:rsid w:val="006432F2"/>
    <w:rsid w:val="00647072"/>
    <w:rsid w:val="0065320F"/>
    <w:rsid w:val="00653D64"/>
    <w:rsid w:val="00654E13"/>
    <w:rsid w:val="00657BB1"/>
    <w:rsid w:val="0066282E"/>
    <w:rsid w:val="00664280"/>
    <w:rsid w:val="00667489"/>
    <w:rsid w:val="00670D44"/>
    <w:rsid w:val="00676AFC"/>
    <w:rsid w:val="006807CD"/>
    <w:rsid w:val="00682D43"/>
    <w:rsid w:val="00685BAF"/>
    <w:rsid w:val="006A0D03"/>
    <w:rsid w:val="006A41E9"/>
    <w:rsid w:val="006B12CB"/>
    <w:rsid w:val="006B5916"/>
    <w:rsid w:val="006C4775"/>
    <w:rsid w:val="006C4F4A"/>
    <w:rsid w:val="006C5E80"/>
    <w:rsid w:val="006C7CEE"/>
    <w:rsid w:val="006D075E"/>
    <w:rsid w:val="006D7C6E"/>
    <w:rsid w:val="006E2F95"/>
    <w:rsid w:val="00705EAF"/>
    <w:rsid w:val="007101CC"/>
    <w:rsid w:val="00713ABA"/>
    <w:rsid w:val="00724E3B"/>
    <w:rsid w:val="00725EEA"/>
    <w:rsid w:val="00730CE9"/>
    <w:rsid w:val="00732D7D"/>
    <w:rsid w:val="007335F5"/>
    <w:rsid w:val="0073373D"/>
    <w:rsid w:val="00737FB7"/>
    <w:rsid w:val="007439DB"/>
    <w:rsid w:val="007558C2"/>
    <w:rsid w:val="007568D8"/>
    <w:rsid w:val="00765316"/>
    <w:rsid w:val="007708C8"/>
    <w:rsid w:val="00771C5E"/>
    <w:rsid w:val="0077719D"/>
    <w:rsid w:val="00780DF0"/>
    <w:rsid w:val="007815F7"/>
    <w:rsid w:val="00782F0F"/>
    <w:rsid w:val="00787482"/>
    <w:rsid w:val="00795F1C"/>
    <w:rsid w:val="007A286D"/>
    <w:rsid w:val="007A38DF"/>
    <w:rsid w:val="007B20CF"/>
    <w:rsid w:val="007B2499"/>
    <w:rsid w:val="007B72E1"/>
    <w:rsid w:val="007B783A"/>
    <w:rsid w:val="007C0A55"/>
    <w:rsid w:val="007C1B95"/>
    <w:rsid w:val="007D73FB"/>
    <w:rsid w:val="007E2F2D"/>
    <w:rsid w:val="007F1433"/>
    <w:rsid w:val="007F1491"/>
    <w:rsid w:val="007F2F03"/>
    <w:rsid w:val="00800FE0"/>
    <w:rsid w:val="008066AD"/>
    <w:rsid w:val="00814AF1"/>
    <w:rsid w:val="0081517F"/>
    <w:rsid w:val="00815370"/>
    <w:rsid w:val="0082153D"/>
    <w:rsid w:val="00822B86"/>
    <w:rsid w:val="008255AA"/>
    <w:rsid w:val="00827F49"/>
    <w:rsid w:val="00830FF3"/>
    <w:rsid w:val="008334BF"/>
    <w:rsid w:val="00836B8C"/>
    <w:rsid w:val="00840062"/>
    <w:rsid w:val="008410C5"/>
    <w:rsid w:val="00841431"/>
    <w:rsid w:val="00846C08"/>
    <w:rsid w:val="008530E7"/>
    <w:rsid w:val="00854A76"/>
    <w:rsid w:val="00856BDB"/>
    <w:rsid w:val="00857675"/>
    <w:rsid w:val="00857F21"/>
    <w:rsid w:val="00870B83"/>
    <w:rsid w:val="00872612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007"/>
    <w:rsid w:val="00895A2F"/>
    <w:rsid w:val="00896EBD"/>
    <w:rsid w:val="008A4E2E"/>
    <w:rsid w:val="008A5665"/>
    <w:rsid w:val="008A63CF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294F"/>
    <w:rsid w:val="008F4DEF"/>
    <w:rsid w:val="008F66AE"/>
    <w:rsid w:val="00903D0D"/>
    <w:rsid w:val="009048E1"/>
    <w:rsid w:val="00904F30"/>
    <w:rsid w:val="0090598C"/>
    <w:rsid w:val="009071BB"/>
    <w:rsid w:val="00912939"/>
    <w:rsid w:val="00913885"/>
    <w:rsid w:val="00931D41"/>
    <w:rsid w:val="00933D18"/>
    <w:rsid w:val="00942221"/>
    <w:rsid w:val="00944FA1"/>
    <w:rsid w:val="00950FBB"/>
    <w:rsid w:val="0095122F"/>
    <w:rsid w:val="00953349"/>
    <w:rsid w:val="00954E0C"/>
    <w:rsid w:val="0095549B"/>
    <w:rsid w:val="00960861"/>
    <w:rsid w:val="00961156"/>
    <w:rsid w:val="00964F03"/>
    <w:rsid w:val="00966F1F"/>
    <w:rsid w:val="009707AF"/>
    <w:rsid w:val="00975676"/>
    <w:rsid w:val="00976467"/>
    <w:rsid w:val="00976D32"/>
    <w:rsid w:val="009774A5"/>
    <w:rsid w:val="009844F7"/>
    <w:rsid w:val="009938F7"/>
    <w:rsid w:val="009A05AA"/>
    <w:rsid w:val="009A2D5A"/>
    <w:rsid w:val="009B2C7E"/>
    <w:rsid w:val="009B6DBD"/>
    <w:rsid w:val="009C108A"/>
    <w:rsid w:val="009C2E47"/>
    <w:rsid w:val="009C6BFB"/>
    <w:rsid w:val="009C6DCF"/>
    <w:rsid w:val="009C76D8"/>
    <w:rsid w:val="009D0C05"/>
    <w:rsid w:val="009D4F62"/>
    <w:rsid w:val="009E23E5"/>
    <w:rsid w:val="009E2C00"/>
    <w:rsid w:val="009E49AD"/>
    <w:rsid w:val="009E70F4"/>
    <w:rsid w:val="009E76D1"/>
    <w:rsid w:val="009F1AD2"/>
    <w:rsid w:val="00A01C9C"/>
    <w:rsid w:val="00A0479E"/>
    <w:rsid w:val="00A06EAF"/>
    <w:rsid w:val="00A07979"/>
    <w:rsid w:val="00A11755"/>
    <w:rsid w:val="00A207FB"/>
    <w:rsid w:val="00A22D98"/>
    <w:rsid w:val="00A24016"/>
    <w:rsid w:val="00A265BF"/>
    <w:rsid w:val="00A26F44"/>
    <w:rsid w:val="00A32EBB"/>
    <w:rsid w:val="00A34FAB"/>
    <w:rsid w:val="00A40EC9"/>
    <w:rsid w:val="00A4313D"/>
    <w:rsid w:val="00A50120"/>
    <w:rsid w:val="00A57AA8"/>
    <w:rsid w:val="00A60351"/>
    <w:rsid w:val="00A6167E"/>
    <w:rsid w:val="00A61C6D"/>
    <w:rsid w:val="00A63015"/>
    <w:rsid w:val="00A66254"/>
    <w:rsid w:val="00A678B4"/>
    <w:rsid w:val="00A704A3"/>
    <w:rsid w:val="00A75E23"/>
    <w:rsid w:val="00A82AA0"/>
    <w:rsid w:val="00A82F8A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20A"/>
    <w:rsid w:val="00AD4DB9"/>
    <w:rsid w:val="00AD63C0"/>
    <w:rsid w:val="00AE35B2"/>
    <w:rsid w:val="00AE6AA0"/>
    <w:rsid w:val="00B03DB0"/>
    <w:rsid w:val="00B10CB3"/>
    <w:rsid w:val="00B119A2"/>
    <w:rsid w:val="00B11CA1"/>
    <w:rsid w:val="00B177F2"/>
    <w:rsid w:val="00B201F1"/>
    <w:rsid w:val="00B304E7"/>
    <w:rsid w:val="00B30A1F"/>
    <w:rsid w:val="00B318B6"/>
    <w:rsid w:val="00B322EE"/>
    <w:rsid w:val="00B41F47"/>
    <w:rsid w:val="00B45962"/>
    <w:rsid w:val="00B60AC9"/>
    <w:rsid w:val="00B60DDB"/>
    <w:rsid w:val="00B67323"/>
    <w:rsid w:val="00B715F2"/>
    <w:rsid w:val="00B7351D"/>
    <w:rsid w:val="00B74071"/>
    <w:rsid w:val="00B7428E"/>
    <w:rsid w:val="00B74B67"/>
    <w:rsid w:val="00B779AA"/>
    <w:rsid w:val="00B81C95"/>
    <w:rsid w:val="00B82330"/>
    <w:rsid w:val="00B82520"/>
    <w:rsid w:val="00B82ED4"/>
    <w:rsid w:val="00B8424F"/>
    <w:rsid w:val="00B85D71"/>
    <w:rsid w:val="00B86896"/>
    <w:rsid w:val="00B875A6"/>
    <w:rsid w:val="00B9388C"/>
    <w:rsid w:val="00B93E4C"/>
    <w:rsid w:val="00B94A1B"/>
    <w:rsid w:val="00B94B14"/>
    <w:rsid w:val="00BA00D7"/>
    <w:rsid w:val="00BA5C89"/>
    <w:rsid w:val="00BA6DB8"/>
    <w:rsid w:val="00BB3FDB"/>
    <w:rsid w:val="00BB4CE2"/>
    <w:rsid w:val="00BB5EF0"/>
    <w:rsid w:val="00BB6724"/>
    <w:rsid w:val="00BC0EFB"/>
    <w:rsid w:val="00BC2E39"/>
    <w:rsid w:val="00BD2364"/>
    <w:rsid w:val="00BD28E3"/>
    <w:rsid w:val="00BE3261"/>
    <w:rsid w:val="00BF58FC"/>
    <w:rsid w:val="00C01F77"/>
    <w:rsid w:val="00C01FFC"/>
    <w:rsid w:val="00C06AE4"/>
    <w:rsid w:val="00C114FF"/>
    <w:rsid w:val="00C15FEE"/>
    <w:rsid w:val="00C171A1"/>
    <w:rsid w:val="00C171A4"/>
    <w:rsid w:val="00C17F12"/>
    <w:rsid w:val="00C21C1A"/>
    <w:rsid w:val="00C237E9"/>
    <w:rsid w:val="00C32989"/>
    <w:rsid w:val="00C36883"/>
    <w:rsid w:val="00C40928"/>
    <w:rsid w:val="00C42697"/>
    <w:rsid w:val="00C43F01"/>
    <w:rsid w:val="00C47552"/>
    <w:rsid w:val="00C536AF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90EDA"/>
    <w:rsid w:val="00C924F5"/>
    <w:rsid w:val="00C959E7"/>
    <w:rsid w:val="00CA2A3F"/>
    <w:rsid w:val="00CB0DFB"/>
    <w:rsid w:val="00CB5B8D"/>
    <w:rsid w:val="00CC1E65"/>
    <w:rsid w:val="00CC567A"/>
    <w:rsid w:val="00CD4059"/>
    <w:rsid w:val="00CD4E5A"/>
    <w:rsid w:val="00CE03CE"/>
    <w:rsid w:val="00CF0DFF"/>
    <w:rsid w:val="00D028A9"/>
    <w:rsid w:val="00D0359D"/>
    <w:rsid w:val="00D04DED"/>
    <w:rsid w:val="00D102F2"/>
    <w:rsid w:val="00D1089A"/>
    <w:rsid w:val="00D116BD"/>
    <w:rsid w:val="00D2001A"/>
    <w:rsid w:val="00D20684"/>
    <w:rsid w:val="00D26B62"/>
    <w:rsid w:val="00D3691A"/>
    <w:rsid w:val="00D377E2"/>
    <w:rsid w:val="00D41C6E"/>
    <w:rsid w:val="00D42DCB"/>
    <w:rsid w:val="00D45482"/>
    <w:rsid w:val="00D46DF2"/>
    <w:rsid w:val="00D47674"/>
    <w:rsid w:val="00D5338C"/>
    <w:rsid w:val="00D553F6"/>
    <w:rsid w:val="00D606B2"/>
    <w:rsid w:val="00D625A7"/>
    <w:rsid w:val="00D64074"/>
    <w:rsid w:val="00D65777"/>
    <w:rsid w:val="00D726A4"/>
    <w:rsid w:val="00D728A0"/>
    <w:rsid w:val="00D83661"/>
    <w:rsid w:val="00D97E7D"/>
    <w:rsid w:val="00DA73D8"/>
    <w:rsid w:val="00DB3439"/>
    <w:rsid w:val="00DB3618"/>
    <w:rsid w:val="00DB6A49"/>
    <w:rsid w:val="00DC2946"/>
    <w:rsid w:val="00DC550F"/>
    <w:rsid w:val="00DC64FD"/>
    <w:rsid w:val="00DD395E"/>
    <w:rsid w:val="00DE127F"/>
    <w:rsid w:val="00DE424A"/>
    <w:rsid w:val="00DE4419"/>
    <w:rsid w:val="00DE445B"/>
    <w:rsid w:val="00DE4C66"/>
    <w:rsid w:val="00DE6516"/>
    <w:rsid w:val="00DF0ACA"/>
    <w:rsid w:val="00DF2245"/>
    <w:rsid w:val="00DF48E3"/>
    <w:rsid w:val="00DF77CF"/>
    <w:rsid w:val="00E026E8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208A"/>
    <w:rsid w:val="00E6552A"/>
    <w:rsid w:val="00E6707D"/>
    <w:rsid w:val="00E70E7C"/>
    <w:rsid w:val="00E71313"/>
    <w:rsid w:val="00E72606"/>
    <w:rsid w:val="00E73C3E"/>
    <w:rsid w:val="00E82496"/>
    <w:rsid w:val="00E834CD"/>
    <w:rsid w:val="00E84E9D"/>
    <w:rsid w:val="00E85951"/>
    <w:rsid w:val="00E86CEE"/>
    <w:rsid w:val="00E935AF"/>
    <w:rsid w:val="00E9486C"/>
    <w:rsid w:val="00E94DA5"/>
    <w:rsid w:val="00EA1245"/>
    <w:rsid w:val="00EB0E20"/>
    <w:rsid w:val="00EB1A80"/>
    <w:rsid w:val="00EB457B"/>
    <w:rsid w:val="00EC4F3A"/>
    <w:rsid w:val="00EC5E74"/>
    <w:rsid w:val="00EC6DCA"/>
    <w:rsid w:val="00ED5354"/>
    <w:rsid w:val="00ED594D"/>
    <w:rsid w:val="00EE36E1"/>
    <w:rsid w:val="00EE7B3F"/>
    <w:rsid w:val="00F00007"/>
    <w:rsid w:val="00F0054D"/>
    <w:rsid w:val="00F02467"/>
    <w:rsid w:val="00F04D0E"/>
    <w:rsid w:val="00F12214"/>
    <w:rsid w:val="00F12565"/>
    <w:rsid w:val="00F14134"/>
    <w:rsid w:val="00F14ACA"/>
    <w:rsid w:val="00F2129E"/>
    <w:rsid w:val="00F23196"/>
    <w:rsid w:val="00F23927"/>
    <w:rsid w:val="00F26A05"/>
    <w:rsid w:val="00F307CE"/>
    <w:rsid w:val="00F37108"/>
    <w:rsid w:val="00F40F52"/>
    <w:rsid w:val="00F46586"/>
    <w:rsid w:val="00F47BAA"/>
    <w:rsid w:val="00F47F0D"/>
    <w:rsid w:val="00F52EAB"/>
    <w:rsid w:val="00F61A31"/>
    <w:rsid w:val="00F67A2D"/>
    <w:rsid w:val="00F70A1B"/>
    <w:rsid w:val="00F72FDF"/>
    <w:rsid w:val="00F75960"/>
    <w:rsid w:val="00F82526"/>
    <w:rsid w:val="00F84672"/>
    <w:rsid w:val="00F84802"/>
    <w:rsid w:val="00F95A8C"/>
    <w:rsid w:val="00FA06FD"/>
    <w:rsid w:val="00FA515B"/>
    <w:rsid w:val="00FA6B90"/>
    <w:rsid w:val="00FA74CB"/>
    <w:rsid w:val="00FB207A"/>
    <w:rsid w:val="00FB2886"/>
    <w:rsid w:val="00FB466E"/>
    <w:rsid w:val="00FC752C"/>
    <w:rsid w:val="00FD0492"/>
    <w:rsid w:val="00FD13EC"/>
    <w:rsid w:val="00FD4A35"/>
    <w:rsid w:val="00FD4DA8"/>
    <w:rsid w:val="00FD4EEF"/>
    <w:rsid w:val="00FD5461"/>
    <w:rsid w:val="00FD6BDB"/>
    <w:rsid w:val="00FD6F00"/>
    <w:rsid w:val="00FD7B98"/>
    <w:rsid w:val="00FE1DB6"/>
    <w:rsid w:val="00FE3EB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6FF96"/>
  <w15:docId w15:val="{1F08A46E-F01C-244E-A327-3EA833B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rsid w:val="008A4E2E"/>
    <w:rPr>
      <w:rFonts w:ascii="Helvetica" w:hAnsi="Helvetica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664280"/>
  </w:style>
  <w:style w:type="paragraph" w:styleId="Zkladntext-prvnodsazen">
    <w:name w:val="Body Text First Indent"/>
    <w:basedOn w:val="Zkladntext"/>
    <w:link w:val="Zkladntext-prvnodsazenChar"/>
    <w:rsid w:val="00664280"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sid w:val="00664280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664280"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rsid w:val="00664280"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664280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664280"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rsid w:val="0066428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vr">
    <w:name w:val="Closing"/>
    <w:basedOn w:val="Normln"/>
    <w:link w:val="ZvrChar"/>
    <w:rsid w:val="00664280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rsid w:val="00664280"/>
    <w:rPr>
      <w:sz w:val="22"/>
      <w:lang w:eastAsia="en-US"/>
    </w:rPr>
  </w:style>
  <w:style w:type="paragraph" w:styleId="Datum">
    <w:name w:val="Date"/>
    <w:basedOn w:val="Normln"/>
    <w:next w:val="Normln"/>
    <w:link w:val="DatumChar"/>
    <w:rsid w:val="00664280"/>
  </w:style>
  <w:style w:type="character" w:customStyle="1" w:styleId="DatumChar">
    <w:name w:val="Datum Char"/>
    <w:basedOn w:val="Standardnpsmoodstavce"/>
    <w:link w:val="Datum"/>
    <w:rsid w:val="00664280"/>
    <w:rPr>
      <w:sz w:val="22"/>
      <w:lang w:eastAsia="en-US"/>
    </w:rPr>
  </w:style>
  <w:style w:type="paragraph" w:styleId="Rozloendokumentu">
    <w:name w:val="Document Map"/>
    <w:basedOn w:val="Normln"/>
    <w:link w:val="RozloendokumentuChar"/>
    <w:rsid w:val="0066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664280"/>
    <w:rPr>
      <w:rFonts w:ascii="Tahoma" w:hAnsi="Tahoma" w:cs="Tahoma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rsid w:val="00664280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rsid w:val="00664280"/>
    <w:rPr>
      <w:sz w:val="22"/>
      <w:lang w:eastAsia="en-US"/>
    </w:rPr>
  </w:style>
  <w:style w:type="paragraph" w:styleId="Adresanaoblku">
    <w:name w:val="envelope address"/>
    <w:basedOn w:val="Normln"/>
    <w:rsid w:val="0066428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rsid w:val="00664280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rsid w:val="00664280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664280"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rsid w:val="00664280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664280"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rsid w:val="00664280"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rsid w:val="00664280"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rsid w:val="00664280"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rsid w:val="00664280"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rsid w:val="00664280"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rsid w:val="00664280"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rsid w:val="00664280"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rsid w:val="00664280"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rsid w:val="00664280"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rsid w:val="00664280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28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280"/>
    <w:rPr>
      <w:b/>
      <w:bCs/>
      <w:i/>
      <w:iCs/>
      <w:color w:val="5B9BD5" w:themeColor="accent1"/>
      <w:sz w:val="22"/>
      <w:lang w:eastAsia="en-US"/>
    </w:rPr>
  </w:style>
  <w:style w:type="paragraph" w:styleId="Seznam">
    <w:name w:val="List"/>
    <w:basedOn w:val="Normln"/>
    <w:rsid w:val="00664280"/>
    <w:pPr>
      <w:ind w:left="283" w:hanging="283"/>
      <w:contextualSpacing/>
    </w:pPr>
  </w:style>
  <w:style w:type="paragraph" w:styleId="Seznam2">
    <w:name w:val="List 2"/>
    <w:basedOn w:val="Normln"/>
    <w:rsid w:val="00664280"/>
    <w:pPr>
      <w:ind w:left="566" w:hanging="283"/>
      <w:contextualSpacing/>
    </w:pPr>
  </w:style>
  <w:style w:type="paragraph" w:styleId="Seznam3">
    <w:name w:val="List 3"/>
    <w:basedOn w:val="Normln"/>
    <w:rsid w:val="00664280"/>
    <w:pPr>
      <w:ind w:left="849" w:hanging="283"/>
      <w:contextualSpacing/>
    </w:pPr>
  </w:style>
  <w:style w:type="paragraph" w:styleId="Seznam4">
    <w:name w:val="List 4"/>
    <w:basedOn w:val="Normln"/>
    <w:rsid w:val="00664280"/>
    <w:pPr>
      <w:ind w:left="1132" w:hanging="283"/>
      <w:contextualSpacing/>
    </w:pPr>
  </w:style>
  <w:style w:type="paragraph" w:styleId="Seznam5">
    <w:name w:val="List 5"/>
    <w:basedOn w:val="Normln"/>
    <w:rsid w:val="00664280"/>
    <w:pPr>
      <w:ind w:left="1415" w:hanging="283"/>
      <w:contextualSpacing/>
    </w:pPr>
  </w:style>
  <w:style w:type="paragraph" w:styleId="Seznamsodrkami">
    <w:name w:val="List Bullet"/>
    <w:basedOn w:val="Normln"/>
    <w:rsid w:val="00664280"/>
    <w:pPr>
      <w:numPr>
        <w:numId w:val="40"/>
      </w:numPr>
      <w:contextualSpacing/>
    </w:pPr>
  </w:style>
  <w:style w:type="paragraph" w:styleId="Seznamsodrkami2">
    <w:name w:val="List Bullet 2"/>
    <w:basedOn w:val="Normln"/>
    <w:rsid w:val="00664280"/>
    <w:pPr>
      <w:numPr>
        <w:numId w:val="41"/>
      </w:numPr>
      <w:contextualSpacing/>
    </w:pPr>
  </w:style>
  <w:style w:type="paragraph" w:styleId="Seznamsodrkami3">
    <w:name w:val="List Bullet 3"/>
    <w:basedOn w:val="Normln"/>
    <w:rsid w:val="00664280"/>
    <w:pPr>
      <w:numPr>
        <w:numId w:val="42"/>
      </w:numPr>
      <w:contextualSpacing/>
    </w:pPr>
  </w:style>
  <w:style w:type="paragraph" w:styleId="Seznamsodrkami4">
    <w:name w:val="List Bullet 4"/>
    <w:basedOn w:val="Normln"/>
    <w:rsid w:val="00664280"/>
    <w:pPr>
      <w:numPr>
        <w:numId w:val="43"/>
      </w:numPr>
      <w:contextualSpacing/>
    </w:pPr>
  </w:style>
  <w:style w:type="paragraph" w:styleId="Seznamsodrkami5">
    <w:name w:val="List Bullet 5"/>
    <w:basedOn w:val="Normln"/>
    <w:rsid w:val="00664280"/>
    <w:pPr>
      <w:numPr>
        <w:numId w:val="44"/>
      </w:numPr>
      <w:contextualSpacing/>
    </w:pPr>
  </w:style>
  <w:style w:type="paragraph" w:styleId="Pokraovnseznamu">
    <w:name w:val="List Continue"/>
    <w:basedOn w:val="Normln"/>
    <w:rsid w:val="00664280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664280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664280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664280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664280"/>
    <w:pPr>
      <w:spacing w:after="120"/>
      <w:ind w:left="1415"/>
      <w:contextualSpacing/>
    </w:pPr>
  </w:style>
  <w:style w:type="paragraph" w:styleId="slovanseznam">
    <w:name w:val="List Number"/>
    <w:basedOn w:val="Normln"/>
    <w:rsid w:val="00664280"/>
    <w:pPr>
      <w:numPr>
        <w:numId w:val="45"/>
      </w:numPr>
      <w:contextualSpacing/>
    </w:pPr>
  </w:style>
  <w:style w:type="paragraph" w:styleId="slovanseznam2">
    <w:name w:val="List Number 2"/>
    <w:basedOn w:val="Normln"/>
    <w:rsid w:val="00664280"/>
    <w:pPr>
      <w:numPr>
        <w:numId w:val="46"/>
      </w:numPr>
      <w:contextualSpacing/>
    </w:pPr>
  </w:style>
  <w:style w:type="paragraph" w:styleId="slovanseznam3">
    <w:name w:val="List Number 3"/>
    <w:basedOn w:val="Normln"/>
    <w:rsid w:val="00664280"/>
    <w:pPr>
      <w:numPr>
        <w:numId w:val="47"/>
      </w:numPr>
      <w:contextualSpacing/>
    </w:pPr>
  </w:style>
  <w:style w:type="paragraph" w:styleId="slovanseznam4">
    <w:name w:val="List Number 4"/>
    <w:basedOn w:val="Normln"/>
    <w:rsid w:val="00664280"/>
    <w:pPr>
      <w:numPr>
        <w:numId w:val="48"/>
      </w:numPr>
      <w:contextualSpacing/>
    </w:pPr>
  </w:style>
  <w:style w:type="paragraph" w:styleId="slovanseznam5">
    <w:name w:val="List Number 5"/>
    <w:basedOn w:val="Normln"/>
    <w:rsid w:val="00664280"/>
    <w:pPr>
      <w:numPr>
        <w:numId w:val="49"/>
      </w:numPr>
      <w:contextualSpacing/>
    </w:pPr>
  </w:style>
  <w:style w:type="paragraph" w:styleId="Odstavecseseznamem">
    <w:name w:val="List Paragraph"/>
    <w:basedOn w:val="Normln"/>
    <w:uiPriority w:val="34"/>
    <w:qFormat/>
    <w:rsid w:val="00664280"/>
    <w:pPr>
      <w:ind w:left="720"/>
      <w:contextualSpacing/>
    </w:pPr>
  </w:style>
  <w:style w:type="paragraph" w:styleId="Textmakra">
    <w:name w:val="macro"/>
    <w:link w:val="TextmakraChar"/>
    <w:rsid w:val="006642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sid w:val="00664280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rsid w:val="00664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66428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rsid w:val="00664280"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rsid w:val="00664280"/>
    <w:rPr>
      <w:sz w:val="24"/>
      <w:szCs w:val="24"/>
    </w:rPr>
  </w:style>
  <w:style w:type="paragraph" w:styleId="Normlnodsazen">
    <w:name w:val="Normal Indent"/>
    <w:basedOn w:val="Normln"/>
    <w:rsid w:val="00664280"/>
    <w:pPr>
      <w:ind w:left="1304"/>
    </w:pPr>
  </w:style>
  <w:style w:type="paragraph" w:styleId="Nadpispoznmky">
    <w:name w:val="Note Heading"/>
    <w:basedOn w:val="Normln"/>
    <w:next w:val="Normln"/>
    <w:link w:val="NadpispoznmkyChar"/>
    <w:rsid w:val="00664280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rsid w:val="00664280"/>
    <w:rPr>
      <w:sz w:val="22"/>
      <w:lang w:eastAsia="en-US"/>
    </w:rPr>
  </w:style>
  <w:style w:type="paragraph" w:styleId="Prosttext">
    <w:name w:val="Plain Text"/>
    <w:basedOn w:val="Normln"/>
    <w:link w:val="ProsttextChar"/>
    <w:rsid w:val="0066428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664280"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6428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64280"/>
    <w:rPr>
      <w:i/>
      <w:iCs/>
      <w:color w:val="000000" w:themeColor="text1"/>
      <w:sz w:val="22"/>
      <w:lang w:eastAsia="en-US"/>
    </w:rPr>
  </w:style>
  <w:style w:type="paragraph" w:styleId="Osloven">
    <w:name w:val="Salutation"/>
    <w:basedOn w:val="Normln"/>
    <w:next w:val="Normln"/>
    <w:link w:val="OslovenChar"/>
    <w:rsid w:val="00664280"/>
  </w:style>
  <w:style w:type="character" w:customStyle="1" w:styleId="OslovenChar">
    <w:name w:val="Oslovení Char"/>
    <w:basedOn w:val="Standardnpsmoodstavce"/>
    <w:link w:val="Osloven"/>
    <w:rsid w:val="00664280"/>
    <w:rPr>
      <w:sz w:val="22"/>
      <w:lang w:eastAsia="en-US"/>
    </w:rPr>
  </w:style>
  <w:style w:type="paragraph" w:styleId="Podpis">
    <w:name w:val="Signature"/>
    <w:basedOn w:val="Normln"/>
    <w:link w:val="PodpisChar"/>
    <w:rsid w:val="00664280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664280"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6428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6642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rsid w:val="006642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642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4280"/>
    <w:pPr>
      <w:keepNext/>
      <w:keepLines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DE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dr@uskvbl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rion@orionpharm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Props1.xml><?xml version="1.0" encoding="utf-8"?>
<ds:datastoreItem xmlns:ds="http://schemas.openxmlformats.org/officeDocument/2006/customXml" ds:itemID="{AB2E11A0-BFF1-4B15-B14B-EBF87066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3ED9D-BA9C-4D26-B8B8-094F9FE0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F1358-A873-423B-AC0C-47470B10722A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2521</Words>
  <Characters>14879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keywords/>
  <cp:lastModifiedBy>Dušek Daniel</cp:lastModifiedBy>
  <cp:revision>17</cp:revision>
  <cp:lastPrinted>2024-01-05T13:57:00Z</cp:lastPrinted>
  <dcterms:created xsi:type="dcterms:W3CDTF">2023-10-29T21:49:00Z</dcterms:created>
  <dcterms:modified xsi:type="dcterms:W3CDTF">2024-01-19T13:43:00Z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0x01010024723F5AE10FE448AFF43B34AC78DB72</vt:lpwstr>
  </property>
  <property fmtid="{D5CDD505-2E9C-101B-9397-08002B2CF9AE}" pid="66" name="MediaServiceImageTags">
    <vt:lpwstr/>
  </property>
</Properties>
</file>