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9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DC485D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DC485D" w:rsidRDefault="006C6ABC" w:rsidP="00407C22">
      <w:pPr>
        <w:pStyle w:val="Style3"/>
      </w:pPr>
      <w:r w:rsidRPr="00DC485D">
        <w:t>PŘÍBALOVÁ INFORMACE</w:t>
      </w:r>
    </w:p>
    <w:p w14:paraId="14C31250" w14:textId="77777777" w:rsidR="00C114FF" w:rsidRPr="00DC485D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DC485D">
        <w:br w:type="page"/>
      </w:r>
      <w:r w:rsidRPr="00DC485D">
        <w:rPr>
          <w:b/>
          <w:szCs w:val="22"/>
        </w:rPr>
        <w:lastRenderedPageBreak/>
        <w:t>PŘÍBALOVÁ INFORMACE</w:t>
      </w:r>
    </w:p>
    <w:p w14:paraId="14C31251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DC485D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1.</w:t>
      </w:r>
      <w:r w:rsidRPr="00DC485D">
        <w:tab/>
        <w:t>Název veterinárního léčivého přípravku</w:t>
      </w:r>
    </w:p>
    <w:p w14:paraId="14C31254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EE8925" w14:textId="1DEC8FB7" w:rsidR="00423957" w:rsidRPr="00DC485D" w:rsidRDefault="00423957" w:rsidP="00423957">
      <w:pPr>
        <w:tabs>
          <w:tab w:val="num" w:pos="426"/>
        </w:tabs>
        <w:ind w:left="432" w:hanging="432"/>
        <w:rPr>
          <w:szCs w:val="22"/>
        </w:rPr>
      </w:pPr>
      <w:r w:rsidRPr="00DC485D">
        <w:rPr>
          <w:szCs w:val="22"/>
        </w:rPr>
        <w:t>Footvax injekční emulze</w:t>
      </w:r>
      <w:r w:rsidR="00564BE6" w:rsidRPr="00DC485D">
        <w:rPr>
          <w:szCs w:val="22"/>
        </w:rPr>
        <w:t xml:space="preserve"> pro ovce</w:t>
      </w:r>
    </w:p>
    <w:p w14:paraId="2C0DF8A5" w14:textId="77777777" w:rsidR="00165A09" w:rsidRPr="00DC485D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DC485D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2.</w:t>
      </w:r>
      <w:r w:rsidRPr="00DC485D">
        <w:tab/>
        <w:t>Složení</w:t>
      </w:r>
    </w:p>
    <w:p w14:paraId="14C31259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47760F" w14:textId="153DE9FA" w:rsidR="006A600D" w:rsidRPr="00DC485D" w:rsidRDefault="00564BE6" w:rsidP="00423957">
      <w:pPr>
        <w:rPr>
          <w:szCs w:val="22"/>
        </w:rPr>
      </w:pPr>
      <w:r w:rsidRPr="00DC485D">
        <w:rPr>
          <w:bCs/>
          <w:szCs w:val="22"/>
        </w:rPr>
        <w:t>Každá dávka (1 ml) obsahuje:</w:t>
      </w:r>
    </w:p>
    <w:p w14:paraId="706F1B71" w14:textId="77777777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DC485D">
        <w:rPr>
          <w:bCs/>
          <w:i/>
          <w:iCs/>
          <w:szCs w:val="22"/>
        </w:rPr>
        <w:t xml:space="preserve">Dichelobacter nodosus </w:t>
      </w:r>
      <w:r w:rsidRPr="00DC485D">
        <w:rPr>
          <w:bCs/>
          <w:i/>
          <w:iCs/>
          <w:szCs w:val="22"/>
        </w:rPr>
        <w:tab/>
      </w:r>
    </w:p>
    <w:p w14:paraId="717CB40F" w14:textId="543571DF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szCs w:val="22"/>
        </w:rPr>
      </w:pPr>
      <w:r w:rsidRPr="00DC485D">
        <w:rPr>
          <w:bCs/>
          <w:szCs w:val="22"/>
        </w:rPr>
        <w:t>Sérotypy</w:t>
      </w:r>
      <w:r w:rsidRPr="00DC485D">
        <w:rPr>
          <w:bCs/>
          <w:szCs w:val="22"/>
        </w:rPr>
        <w:tab/>
        <w:t xml:space="preserve">A,B1,B2,C,D,E,F,G,H                 </w:t>
      </w:r>
      <w:r w:rsidRPr="00DC485D">
        <w:rPr>
          <w:bCs/>
          <w:szCs w:val="22"/>
        </w:rPr>
        <w:tab/>
        <w:t xml:space="preserve">      každý v koncentraci 10</w:t>
      </w:r>
      <w:r w:rsidR="00481442" w:rsidRPr="00DC485D">
        <w:rPr>
          <w:bCs/>
          <w:szCs w:val="22"/>
        </w:rPr>
        <w:t xml:space="preserve"> </w:t>
      </w:r>
      <w:r w:rsidRPr="00DC485D">
        <w:rPr>
          <w:bCs/>
          <w:szCs w:val="22"/>
        </w:rPr>
        <w:sym w:font="Symbol" w:char="F06D"/>
      </w:r>
      <w:r w:rsidRPr="00DC485D">
        <w:rPr>
          <w:bCs/>
          <w:szCs w:val="22"/>
        </w:rPr>
        <w:t xml:space="preserve">g pili </w:t>
      </w:r>
    </w:p>
    <w:p w14:paraId="5814A6F2" w14:textId="77777777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szCs w:val="22"/>
        </w:rPr>
      </w:pPr>
      <w:r w:rsidRPr="00DC485D">
        <w:rPr>
          <w:bCs/>
          <w:szCs w:val="22"/>
        </w:rPr>
        <w:t xml:space="preserve">                                                                                        ekvivalent k ≥400 jednotek účinnosti*</w:t>
      </w:r>
    </w:p>
    <w:p w14:paraId="2B5589BA" w14:textId="77777777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DC485D">
        <w:rPr>
          <w:bCs/>
          <w:i/>
          <w:iCs/>
          <w:szCs w:val="22"/>
        </w:rPr>
        <w:t xml:space="preserve">Dichelobacter nodosus </w:t>
      </w:r>
      <w:r w:rsidRPr="00DC485D">
        <w:rPr>
          <w:bCs/>
          <w:i/>
          <w:iCs/>
          <w:szCs w:val="22"/>
        </w:rPr>
        <w:tab/>
      </w:r>
    </w:p>
    <w:p w14:paraId="0B91690F" w14:textId="77777777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szCs w:val="22"/>
        </w:rPr>
      </w:pPr>
      <w:r w:rsidRPr="00DC485D">
        <w:rPr>
          <w:bCs/>
          <w:szCs w:val="22"/>
        </w:rPr>
        <w:t>Sérotyp</w:t>
      </w:r>
      <w:r w:rsidRPr="00DC485D">
        <w:rPr>
          <w:bCs/>
          <w:szCs w:val="22"/>
        </w:rPr>
        <w:tab/>
        <w:t xml:space="preserve">I                                         </w:t>
      </w:r>
      <w:r w:rsidRPr="00DC485D">
        <w:rPr>
          <w:bCs/>
          <w:szCs w:val="22"/>
        </w:rPr>
        <w:tab/>
      </w:r>
      <w:r w:rsidRPr="00DC485D">
        <w:rPr>
          <w:bCs/>
          <w:szCs w:val="22"/>
        </w:rPr>
        <w:tab/>
        <w:t xml:space="preserve">      v koncentraci 5x10</w:t>
      </w:r>
      <w:r w:rsidRPr="00DC485D">
        <w:rPr>
          <w:bCs/>
          <w:szCs w:val="22"/>
          <w:vertAlign w:val="superscript"/>
        </w:rPr>
        <w:t>8</w:t>
      </w:r>
      <w:r w:rsidRPr="00DC485D">
        <w:rPr>
          <w:bCs/>
          <w:szCs w:val="22"/>
        </w:rPr>
        <w:t xml:space="preserve"> buněk </w:t>
      </w:r>
    </w:p>
    <w:p w14:paraId="647818AC" w14:textId="77777777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szCs w:val="22"/>
        </w:rPr>
      </w:pPr>
      <w:r w:rsidRPr="00DC485D">
        <w:rPr>
          <w:bCs/>
          <w:szCs w:val="22"/>
        </w:rPr>
        <w:t xml:space="preserve">                                                                                         ekvivalent k ≥400 jednotek účinnosti*</w:t>
      </w:r>
    </w:p>
    <w:p w14:paraId="6E576F79" w14:textId="77777777" w:rsidR="00232DA2" w:rsidRPr="00DC485D" w:rsidRDefault="00232DA2" w:rsidP="00232DA2">
      <w:pPr>
        <w:tabs>
          <w:tab w:val="clear" w:pos="567"/>
        </w:tabs>
        <w:spacing w:line="240" w:lineRule="auto"/>
        <w:rPr>
          <w:bCs/>
          <w:szCs w:val="22"/>
        </w:rPr>
      </w:pPr>
      <w:r w:rsidRPr="00DC485D">
        <w:rPr>
          <w:bCs/>
          <w:szCs w:val="22"/>
        </w:rPr>
        <w:t>* určeno na základě testu účinnosti</w:t>
      </w:r>
    </w:p>
    <w:p w14:paraId="1836ABBD" w14:textId="77777777" w:rsidR="00A115B8" w:rsidRPr="00DC485D" w:rsidRDefault="00A115B8" w:rsidP="00A115B8">
      <w:pPr>
        <w:tabs>
          <w:tab w:val="clear" w:pos="567"/>
        </w:tabs>
        <w:spacing w:line="240" w:lineRule="auto"/>
        <w:rPr>
          <w:szCs w:val="22"/>
        </w:rPr>
      </w:pPr>
    </w:p>
    <w:p w14:paraId="21A44F22" w14:textId="3F769099" w:rsidR="00423957" w:rsidRPr="00DC485D" w:rsidRDefault="00423957" w:rsidP="00423957">
      <w:pPr>
        <w:rPr>
          <w:szCs w:val="22"/>
        </w:rPr>
      </w:pPr>
      <w:r w:rsidRPr="00DC485D">
        <w:rPr>
          <w:b/>
          <w:szCs w:val="22"/>
        </w:rPr>
        <w:t>Pomocné látky (adjuvans a excipiens):</w:t>
      </w:r>
    </w:p>
    <w:p w14:paraId="377CA292" w14:textId="0FFB063A" w:rsidR="00423957" w:rsidRPr="00DC485D" w:rsidRDefault="00423957" w:rsidP="00423957">
      <w:pPr>
        <w:pStyle w:val="Zkladntextodsazen2"/>
        <w:tabs>
          <w:tab w:val="num" w:pos="0"/>
          <w:tab w:val="left" w:pos="1560"/>
          <w:tab w:val="left" w:pos="2410"/>
          <w:tab w:val="left" w:pos="4536"/>
        </w:tabs>
        <w:rPr>
          <w:b w:val="0"/>
          <w:szCs w:val="22"/>
        </w:rPr>
      </w:pPr>
      <w:r w:rsidRPr="00DC485D">
        <w:rPr>
          <w:b w:val="0"/>
          <w:szCs w:val="22"/>
        </w:rPr>
        <w:t>tekutý parafin</w:t>
      </w:r>
    </w:p>
    <w:p w14:paraId="43757F00" w14:textId="759DD37E" w:rsidR="00423957" w:rsidRPr="00DC485D" w:rsidRDefault="00423957" w:rsidP="00423957">
      <w:pPr>
        <w:pStyle w:val="Zkladntextodsazen2"/>
        <w:tabs>
          <w:tab w:val="num" w:pos="0"/>
          <w:tab w:val="left" w:pos="1560"/>
          <w:tab w:val="left" w:pos="2410"/>
          <w:tab w:val="left" w:pos="4536"/>
        </w:tabs>
        <w:rPr>
          <w:b w:val="0"/>
          <w:szCs w:val="22"/>
        </w:rPr>
      </w:pPr>
      <w:r w:rsidRPr="00DC485D">
        <w:rPr>
          <w:b w:val="0"/>
          <w:szCs w:val="22"/>
        </w:rPr>
        <w:t>oleomannid</w:t>
      </w:r>
    </w:p>
    <w:p w14:paraId="0D95F32D" w14:textId="64E3C54D" w:rsidR="00423957" w:rsidRPr="00DC485D" w:rsidRDefault="00423957" w:rsidP="00423957">
      <w:pPr>
        <w:pStyle w:val="Zkladntextodsazen2"/>
        <w:tabs>
          <w:tab w:val="num" w:pos="0"/>
          <w:tab w:val="left" w:pos="1560"/>
          <w:tab w:val="left" w:pos="2410"/>
          <w:tab w:val="left" w:pos="4536"/>
        </w:tabs>
        <w:rPr>
          <w:b w:val="0"/>
          <w:szCs w:val="22"/>
        </w:rPr>
      </w:pPr>
      <w:r w:rsidRPr="00DC485D">
        <w:rPr>
          <w:b w:val="0"/>
          <w:szCs w:val="22"/>
        </w:rPr>
        <w:t>formaldehyd</w:t>
      </w:r>
    </w:p>
    <w:p w14:paraId="4C9EC676" w14:textId="51E4EA68" w:rsidR="00423957" w:rsidRPr="00DC485D" w:rsidRDefault="00423957" w:rsidP="00423957">
      <w:pPr>
        <w:pStyle w:val="Zkladntextodsazen2"/>
        <w:tabs>
          <w:tab w:val="num" w:pos="0"/>
          <w:tab w:val="left" w:pos="1560"/>
          <w:tab w:val="left" w:pos="2410"/>
          <w:tab w:val="left" w:pos="4536"/>
        </w:tabs>
        <w:rPr>
          <w:b w:val="0"/>
          <w:szCs w:val="22"/>
        </w:rPr>
      </w:pPr>
      <w:r w:rsidRPr="00DC485D">
        <w:rPr>
          <w:b w:val="0"/>
          <w:szCs w:val="22"/>
        </w:rPr>
        <w:t>t</w:t>
      </w:r>
      <w:r w:rsidR="008B5ED1" w:rsidRPr="00DC485D">
        <w:rPr>
          <w:b w:val="0"/>
          <w:szCs w:val="22"/>
        </w:rPr>
        <w:t>h</w:t>
      </w:r>
      <w:r w:rsidRPr="00DC485D">
        <w:rPr>
          <w:b w:val="0"/>
          <w:szCs w:val="22"/>
        </w:rPr>
        <w:t>iomersal</w:t>
      </w:r>
    </w:p>
    <w:p w14:paraId="023070CA" w14:textId="0345D332" w:rsidR="00423957" w:rsidRPr="00DC485D" w:rsidRDefault="00423957" w:rsidP="00423957">
      <w:pPr>
        <w:rPr>
          <w:szCs w:val="22"/>
        </w:rPr>
      </w:pPr>
      <w:r w:rsidRPr="00DC485D">
        <w:rPr>
          <w:szCs w:val="22"/>
        </w:rPr>
        <w:t xml:space="preserve">roztok chloridu sodného </w:t>
      </w:r>
    </w:p>
    <w:p w14:paraId="14C3125A" w14:textId="7AAC72BA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60756B" w14:textId="77777777" w:rsidR="00564BE6" w:rsidRPr="00DC485D" w:rsidRDefault="00564BE6" w:rsidP="00564BE6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Bílá až téměř bílá olejová emulze.</w:t>
      </w:r>
    </w:p>
    <w:p w14:paraId="44BA4C79" w14:textId="1DD8C257" w:rsidR="00564BE6" w:rsidRPr="00DC485D" w:rsidRDefault="00564B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A44087" w14:textId="77777777" w:rsidR="00564BE6" w:rsidRPr="00DC485D" w:rsidRDefault="00564B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3.</w:t>
      </w:r>
      <w:r w:rsidRPr="00DC485D">
        <w:tab/>
        <w:t>Cílové druhy zvířat</w:t>
      </w:r>
    </w:p>
    <w:p w14:paraId="14C3125D" w14:textId="3A4838B8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1AE14F6B" w:rsidR="00E65154" w:rsidRPr="00DC485D" w:rsidRDefault="00423957" w:rsidP="00A9226B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Ovce</w:t>
      </w:r>
    </w:p>
    <w:p w14:paraId="50B06E86" w14:textId="1B8CDC6E" w:rsidR="00423957" w:rsidRPr="00DC485D" w:rsidRDefault="004239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121F6" w14:textId="77777777" w:rsidR="00423957" w:rsidRPr="00DC485D" w:rsidRDefault="004239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4.</w:t>
      </w:r>
      <w:r w:rsidRPr="00DC485D">
        <w:tab/>
        <w:t>Indikace pro použití</w:t>
      </w:r>
    </w:p>
    <w:p w14:paraId="14C3125F" w14:textId="62DEF63C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E7039E" w14:textId="07A209A3" w:rsidR="00423957" w:rsidRPr="00DC485D" w:rsidRDefault="00B2331B" w:rsidP="00423957">
      <w:pPr>
        <w:pStyle w:val="Zkladntext"/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P</w:t>
      </w:r>
      <w:r w:rsidR="00423957" w:rsidRPr="00DC485D">
        <w:rPr>
          <w:szCs w:val="22"/>
        </w:rPr>
        <w:t xml:space="preserve">revence a terapie nakažlivého kulhání ovcí způsobeného </w:t>
      </w:r>
      <w:r w:rsidR="00423957" w:rsidRPr="00DC485D">
        <w:rPr>
          <w:i/>
          <w:iCs/>
          <w:szCs w:val="22"/>
        </w:rPr>
        <w:t>Dichelobacter nodosus.</w:t>
      </w:r>
    </w:p>
    <w:p w14:paraId="6882C1E7" w14:textId="77777777" w:rsidR="00423957" w:rsidRPr="00DC485D" w:rsidRDefault="00423957" w:rsidP="00423957">
      <w:pPr>
        <w:rPr>
          <w:szCs w:val="22"/>
        </w:rPr>
      </w:pPr>
      <w:r w:rsidRPr="00DC485D">
        <w:rPr>
          <w:szCs w:val="22"/>
        </w:rPr>
        <w:t xml:space="preserve">Nástup imunity: Imunita se vyvíjí v průběhu 6 týdnů od první vakcinace </w:t>
      </w:r>
    </w:p>
    <w:p w14:paraId="7B559E58" w14:textId="77777777" w:rsidR="00423957" w:rsidRPr="00DC485D" w:rsidRDefault="00423957" w:rsidP="00423957">
      <w:pPr>
        <w:rPr>
          <w:szCs w:val="22"/>
        </w:rPr>
      </w:pPr>
      <w:r w:rsidRPr="00DC485D">
        <w:rPr>
          <w:szCs w:val="22"/>
        </w:rPr>
        <w:t>Trvání imunity: 6 měsíců</w:t>
      </w:r>
    </w:p>
    <w:p w14:paraId="1E99588E" w14:textId="77777777" w:rsidR="00423957" w:rsidRPr="00DC485D" w:rsidRDefault="004239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0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5.</w:t>
      </w:r>
      <w:r w:rsidRPr="00DC485D">
        <w:tab/>
        <w:t>Kontraindikace</w:t>
      </w:r>
    </w:p>
    <w:p w14:paraId="14C31262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C0AFBE" w14:textId="4E1A21CD" w:rsidR="00423957" w:rsidRPr="00DC485D" w:rsidRDefault="00564BE6" w:rsidP="00423957">
      <w:pPr>
        <w:pStyle w:val="Zkladntext"/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Ne</w:t>
      </w:r>
      <w:r w:rsidR="00423957" w:rsidRPr="00DC485D">
        <w:rPr>
          <w:szCs w:val="22"/>
        </w:rPr>
        <w:t>vakcinovat ovce v období stř</w:t>
      </w:r>
      <w:r w:rsidR="00B2331B" w:rsidRPr="00DC485D">
        <w:rPr>
          <w:szCs w:val="22"/>
        </w:rPr>
        <w:t>i</w:t>
      </w:r>
      <w:r w:rsidR="00423957" w:rsidRPr="00DC485D">
        <w:rPr>
          <w:szCs w:val="22"/>
        </w:rPr>
        <w:t>že (6 - 8 týdnů).</w:t>
      </w:r>
    </w:p>
    <w:p w14:paraId="22DE89AE" w14:textId="77777777" w:rsidR="00423957" w:rsidRPr="00DC485D" w:rsidRDefault="00423957" w:rsidP="00423957">
      <w:pPr>
        <w:pStyle w:val="Zkladntext"/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Nepoužívat u laktujících bahnic.</w:t>
      </w:r>
    </w:p>
    <w:p w14:paraId="4E54A4B6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Doporučujeme neaplikovat přípravek bahnicím v době 4 týdnů před a 4 týdnů po bahnění.</w:t>
      </w:r>
    </w:p>
    <w:p w14:paraId="203FC56B" w14:textId="77777777" w:rsidR="00423957" w:rsidRPr="00DC485D" w:rsidRDefault="00423957" w:rsidP="00423957">
      <w:pPr>
        <w:pStyle w:val="Zkladntext"/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V nahodilých případech může dojít k selhání odpovědi jedince k vakcinaci jako následek imunologické inkompetence nebo jiných příčin.</w:t>
      </w:r>
    </w:p>
    <w:p w14:paraId="14C31263" w14:textId="1F25CEE4" w:rsidR="00EB457B" w:rsidRPr="00DC485D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DC485D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6.</w:t>
      </w:r>
      <w:r w:rsidRPr="00DC485D">
        <w:tab/>
        <w:t>Zvláštní upozornění</w:t>
      </w:r>
    </w:p>
    <w:p w14:paraId="14C31265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15CDA5BA" w:rsidR="00F354C5" w:rsidRPr="00DC485D" w:rsidRDefault="006C6ABC" w:rsidP="00F354C5">
      <w:pPr>
        <w:tabs>
          <w:tab w:val="clear" w:pos="567"/>
        </w:tabs>
        <w:spacing w:line="240" w:lineRule="auto"/>
      </w:pPr>
      <w:r w:rsidRPr="00DC485D">
        <w:rPr>
          <w:szCs w:val="22"/>
          <w:u w:val="single"/>
        </w:rPr>
        <w:t>Zvláštní upozornění</w:t>
      </w:r>
      <w:r w:rsidRPr="00DC485D">
        <w:t>:</w:t>
      </w:r>
    </w:p>
    <w:p w14:paraId="76253220" w14:textId="5F19F6DB" w:rsidR="00564BE6" w:rsidRPr="00DC485D" w:rsidRDefault="008B5ED1" w:rsidP="00564BE6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Nejsou.</w:t>
      </w:r>
    </w:p>
    <w:p w14:paraId="14C31269" w14:textId="77777777" w:rsidR="00F354C5" w:rsidRPr="00DC485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DC485D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  <w:u w:val="single"/>
        </w:rPr>
        <w:t>Zvláštní opatření pro bezpečné použití u cílových druhů zvířat</w:t>
      </w:r>
      <w:r w:rsidRPr="00DC485D">
        <w:t>:</w:t>
      </w:r>
    </w:p>
    <w:p w14:paraId="4A157517" w14:textId="77777777" w:rsidR="00564BE6" w:rsidRPr="00DC485D" w:rsidRDefault="00564BE6" w:rsidP="00564BE6">
      <w:pPr>
        <w:pStyle w:val="Zkladntext"/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lastRenderedPageBreak/>
        <w:t>Pokud možno nedoporučujeme vakcinovat ovce určené k výstavám nebo k prodeji v době 6 měsíců předem (důvodem je možný výskyt těžkých lokálních reakcí po nesprávné aplikaci, které mohou vyústit v lokální pigmentaci vlny).</w:t>
      </w:r>
    </w:p>
    <w:p w14:paraId="14C3126B" w14:textId="77777777" w:rsidR="00F354C5" w:rsidRPr="00DC485D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DC485D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  <w:u w:val="single"/>
        </w:rPr>
        <w:t>Zvláštní opatření pro osobu, která podává veterinární léčivý přípravek zvířatům</w:t>
      </w:r>
      <w:r w:rsidRPr="00DC485D">
        <w:t>:</w:t>
      </w:r>
    </w:p>
    <w:p w14:paraId="4BE61604" w14:textId="77777777" w:rsidR="006A600D" w:rsidRPr="00DC485D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C485D">
        <w:t>Pro uživatele:</w:t>
      </w:r>
    </w:p>
    <w:p w14:paraId="54E77D94" w14:textId="77777777" w:rsidR="006A600D" w:rsidRPr="00DC485D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C485D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4FC986B5" w14:textId="77777777" w:rsidR="006A600D" w:rsidRPr="00DC485D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141B5D5" w14:textId="77777777" w:rsidR="006A600D" w:rsidRPr="00DC485D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C485D">
        <w:t>Pro lékaře:</w:t>
      </w:r>
    </w:p>
    <w:p w14:paraId="50E96B51" w14:textId="77777777" w:rsidR="006A600D" w:rsidRPr="00DC485D" w:rsidRDefault="006A600D" w:rsidP="006A60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DC485D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26D" w14:textId="77777777" w:rsidR="002F6DAA" w:rsidRPr="00DC485D" w:rsidRDefault="002F6DAA" w:rsidP="005B1FD0">
      <w:pPr>
        <w:rPr>
          <w:szCs w:val="22"/>
          <w:u w:val="single"/>
        </w:rPr>
      </w:pPr>
    </w:p>
    <w:p w14:paraId="14C3126E" w14:textId="25B67953" w:rsidR="005B1FD0" w:rsidRPr="00DC485D" w:rsidRDefault="006C6ABC" w:rsidP="005B1FD0">
      <w:pPr>
        <w:rPr>
          <w:szCs w:val="22"/>
        </w:rPr>
      </w:pPr>
      <w:r w:rsidRPr="00DC485D">
        <w:rPr>
          <w:szCs w:val="22"/>
          <w:u w:val="single"/>
        </w:rPr>
        <w:t>Zvláštní opatření pro ochranu životního prostředí</w:t>
      </w:r>
      <w:r w:rsidRPr="00DC485D">
        <w:t>:</w:t>
      </w:r>
    </w:p>
    <w:p w14:paraId="14C3126F" w14:textId="70FF29FE" w:rsidR="00F354C5" w:rsidRPr="00DC485D" w:rsidRDefault="00423957" w:rsidP="00A9226B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Neuplatňuje se.</w:t>
      </w:r>
    </w:p>
    <w:p w14:paraId="14C31275" w14:textId="77777777" w:rsidR="005B1FD0" w:rsidRPr="00DC485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DC485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  <w:u w:val="single"/>
        </w:rPr>
        <w:t>Březost a laktace</w:t>
      </w:r>
      <w:r w:rsidRPr="00DC485D">
        <w:t>:</w:t>
      </w:r>
    </w:p>
    <w:p w14:paraId="7B70BBD6" w14:textId="77777777" w:rsidR="006A600D" w:rsidRPr="00DC485D" w:rsidRDefault="006A600D" w:rsidP="006A600D">
      <w:pPr>
        <w:tabs>
          <w:tab w:val="clear" w:pos="567"/>
        </w:tabs>
        <w:spacing w:line="240" w:lineRule="auto"/>
        <w:rPr>
          <w:rFonts w:eastAsia="MS Mincho"/>
          <w:szCs w:val="22"/>
        </w:rPr>
      </w:pPr>
      <w:r w:rsidRPr="00DC485D">
        <w:rPr>
          <w:rFonts w:eastAsia="MS Mincho"/>
          <w:szCs w:val="22"/>
        </w:rPr>
        <w:t>Doporučujeme neaplikovat přípravek bahnicím v době 4 týdny před a 4 týdny po bahnění.</w:t>
      </w:r>
    </w:p>
    <w:p w14:paraId="2EE2EB4B" w14:textId="77777777" w:rsidR="006A600D" w:rsidRPr="00DC485D" w:rsidRDefault="006A600D" w:rsidP="006A600D">
      <w:pPr>
        <w:tabs>
          <w:tab w:val="clear" w:pos="567"/>
        </w:tabs>
        <w:spacing w:line="240" w:lineRule="auto"/>
        <w:rPr>
          <w:rFonts w:eastAsia="MS Mincho"/>
          <w:szCs w:val="22"/>
        </w:rPr>
      </w:pPr>
      <w:r w:rsidRPr="00DC485D">
        <w:rPr>
          <w:rFonts w:eastAsia="MS Mincho"/>
          <w:szCs w:val="22"/>
        </w:rPr>
        <w:t>Nepoužívat u laktujících bahnic.</w:t>
      </w:r>
    </w:p>
    <w:p w14:paraId="14C3127B" w14:textId="77777777" w:rsidR="005B1FD0" w:rsidRPr="00DC485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DC485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DC485D">
        <w:rPr>
          <w:szCs w:val="22"/>
          <w:u w:val="single"/>
        </w:rPr>
        <w:t>Interakce s jinými léčivými přípravky a další formy interakce</w:t>
      </w:r>
      <w:r w:rsidRPr="00DC485D">
        <w:t>:</w:t>
      </w:r>
    </w:p>
    <w:bookmarkEnd w:id="0"/>
    <w:p w14:paraId="6F765921" w14:textId="77777777" w:rsidR="00423957" w:rsidRPr="00DC485D" w:rsidRDefault="00423957" w:rsidP="00423957">
      <w:pPr>
        <w:jc w:val="both"/>
        <w:rPr>
          <w:szCs w:val="22"/>
        </w:rPr>
      </w:pPr>
      <w:r w:rsidRPr="00DC485D"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4C3127D" w14:textId="77777777" w:rsidR="005B1FD0" w:rsidRPr="00DC485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DC485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  <w:u w:val="single"/>
        </w:rPr>
        <w:t>Předávkování</w:t>
      </w:r>
      <w:r w:rsidRPr="00DC485D">
        <w:t>:</w:t>
      </w:r>
    </w:p>
    <w:p w14:paraId="24ECFFED" w14:textId="4DB3859D" w:rsidR="00564BE6" w:rsidRPr="00DC485D" w:rsidRDefault="00564BE6" w:rsidP="00564BE6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Po podání dvojnásobné dávky se neobjevují žádné jiné nežádoucí účinky než ty, které jsou uvedeny v bodě Nežádoucí účinky.</w:t>
      </w:r>
    </w:p>
    <w:p w14:paraId="14C3127F" w14:textId="77777777" w:rsidR="005B1FD0" w:rsidRPr="00DC485D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DC485D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  <w:u w:val="single"/>
        </w:rPr>
        <w:t>Hlavní inkompatibility</w:t>
      </w:r>
      <w:r w:rsidRPr="00DC485D">
        <w:t>:</w:t>
      </w:r>
    </w:p>
    <w:p w14:paraId="61553317" w14:textId="77777777" w:rsidR="006A600D" w:rsidRPr="00DC485D" w:rsidRDefault="006A600D" w:rsidP="006A600D">
      <w:pPr>
        <w:pStyle w:val="spc2"/>
        <w:ind w:left="0"/>
        <w:jc w:val="both"/>
        <w:rPr>
          <w:szCs w:val="22"/>
          <w:lang w:val="cs-CZ"/>
        </w:rPr>
      </w:pPr>
      <w:r w:rsidRPr="00DC485D">
        <w:rPr>
          <w:szCs w:val="22"/>
          <w:lang w:val="cs-CZ"/>
        </w:rPr>
        <w:t>Nemísit s jiným veterinárním léčivým přípravkem.</w:t>
      </w:r>
    </w:p>
    <w:p w14:paraId="14C31283" w14:textId="77777777" w:rsidR="005B1FD0" w:rsidRPr="00DC485D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DC485D" w:rsidRDefault="006C6ABC" w:rsidP="00B13B6D">
      <w:pPr>
        <w:pStyle w:val="Style1"/>
      </w:pPr>
      <w:bookmarkStart w:id="1" w:name="_Hlk105754214"/>
      <w:r w:rsidRPr="00DC485D">
        <w:rPr>
          <w:highlight w:val="lightGray"/>
        </w:rPr>
        <w:t>7.</w:t>
      </w:r>
      <w:r w:rsidRPr="00DC485D">
        <w:tab/>
        <w:t>Nežádoucí účinky</w:t>
      </w:r>
    </w:p>
    <w:p w14:paraId="14C31286" w14:textId="2686737F" w:rsidR="00C114FF" w:rsidRPr="00DC485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1890EE" w14:textId="77777777" w:rsidR="00DB60E3" w:rsidRPr="00DC485D" w:rsidRDefault="00DB60E3" w:rsidP="00DB60E3">
      <w:pPr>
        <w:tabs>
          <w:tab w:val="clear" w:pos="567"/>
        </w:tabs>
        <w:spacing w:line="240" w:lineRule="auto"/>
        <w:rPr>
          <w:szCs w:val="22"/>
        </w:rPr>
      </w:pPr>
      <w:r w:rsidRPr="00DC485D">
        <w:t>Ovce:</w:t>
      </w:r>
    </w:p>
    <w:p w14:paraId="387CC5EA" w14:textId="77777777" w:rsidR="00DB60E3" w:rsidRPr="00DC485D" w:rsidRDefault="00DB60E3" w:rsidP="00DB60E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B60E3" w:rsidRPr="00DC485D" w14:paraId="672715B6" w14:textId="77777777" w:rsidTr="00815DC6">
        <w:tc>
          <w:tcPr>
            <w:tcW w:w="1957" w:type="pct"/>
          </w:tcPr>
          <w:p w14:paraId="25C1787A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t>Velmi časté</w:t>
            </w:r>
          </w:p>
          <w:p w14:paraId="0A37AB54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t>(&gt; 1 zvíře / 10 ošetřených zvířat):</w:t>
            </w:r>
          </w:p>
        </w:tc>
        <w:tc>
          <w:tcPr>
            <w:tcW w:w="3043" w:type="pct"/>
          </w:tcPr>
          <w:p w14:paraId="14B4622D" w14:textId="77777777" w:rsidR="00DB60E3" w:rsidRPr="00DC485D" w:rsidRDefault="00DB60E3" w:rsidP="00815DC6">
            <w:pPr>
              <w:spacing w:before="60" w:after="60"/>
              <w:rPr>
                <w:iCs/>
                <w:szCs w:val="22"/>
              </w:rPr>
            </w:pPr>
            <w:r w:rsidRPr="00DC485D">
              <w:rPr>
                <w:iCs/>
                <w:szCs w:val="22"/>
              </w:rPr>
              <w:t>Otok v místě injekčního podání</w:t>
            </w:r>
            <w:r w:rsidRPr="00DC485D">
              <w:rPr>
                <w:iCs/>
                <w:szCs w:val="22"/>
                <w:vertAlign w:val="superscript"/>
              </w:rPr>
              <w:t>1</w:t>
            </w:r>
          </w:p>
        </w:tc>
      </w:tr>
      <w:tr w:rsidR="00DB60E3" w:rsidRPr="00DC485D" w14:paraId="7A555AFE" w14:textId="77777777" w:rsidTr="00815DC6">
        <w:tc>
          <w:tcPr>
            <w:tcW w:w="1957" w:type="pct"/>
          </w:tcPr>
          <w:p w14:paraId="6178DE40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t>Časté</w:t>
            </w:r>
          </w:p>
          <w:p w14:paraId="74F3361B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t>(1 až 10 zvířat / 100 ošetřených zvířat):</w:t>
            </w:r>
          </w:p>
        </w:tc>
        <w:tc>
          <w:tcPr>
            <w:tcW w:w="3043" w:type="pct"/>
          </w:tcPr>
          <w:p w14:paraId="316FA97D" w14:textId="77777777" w:rsidR="00DB60E3" w:rsidRPr="00DC485D" w:rsidRDefault="00DB60E3" w:rsidP="00815DC6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DC485D">
              <w:rPr>
                <w:iCs/>
                <w:szCs w:val="22"/>
              </w:rPr>
              <w:t>Kulhání</w:t>
            </w:r>
            <w:r w:rsidRPr="00DC485D">
              <w:rPr>
                <w:iCs/>
                <w:szCs w:val="22"/>
                <w:vertAlign w:val="superscript"/>
              </w:rPr>
              <w:t>2</w:t>
            </w:r>
          </w:p>
          <w:p w14:paraId="23C5E7AB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rPr>
                <w:szCs w:val="22"/>
              </w:rPr>
              <w:t>Zvýšená teplota, apatie, snížená chuť k příjmu potravy</w:t>
            </w:r>
          </w:p>
        </w:tc>
      </w:tr>
      <w:tr w:rsidR="00DB60E3" w:rsidRPr="00DC485D" w14:paraId="02213B5A" w14:textId="77777777" w:rsidTr="00815DC6">
        <w:tc>
          <w:tcPr>
            <w:tcW w:w="1957" w:type="pct"/>
          </w:tcPr>
          <w:p w14:paraId="3790B43D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t>Velmi vzácné</w:t>
            </w:r>
          </w:p>
          <w:p w14:paraId="455F6CA4" w14:textId="77777777" w:rsidR="00DB60E3" w:rsidRPr="00DC485D" w:rsidRDefault="00DB60E3" w:rsidP="00815DC6">
            <w:pPr>
              <w:spacing w:before="60" w:after="60"/>
              <w:rPr>
                <w:szCs w:val="22"/>
              </w:rPr>
            </w:pPr>
            <w:r w:rsidRPr="00DC485D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78D7994E" w14:textId="77777777" w:rsidR="00DB60E3" w:rsidRPr="00DC485D" w:rsidRDefault="00DB60E3" w:rsidP="00815DC6">
            <w:pPr>
              <w:spacing w:before="60" w:after="60"/>
              <w:rPr>
                <w:iCs/>
                <w:szCs w:val="22"/>
              </w:rPr>
            </w:pPr>
            <w:r w:rsidRPr="00DC485D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</w:t>
            </w:r>
            <w:r w:rsidRPr="00DC485D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>3</w:t>
            </w:r>
          </w:p>
        </w:tc>
      </w:tr>
    </w:tbl>
    <w:p w14:paraId="4FEEA278" w14:textId="2B8F1E5B" w:rsidR="00DB60E3" w:rsidRPr="00DC485D" w:rsidRDefault="00DB60E3" w:rsidP="00DB60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DC485D">
        <w:rPr>
          <w:sz w:val="20"/>
          <w:vertAlign w:val="superscript"/>
        </w:rPr>
        <w:lastRenderedPageBreak/>
        <w:t>1</w:t>
      </w:r>
      <w:r w:rsidRPr="00DC485D">
        <w:rPr>
          <w:sz w:val="20"/>
        </w:rPr>
        <w:t xml:space="preserve"> </w:t>
      </w:r>
      <w:r w:rsidR="00212913" w:rsidRPr="00DC485D">
        <w:rPr>
          <w:sz w:val="20"/>
          <w:lang w:eastAsia="nl-NL"/>
        </w:rPr>
        <w:t>Olej ve vakcíně může způsobit reakci v místě injekčního podání. Ta se může projevovat jako mírný otok až dobře definovaná bulka o průměru přibližně 3 cm až 5 cm, nebo dokonce 8 cm, v době přibližně 24 hodin až 8 dnů po injekci. Tyto otoky obecně zůstávají neaktivní a mohou zcela vymizet během 4-6 týdnů, ale často přetrvávají po dobu maximálně 10 týdnů. Příležitostně mohou být tyto otoky velké, bolestivé a nevzhledné, s tvorbou abscesů, které mohou prasknout a vytéct, zvláště pokud v době podání dojde ke kontaminaci kožními bakteriemi. Lze očekávat částečné nebo úplné vymizení do 10 týdnů po podání. Reakce na druhou dávku se vyvíjejí pomaleji, a tvorba nekrotických lézí je vzácná. Při makroskopickém vyšetření míst vpichu mohou být občas zaznamenány abscesy.</w:t>
      </w:r>
    </w:p>
    <w:p w14:paraId="10DBA6F9" w14:textId="34E26B66" w:rsidR="00DB60E3" w:rsidRPr="00DC485D" w:rsidRDefault="00DC485D" w:rsidP="00DB60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DC485D">
        <w:rPr>
          <w:sz w:val="20"/>
          <w:vertAlign w:val="superscript"/>
        </w:rPr>
        <w:t>2</w:t>
      </w:r>
      <w:r w:rsidRPr="00DC485D">
        <w:rPr>
          <w:sz w:val="20"/>
          <w:lang w:eastAsia="nl-NL"/>
        </w:rPr>
        <w:t xml:space="preserve"> Po</w:t>
      </w:r>
      <w:r w:rsidR="00DB60E3" w:rsidRPr="00DC485D">
        <w:rPr>
          <w:sz w:val="20"/>
          <w:lang w:eastAsia="nl-NL"/>
        </w:rPr>
        <w:t xml:space="preserve"> vakcinaci bylo hlášeno generalizované a přechodné kulhání, které se objevilo do 24 hodin po vakcinaci a obvykle nepřetrvávalo déle než 48 hodin.</w:t>
      </w:r>
    </w:p>
    <w:p w14:paraId="55A14C9D" w14:textId="77777777" w:rsidR="00DB60E3" w:rsidRPr="00DC485D" w:rsidRDefault="00DB60E3" w:rsidP="00DB60E3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DC485D">
        <w:rPr>
          <w:sz w:val="20"/>
          <w:vertAlign w:val="superscript"/>
        </w:rPr>
        <w:t>3</w:t>
      </w:r>
      <w:r w:rsidRPr="00DC485D">
        <w:rPr>
          <w:sz w:val="20"/>
        </w:rPr>
        <w:t xml:space="preserve"> </w:t>
      </w:r>
      <w:r w:rsidRPr="00DC485D">
        <w:rPr>
          <w:sz w:val="20"/>
          <w:lang w:eastAsia="nl-NL"/>
        </w:rPr>
        <w:t>V takových případech by měla být neprodleně podána vhodná dávka adrenalinu a/nebo antihistaminik.</w:t>
      </w:r>
    </w:p>
    <w:p w14:paraId="14C31288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1222FCAE" w:rsidR="0064285A" w:rsidRPr="00DC485D" w:rsidRDefault="0064285A" w:rsidP="0064285A">
      <w:pPr>
        <w:rPr>
          <w:szCs w:val="22"/>
        </w:rPr>
      </w:pPr>
      <w:r w:rsidRPr="00DC485D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</w:t>
      </w:r>
    </w:p>
    <w:p w14:paraId="19CCDFD2" w14:textId="4ADD9F74" w:rsidR="00671F8D" w:rsidRPr="00DC485D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DC485D">
        <w:rPr>
          <w:szCs w:val="22"/>
        </w:rPr>
        <w:t>Ústav pro státní kontrolu veterinárních biopreparátů a léčiv</w:t>
      </w:r>
      <w:r w:rsidR="00CF3084" w:rsidRPr="00DC485D">
        <w:rPr>
          <w:szCs w:val="22"/>
        </w:rPr>
        <w:t xml:space="preserve">, </w:t>
      </w:r>
      <w:r w:rsidRPr="00DC485D">
        <w:rPr>
          <w:szCs w:val="22"/>
        </w:rPr>
        <w:t xml:space="preserve">Hudcova </w:t>
      </w:r>
      <w:r w:rsidR="00FF395A" w:rsidRPr="00DC485D">
        <w:rPr>
          <w:szCs w:val="22"/>
        </w:rPr>
        <w:t>232/</w:t>
      </w:r>
      <w:r w:rsidRPr="00DC485D">
        <w:rPr>
          <w:szCs w:val="22"/>
        </w:rPr>
        <w:t>56a</w:t>
      </w:r>
      <w:r w:rsidR="00CF3084" w:rsidRPr="00DC485D">
        <w:rPr>
          <w:szCs w:val="22"/>
        </w:rPr>
        <w:t xml:space="preserve">, </w:t>
      </w:r>
      <w:r w:rsidRPr="00DC485D">
        <w:rPr>
          <w:szCs w:val="22"/>
        </w:rPr>
        <w:t>621 00 Brno</w:t>
      </w:r>
      <w:r w:rsidR="00CF3084" w:rsidRPr="00DC485D">
        <w:rPr>
          <w:szCs w:val="22"/>
        </w:rPr>
        <w:t xml:space="preserve">, </w:t>
      </w:r>
      <w:r w:rsidR="00217431" w:rsidRPr="00DC485D">
        <w:rPr>
          <w:szCs w:val="22"/>
        </w:rPr>
        <w:t>e-m</w:t>
      </w:r>
      <w:r w:rsidRPr="00DC485D">
        <w:rPr>
          <w:szCs w:val="22"/>
        </w:rPr>
        <w:t xml:space="preserve">ail: </w:t>
      </w:r>
      <w:hyperlink r:id="rId8" w:history="1">
        <w:r w:rsidRPr="00DC485D">
          <w:rPr>
            <w:rStyle w:val="Hypertextovodkaz"/>
            <w:szCs w:val="22"/>
          </w:rPr>
          <w:t>adr@uskvbl.cz</w:t>
        </w:r>
      </w:hyperlink>
      <w:r w:rsidR="00CF3084" w:rsidRPr="00DC485D">
        <w:rPr>
          <w:rStyle w:val="Hypertextovodkaz"/>
          <w:szCs w:val="22"/>
        </w:rPr>
        <w:t xml:space="preserve">, </w:t>
      </w:r>
      <w:r w:rsidRPr="00DC485D">
        <w:rPr>
          <w:szCs w:val="22"/>
        </w:rPr>
        <w:t xml:space="preserve">Webové stránky: </w:t>
      </w:r>
      <w:hyperlink r:id="rId9" w:history="1">
        <w:r w:rsidRPr="00DC485D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DC485D" w:rsidRDefault="00671F8D" w:rsidP="00515FDE">
      <w:pPr>
        <w:rPr>
          <w:szCs w:val="22"/>
        </w:rPr>
      </w:pPr>
    </w:p>
    <w:p w14:paraId="14C3128B" w14:textId="77777777" w:rsidR="00F520FE" w:rsidRPr="00DC485D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8.</w:t>
      </w:r>
      <w:r w:rsidRPr="00DC485D">
        <w:tab/>
        <w:t>Dávkování pro každý druh, cesty a způsob podání</w:t>
      </w:r>
    </w:p>
    <w:p w14:paraId="14C3128D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BA5955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Vakcinační dávka je 1ml.</w:t>
      </w:r>
    </w:p>
    <w:p w14:paraId="4201C488" w14:textId="78AE132E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Aplikuje se subkutánně po straně krku nejlépe 5</w:t>
      </w:r>
      <w:r w:rsidR="005714BA" w:rsidRPr="00DC485D">
        <w:rPr>
          <w:szCs w:val="22"/>
        </w:rPr>
        <w:t xml:space="preserve"> </w:t>
      </w:r>
      <w:r w:rsidRPr="00DC485D">
        <w:rPr>
          <w:szCs w:val="22"/>
        </w:rPr>
        <w:t>-</w:t>
      </w:r>
      <w:smartTag w:uri="urn:schemas-microsoft-com:office:smarttags" w:element="metricconverter">
        <w:smartTagPr>
          <w:attr w:name="ProductID" w:val="7,5 cm"/>
        </w:smartTagPr>
        <w:r w:rsidR="005714BA" w:rsidRPr="00DC485D">
          <w:rPr>
            <w:szCs w:val="22"/>
          </w:rPr>
          <w:t xml:space="preserve"> </w:t>
        </w:r>
        <w:r w:rsidRPr="00DC485D">
          <w:rPr>
            <w:szCs w:val="22"/>
          </w:rPr>
          <w:t>7,5 cm</w:t>
        </w:r>
      </w:smartTag>
      <w:r w:rsidRPr="00DC485D">
        <w:rPr>
          <w:szCs w:val="22"/>
        </w:rPr>
        <w:t xml:space="preserve"> za ucho zvířete.</w:t>
      </w:r>
    </w:p>
    <w:p w14:paraId="58DD6727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</w:p>
    <w:p w14:paraId="40CB3A87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  <w:u w:val="single"/>
        </w:rPr>
      </w:pPr>
      <w:r w:rsidRPr="00DC485D">
        <w:rPr>
          <w:szCs w:val="22"/>
          <w:u w:val="single"/>
        </w:rPr>
        <w:t>Vakcinační program:</w:t>
      </w:r>
    </w:p>
    <w:p w14:paraId="4F913472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>Je třeba přizpůsobit konkrétnímu stádu v závislosti na jeho specifických požadavcích. Vakcinační schéma se může měnit sezónu od sezóny zvláště z důvodu nákazové situace (chov ohrožený nebo postižený nákazou).</w:t>
      </w:r>
    </w:p>
    <w:p w14:paraId="1095C65E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>Kdekoli je to možné, doporučujeme vakcinovat celé stádo. V tomto případě dochází k výraznému snížení incidence onemocnění a následně i rizika vzplanutí onemocnění z prostředí.</w:t>
      </w:r>
    </w:p>
    <w:p w14:paraId="5CE7CC87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>Vakcinují se jehňata od stáří po 4. týdnu věku.</w:t>
      </w:r>
    </w:p>
    <w:p w14:paraId="439E42B7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  <w:u w:val="single"/>
        </w:rPr>
      </w:pPr>
      <w:r w:rsidRPr="00DC485D">
        <w:rPr>
          <w:szCs w:val="22"/>
          <w:u w:val="single"/>
        </w:rPr>
        <w:t>Preventivní program:</w:t>
      </w:r>
    </w:p>
    <w:p w14:paraId="297240FF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 xml:space="preserve">Vakcinace se zahájí úvodní dávkou. </w:t>
      </w:r>
    </w:p>
    <w:p w14:paraId="1F343A4D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 xml:space="preserve">Další dávky pak následují v závislosti na nákazové situaci ve stádě a/nebo klimatických podmínkách. Jestliže po 4-6 týdnech od vakcinace přetrvává incidence postižení stáda na stejné úrovni nebo přetrvává počasí, které podporuje vznik onemocnění, aplikujte 2. dávku. V opačném případě můžete oddálit aplikaci do doby, kdy podmínky budou signalizovat možný návrat postižení stáda. </w:t>
      </w:r>
    </w:p>
    <w:p w14:paraId="31AD5046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>Následné dávkování může být také prováděno v závislosti na běžných podmínkách. V těchto případech, kdy stádo je postiženo onemocněním těžce a/nebo dlouhodobě, je nezbytná revakcinace v 4-5 měsíčních intervalech. Následně při příznivém vývoji nákazové situace a podmínek chovu může být vakcinace odložena do doby zvýšení incidence onemocnění ve stádu a/nebo zhoršení klimatických podmínek.</w:t>
      </w:r>
    </w:p>
    <w:p w14:paraId="60ED5F06" w14:textId="77777777" w:rsidR="00423957" w:rsidRPr="00DC485D" w:rsidRDefault="00423957" w:rsidP="00423957">
      <w:pPr>
        <w:tabs>
          <w:tab w:val="num" w:pos="0"/>
          <w:tab w:val="num" w:pos="709"/>
        </w:tabs>
        <w:jc w:val="both"/>
        <w:rPr>
          <w:szCs w:val="22"/>
        </w:rPr>
      </w:pPr>
      <w:r w:rsidRPr="00DC485D">
        <w:rPr>
          <w:szCs w:val="22"/>
        </w:rPr>
        <w:t>Nejčastější propuknutí nákazy je v období březen-květen a říjen-prosinec. Pokud je očekáváno propuknutí nákazy nebo zhoršení nákazové situace, měla by být provedena vakcinace před tímto obdobím.</w:t>
      </w:r>
    </w:p>
    <w:p w14:paraId="0D6361F8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  <w:u w:val="single"/>
        </w:rPr>
      </w:pPr>
      <w:r w:rsidRPr="00DC485D">
        <w:rPr>
          <w:szCs w:val="22"/>
          <w:u w:val="single"/>
        </w:rPr>
        <w:t>Léčebný program:</w:t>
      </w:r>
    </w:p>
    <w:p w14:paraId="38B21314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Úvodní dávka se aplikuje celému chovu okamžitě při objevení se zřetelných příznaků onemocnění. Pro maximální efekt takto započaté terapie doporučujeme současnou aplikaci antibiotik a ošetření a koupel paznehtů.</w:t>
      </w:r>
    </w:p>
    <w:p w14:paraId="2292B1A5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 xml:space="preserve">Následná revakcinace se pak provádí tak, jak je popsáno v preventivním programu. V tomto případě doporučujeme rozhodně navrhované schéma dodržet jako klíčový faktor pro celkovou kontrolu onemocnění v příslušném stádě. </w:t>
      </w:r>
    </w:p>
    <w:p w14:paraId="14C3128E" w14:textId="050A6906" w:rsidR="00C80401" w:rsidRPr="00DC485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6BC83E" w14:textId="77777777" w:rsidR="00423957" w:rsidRPr="00DC485D" w:rsidRDefault="004239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9.</w:t>
      </w:r>
      <w:r w:rsidRPr="00DC485D">
        <w:tab/>
        <w:t>Informace o správném podávání</w:t>
      </w:r>
    </w:p>
    <w:p w14:paraId="14C31290" w14:textId="77777777" w:rsidR="00F520FE" w:rsidRPr="00DC485D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CE334ED" w14:textId="77777777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Před použitím pečlivě protřepat.</w:t>
      </w:r>
    </w:p>
    <w:p w14:paraId="3372515F" w14:textId="70DF763F" w:rsidR="00423957" w:rsidRPr="00DC485D" w:rsidRDefault="00423957" w:rsidP="00423957">
      <w:pPr>
        <w:tabs>
          <w:tab w:val="num" w:pos="0"/>
          <w:tab w:val="num" w:pos="709"/>
        </w:tabs>
        <w:rPr>
          <w:szCs w:val="22"/>
        </w:rPr>
      </w:pPr>
      <w:r w:rsidRPr="00DC485D">
        <w:rPr>
          <w:szCs w:val="22"/>
        </w:rPr>
        <w:t>Jelikož vakcína obsahuje olejovité adjuvans, je spíše viskózní. V chladném počasí je proto v zájmu snadnější aplikace doporučeno vakcínu mírně zahřát v teplé (ne vřelé!) vodě po dobu 3</w:t>
      </w:r>
      <w:r w:rsidR="005714BA" w:rsidRPr="00DC485D">
        <w:rPr>
          <w:szCs w:val="22"/>
        </w:rPr>
        <w:t xml:space="preserve"> </w:t>
      </w:r>
      <w:r w:rsidRPr="00DC485D">
        <w:rPr>
          <w:szCs w:val="22"/>
        </w:rPr>
        <w:t>-</w:t>
      </w:r>
      <w:r w:rsidR="005714BA" w:rsidRPr="00DC485D">
        <w:rPr>
          <w:szCs w:val="22"/>
        </w:rPr>
        <w:t xml:space="preserve"> </w:t>
      </w:r>
      <w:r w:rsidRPr="00DC485D">
        <w:rPr>
          <w:szCs w:val="22"/>
        </w:rPr>
        <w:t>4 minut před zahájením vlastní aplikace.</w:t>
      </w:r>
    </w:p>
    <w:p w14:paraId="33FFBF0B" w14:textId="77777777" w:rsidR="00564BE6" w:rsidRPr="00DC485D" w:rsidRDefault="00564BE6" w:rsidP="00564BE6">
      <w:pPr>
        <w:pStyle w:val="Zkladntextodsazen2"/>
        <w:tabs>
          <w:tab w:val="num" w:pos="0"/>
          <w:tab w:val="num" w:pos="284"/>
          <w:tab w:val="num" w:pos="709"/>
        </w:tabs>
        <w:rPr>
          <w:b w:val="0"/>
          <w:szCs w:val="22"/>
        </w:rPr>
      </w:pPr>
      <w:r w:rsidRPr="00DC485D">
        <w:rPr>
          <w:b w:val="0"/>
          <w:szCs w:val="22"/>
        </w:rPr>
        <w:t xml:space="preserve">K aplikaci používejte pouze sterilní materiál a aplikaci provádějte přes suchou, čistou a asepticky </w:t>
      </w:r>
    </w:p>
    <w:p w14:paraId="7550C888" w14:textId="77777777" w:rsidR="00564BE6" w:rsidRPr="00DC485D" w:rsidRDefault="00564BE6" w:rsidP="00564BE6">
      <w:pPr>
        <w:pStyle w:val="Zkladntextodsazen2"/>
        <w:tabs>
          <w:tab w:val="num" w:pos="0"/>
          <w:tab w:val="num" w:pos="284"/>
          <w:tab w:val="num" w:pos="709"/>
        </w:tabs>
        <w:rPr>
          <w:b w:val="0"/>
          <w:szCs w:val="22"/>
        </w:rPr>
      </w:pPr>
      <w:r w:rsidRPr="00DC485D">
        <w:rPr>
          <w:b w:val="0"/>
          <w:szCs w:val="22"/>
        </w:rPr>
        <w:t>ošetřenou kůži.</w:t>
      </w:r>
    </w:p>
    <w:p w14:paraId="372A0ACF" w14:textId="77777777" w:rsidR="00564BE6" w:rsidRPr="00DC485D" w:rsidRDefault="00564BE6" w:rsidP="00564BE6">
      <w:pPr>
        <w:pStyle w:val="Zkladntextodsazen2"/>
        <w:tabs>
          <w:tab w:val="num" w:pos="0"/>
          <w:tab w:val="num" w:pos="284"/>
          <w:tab w:val="num" w:pos="709"/>
        </w:tabs>
        <w:rPr>
          <w:b w:val="0"/>
          <w:szCs w:val="22"/>
        </w:rPr>
      </w:pPr>
      <w:r w:rsidRPr="00DC485D">
        <w:rPr>
          <w:b w:val="0"/>
          <w:szCs w:val="22"/>
        </w:rPr>
        <w:t>Tomuto upozornění věnujte zvýšenou pozornost pro snížení rizika výskytu abscesů.</w:t>
      </w:r>
    </w:p>
    <w:p w14:paraId="14C31292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DC485D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DC485D" w:rsidRDefault="006C6ABC" w:rsidP="00B13B6D">
      <w:pPr>
        <w:pStyle w:val="Style1"/>
      </w:pPr>
      <w:r w:rsidRPr="00DC485D">
        <w:rPr>
          <w:highlight w:val="lightGray"/>
        </w:rPr>
        <w:t>10.</w:t>
      </w:r>
      <w:r w:rsidRPr="00DC485D">
        <w:tab/>
        <w:t>Ochranné lhůty</w:t>
      </w:r>
    </w:p>
    <w:p w14:paraId="14C31295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Pr="00DC485D" w:rsidRDefault="00BE569B" w:rsidP="00BE569B">
      <w:pPr>
        <w:pStyle w:val="spc2"/>
        <w:ind w:left="0"/>
        <w:rPr>
          <w:szCs w:val="22"/>
          <w:lang w:val="cs-CZ"/>
        </w:rPr>
      </w:pPr>
      <w:r w:rsidRPr="00DC485D">
        <w:rPr>
          <w:szCs w:val="22"/>
          <w:lang w:val="cs-CZ"/>
        </w:rPr>
        <w:t>Bez ochranných lhůt.</w:t>
      </w:r>
    </w:p>
    <w:p w14:paraId="14C31296" w14:textId="692FE46A" w:rsidR="00DB468A" w:rsidRPr="00DC485D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DC485D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11.</w:t>
      </w:r>
      <w:r w:rsidRPr="00DC485D">
        <w:tab/>
        <w:t>Zvláštní opatření pro uchovávání</w:t>
      </w:r>
    </w:p>
    <w:p w14:paraId="14C31298" w14:textId="77777777" w:rsidR="00C114FF" w:rsidRPr="00DC485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DC485D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DC485D">
        <w:t>Uchovávejte mimo dohled a dosah dětí.</w:t>
      </w:r>
    </w:p>
    <w:bookmarkEnd w:id="3"/>
    <w:p w14:paraId="14C3129A" w14:textId="410F4E16" w:rsidR="00C114FF" w:rsidRPr="00DC485D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DC485D" w:rsidRDefault="003C426E" w:rsidP="003C426E">
      <w:pPr>
        <w:pStyle w:val="Style5"/>
      </w:pPr>
      <w:r w:rsidRPr="00DC485D">
        <w:t>Uchovávejte v chladničce (2 °C – 8 °C).</w:t>
      </w:r>
    </w:p>
    <w:p w14:paraId="1DAAAD0C" w14:textId="77777777" w:rsidR="003C426E" w:rsidRPr="00DC485D" w:rsidRDefault="003C426E" w:rsidP="003C426E">
      <w:pPr>
        <w:pStyle w:val="Style5"/>
      </w:pPr>
      <w:r w:rsidRPr="00DC485D">
        <w:t>Chraňte před mrazem.</w:t>
      </w:r>
    </w:p>
    <w:p w14:paraId="37BD6606" w14:textId="77777777" w:rsidR="003C426E" w:rsidRPr="00DC485D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DC485D">
        <w:t>Chraňte před světlem.</w:t>
      </w:r>
    </w:p>
    <w:p w14:paraId="0333789D" w14:textId="2A2817A8" w:rsidR="003C426E" w:rsidRPr="00DC485D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DC485D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DC485D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DC485D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03A7B46" w14:textId="33622563" w:rsidR="00564BE6" w:rsidRPr="00DC485D" w:rsidRDefault="00564BE6" w:rsidP="00564BE6">
      <w:pPr>
        <w:tabs>
          <w:tab w:val="clear" w:pos="567"/>
        </w:tabs>
        <w:spacing w:line="240" w:lineRule="auto"/>
        <w:rPr>
          <w:szCs w:val="22"/>
        </w:rPr>
      </w:pPr>
      <w:r w:rsidRPr="00DC485D">
        <w:t>Doba použitelnosti po prvním otevření vnitřního obalu: 2</w:t>
      </w:r>
      <w:r w:rsidR="005714BA" w:rsidRPr="00DC485D">
        <w:t xml:space="preserve"> </w:t>
      </w:r>
      <w:r w:rsidRPr="00DC485D">
        <w:t>-</w:t>
      </w:r>
      <w:r w:rsidR="005714BA" w:rsidRPr="00DC485D">
        <w:t xml:space="preserve"> </w:t>
      </w:r>
      <w:r w:rsidRPr="00DC485D">
        <w:t>4 hodiny.</w:t>
      </w:r>
    </w:p>
    <w:p w14:paraId="14C312BB" w14:textId="513D01A0" w:rsidR="0043320A" w:rsidRPr="00DC485D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742A4C" w14:textId="77777777" w:rsidR="00E052FB" w:rsidRPr="00DC485D" w:rsidRDefault="00E052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12.</w:t>
      </w:r>
      <w:r w:rsidRPr="00DC485D">
        <w:tab/>
        <w:t xml:space="preserve">Zvláštní opatření pro </w:t>
      </w:r>
      <w:r w:rsidR="00CF069C" w:rsidRPr="00DC485D">
        <w:t>likvidaci</w:t>
      </w:r>
    </w:p>
    <w:p w14:paraId="14C312BD" w14:textId="6DBC9EDC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DC485D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DC485D">
        <w:t>Léčivé přípravky se nesmí likvidovat prostřednictvím odpadní vody či domovního odpadu.</w:t>
      </w:r>
    </w:p>
    <w:p w14:paraId="782749E4" w14:textId="77777777" w:rsidR="00515FDE" w:rsidRPr="00DC485D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DC485D" w:rsidRDefault="00D774A4" w:rsidP="00D774A4">
      <w:pPr>
        <w:rPr>
          <w:szCs w:val="22"/>
        </w:rPr>
      </w:pPr>
      <w:r w:rsidRPr="00DC485D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DC485D">
        <w:t xml:space="preserve"> </w:t>
      </w:r>
      <w:r w:rsidRPr="00DC485D">
        <w:t>Tato opatření napomáhají chránit životní prostředí.</w:t>
      </w:r>
    </w:p>
    <w:p w14:paraId="61125DC4" w14:textId="77777777" w:rsidR="00381AFD" w:rsidRPr="00DC485D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DC485D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4" w:name="_Hlk125636917"/>
      <w:r w:rsidRPr="00DC485D">
        <w:t>O možnostech likvidace nepotřebných léčivých přípravků se poraďte s vaším veterinárním lékařem nebo lékárníkem.</w:t>
      </w:r>
    </w:p>
    <w:bookmarkEnd w:id="4"/>
    <w:p w14:paraId="14C312C3" w14:textId="77777777" w:rsidR="00DB468A" w:rsidRPr="00DC485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DC485D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DC485D" w:rsidRDefault="006C6ABC" w:rsidP="00B13B6D">
      <w:pPr>
        <w:pStyle w:val="Style1"/>
      </w:pPr>
      <w:r w:rsidRPr="00DC485D">
        <w:rPr>
          <w:highlight w:val="lightGray"/>
        </w:rPr>
        <w:t>13.</w:t>
      </w:r>
      <w:r w:rsidRPr="00DC485D">
        <w:tab/>
        <w:t>Klasifikace veterinárních léčivých přípravků</w:t>
      </w:r>
    </w:p>
    <w:p w14:paraId="14C312C8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DC485D" w:rsidRDefault="007264EA" w:rsidP="007264EA">
      <w:pPr>
        <w:numPr>
          <w:ilvl w:val="12"/>
          <w:numId w:val="0"/>
        </w:numPr>
      </w:pPr>
      <w:r w:rsidRPr="00DC485D">
        <w:t>Veterinární léčivý přípravek je vydáván pouze na předpis.</w:t>
      </w:r>
    </w:p>
    <w:p w14:paraId="14C312C9" w14:textId="4CB1DAEB" w:rsidR="00DB468A" w:rsidRPr="00DC485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DC485D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DC485D" w:rsidRDefault="006C6ABC" w:rsidP="00B13B6D">
      <w:pPr>
        <w:pStyle w:val="Style1"/>
      </w:pPr>
      <w:r w:rsidRPr="00DC485D">
        <w:rPr>
          <w:highlight w:val="lightGray"/>
        </w:rPr>
        <w:t>14.</w:t>
      </w:r>
      <w:r w:rsidRPr="00DC485D">
        <w:tab/>
        <w:t>Registrační čísla a velikosti balení</w:t>
      </w:r>
    </w:p>
    <w:p w14:paraId="14C312CB" w14:textId="27717D04" w:rsidR="00DB468A" w:rsidRPr="00DC485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D9244D" w14:textId="77777777" w:rsidR="002208E1" w:rsidRPr="00DC485D" w:rsidRDefault="002208E1" w:rsidP="002208E1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97/023/01-C</w:t>
      </w:r>
    </w:p>
    <w:p w14:paraId="47D5C451" w14:textId="77777777" w:rsidR="002208E1" w:rsidRPr="00DC485D" w:rsidRDefault="002208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6CEB9F" w14:textId="7313D72D" w:rsidR="00E052FB" w:rsidRPr="00DC485D" w:rsidRDefault="00564BE6" w:rsidP="00DB468A">
      <w:pPr>
        <w:tabs>
          <w:tab w:val="clear" w:pos="567"/>
        </w:tabs>
        <w:spacing w:line="240" w:lineRule="auto"/>
      </w:pPr>
      <w:r w:rsidRPr="00DC485D">
        <w:t xml:space="preserve">Láhev obsahující </w:t>
      </w:r>
      <w:r w:rsidR="00E052FB" w:rsidRPr="00DC485D">
        <w:t>20ml, 50ml nebo 250ml</w:t>
      </w:r>
      <w:r w:rsidRPr="00DC485D">
        <w:t>.</w:t>
      </w:r>
    </w:p>
    <w:p w14:paraId="534D3A33" w14:textId="77777777" w:rsidR="00E052FB" w:rsidRPr="00DC485D" w:rsidRDefault="00E052FB" w:rsidP="00DB468A">
      <w:pPr>
        <w:tabs>
          <w:tab w:val="clear" w:pos="567"/>
        </w:tabs>
        <w:spacing w:line="240" w:lineRule="auto"/>
      </w:pPr>
    </w:p>
    <w:p w14:paraId="14C312CC" w14:textId="17C74921" w:rsidR="00DB468A" w:rsidRPr="00DC485D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DC485D">
        <w:t>Na trhu nemusí být všechny velikosti balení.</w:t>
      </w:r>
    </w:p>
    <w:p w14:paraId="14C312CD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DC485D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DC485D" w:rsidRDefault="006C6ABC" w:rsidP="00B13B6D">
      <w:pPr>
        <w:pStyle w:val="Style1"/>
      </w:pPr>
      <w:r w:rsidRPr="00DC485D">
        <w:rPr>
          <w:highlight w:val="lightGray"/>
        </w:rPr>
        <w:t>15.</w:t>
      </w:r>
      <w:r w:rsidRPr="00DC485D">
        <w:tab/>
        <w:t>Datum poslední revize příbalové informace</w:t>
      </w:r>
    </w:p>
    <w:p w14:paraId="14C312D0" w14:textId="77777777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2A33591B" w:rsidR="00DB468A" w:rsidRPr="00DC485D" w:rsidRDefault="00564F24" w:rsidP="00DB468A">
      <w:pPr>
        <w:rPr>
          <w:szCs w:val="22"/>
        </w:rPr>
      </w:pPr>
      <w:r w:rsidRPr="00DC485D">
        <w:lastRenderedPageBreak/>
        <w:t>Prosinec 2023</w:t>
      </w:r>
    </w:p>
    <w:p w14:paraId="59FA6FF3" w14:textId="77777777" w:rsidR="00515FDE" w:rsidRPr="00DC485D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DC485D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5" w:name="_Hlk121725272"/>
      <w:r w:rsidRPr="00DC485D">
        <w:t xml:space="preserve">Podrobné informace o tomto veterinárním léčivém přípravku jsou k dispozici v databázi přípravků Unie </w:t>
      </w:r>
      <w:r w:rsidRPr="00DC485D">
        <w:rPr>
          <w:szCs w:val="22"/>
        </w:rPr>
        <w:t>(</w:t>
      </w:r>
      <w:hyperlink r:id="rId10" w:history="1">
        <w:r w:rsidRPr="00DC485D">
          <w:rPr>
            <w:rStyle w:val="Hypertextovodkaz"/>
            <w:szCs w:val="22"/>
          </w:rPr>
          <w:t>https://medicines.health.europa.eu/veterinary</w:t>
        </w:r>
      </w:hyperlink>
      <w:r w:rsidRPr="00DC485D">
        <w:rPr>
          <w:szCs w:val="22"/>
        </w:rPr>
        <w:t>).</w:t>
      </w:r>
    </w:p>
    <w:bookmarkEnd w:id="5"/>
    <w:p w14:paraId="14C312D7" w14:textId="0B728269" w:rsidR="00C114FF" w:rsidRPr="00DC48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F0EC2" w14:textId="77777777" w:rsidR="00564F24" w:rsidRPr="00DC485D" w:rsidRDefault="00564F24" w:rsidP="00564F24">
      <w:pPr>
        <w:tabs>
          <w:tab w:val="clear" w:pos="567"/>
        </w:tabs>
        <w:spacing w:line="240" w:lineRule="auto"/>
        <w:rPr>
          <w:szCs w:val="22"/>
        </w:rPr>
      </w:pPr>
      <w:r w:rsidRPr="00DC485D">
        <w:rPr>
          <w:szCs w:val="22"/>
        </w:rPr>
        <w:t>Podrobné informace o tomto veterinárním léčivém přípravku naleznete také v národní databázi (</w:t>
      </w:r>
      <w:hyperlink r:id="rId11" w:history="1">
        <w:r w:rsidRPr="00DC485D">
          <w:rPr>
            <w:rStyle w:val="Hypertextovodkaz"/>
            <w:szCs w:val="22"/>
          </w:rPr>
          <w:t>https://www.uskvbl.cz</w:t>
        </w:r>
      </w:hyperlink>
      <w:r w:rsidRPr="00DC485D">
        <w:rPr>
          <w:szCs w:val="22"/>
        </w:rPr>
        <w:t xml:space="preserve">). </w:t>
      </w:r>
    </w:p>
    <w:p w14:paraId="4301BBFA" w14:textId="77777777" w:rsidR="00564F24" w:rsidRPr="00DC485D" w:rsidRDefault="00564F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DC485D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DC485D" w:rsidRDefault="001F4547" w:rsidP="001F4547">
      <w:pPr>
        <w:pStyle w:val="Style1"/>
      </w:pPr>
      <w:r w:rsidRPr="00DC485D">
        <w:rPr>
          <w:highlight w:val="lightGray"/>
        </w:rPr>
        <w:t>16.</w:t>
      </w:r>
      <w:r w:rsidRPr="00DC485D">
        <w:t>     Kontaktní údaje</w:t>
      </w:r>
    </w:p>
    <w:p w14:paraId="1CCC852D" w14:textId="0D6FE5A5" w:rsidR="001F4547" w:rsidRPr="00DC485D" w:rsidRDefault="001F4547" w:rsidP="001F4547"/>
    <w:p w14:paraId="1302E961" w14:textId="77777777" w:rsidR="00B74508" w:rsidRPr="00DC485D" w:rsidRDefault="00B74508" w:rsidP="00B74508">
      <w:r w:rsidRPr="00DC485D">
        <w:rPr>
          <w:u w:val="single"/>
        </w:rPr>
        <w:t>Držitel rozhodnutí o registraci a výrobce odpovědný za uvolnění šarže:</w:t>
      </w:r>
    </w:p>
    <w:p w14:paraId="71BFF185" w14:textId="77777777" w:rsidR="00B74508" w:rsidRPr="00DC485D" w:rsidRDefault="00B74508" w:rsidP="00B74508">
      <w:pPr>
        <w:ind w:left="567" w:hanging="567"/>
      </w:pPr>
      <w:r w:rsidRPr="00DC485D">
        <w:t>Intervet International B.V., Wim de Körverstraat 35, 5831 AN Boxmeer, Nizozemsko</w:t>
      </w:r>
    </w:p>
    <w:p w14:paraId="6BA17FDD" w14:textId="77777777" w:rsidR="00B74508" w:rsidRPr="00DC485D" w:rsidRDefault="00B74508" w:rsidP="00B74508">
      <w:pPr>
        <w:rPr>
          <w:u w:val="single"/>
        </w:rPr>
      </w:pPr>
    </w:p>
    <w:p w14:paraId="2DB32790" w14:textId="77777777" w:rsidR="00B74508" w:rsidRPr="00DC485D" w:rsidRDefault="00B74508" w:rsidP="00B74508">
      <w:r w:rsidRPr="00DC485D">
        <w:rPr>
          <w:u w:val="single"/>
        </w:rPr>
        <w:t>Kontaktní údaje pro hlášení podezření na nežádoucí účinky</w:t>
      </w:r>
      <w:r w:rsidRPr="00DC485D">
        <w:t>:</w:t>
      </w:r>
    </w:p>
    <w:p w14:paraId="4D0196E7" w14:textId="77777777" w:rsidR="00B74508" w:rsidRPr="00DC485D" w:rsidRDefault="00B74508" w:rsidP="00B74508">
      <w:pPr>
        <w:pStyle w:val="Style4"/>
      </w:pPr>
      <w:r w:rsidRPr="00DC485D">
        <w:t>Intervet s.r.o.</w:t>
      </w:r>
    </w:p>
    <w:p w14:paraId="510702B8" w14:textId="77777777" w:rsidR="00B74508" w:rsidRPr="00DC485D" w:rsidRDefault="00B74508" w:rsidP="00B74508">
      <w:pPr>
        <w:pStyle w:val="Style4"/>
      </w:pPr>
      <w:r w:rsidRPr="00DC485D">
        <w:t>Tel: +420 233 010 242</w:t>
      </w:r>
    </w:p>
    <w:p w14:paraId="40BC4DD6" w14:textId="7BE673D8" w:rsidR="00B74508" w:rsidRPr="00DC485D" w:rsidRDefault="00B74508" w:rsidP="001F4547"/>
    <w:p w14:paraId="22372E59" w14:textId="39F9E3D9" w:rsidR="00B77015" w:rsidRPr="00DC485D" w:rsidRDefault="00B77015" w:rsidP="001F4547">
      <w:pPr>
        <w:pStyle w:val="Style4"/>
        <w:rPr>
          <w:u w:val="single"/>
        </w:rPr>
      </w:pPr>
    </w:p>
    <w:p w14:paraId="1645EED0" w14:textId="77777777" w:rsidR="00B77015" w:rsidRPr="00DC485D" w:rsidRDefault="00B77015" w:rsidP="00B77015">
      <w:bookmarkStart w:id="6" w:name="_Hlk131062505"/>
      <w:r w:rsidRPr="00DC485D">
        <w:rPr>
          <w:b/>
          <w:highlight w:val="lightGray"/>
        </w:rPr>
        <w:t>17.</w:t>
      </w:r>
      <w:r w:rsidRPr="00DC485D">
        <w:rPr>
          <w:b/>
        </w:rPr>
        <w:tab/>
        <w:t>Další informace</w:t>
      </w:r>
    </w:p>
    <w:bookmarkEnd w:id="6"/>
    <w:p w14:paraId="42A6DBAA" w14:textId="6698AE84" w:rsidR="00B77015" w:rsidRPr="00DC485D" w:rsidRDefault="00B77015" w:rsidP="001F4547">
      <w:pPr>
        <w:pStyle w:val="Style4"/>
      </w:pPr>
    </w:p>
    <w:p w14:paraId="699D8575" w14:textId="77777777" w:rsidR="00E052FB" w:rsidRPr="00DC485D" w:rsidRDefault="00E052FB" w:rsidP="00E052FB">
      <w:pPr>
        <w:tabs>
          <w:tab w:val="num" w:pos="0"/>
        </w:tabs>
        <w:jc w:val="both"/>
        <w:rPr>
          <w:b/>
          <w:szCs w:val="22"/>
        </w:rPr>
      </w:pPr>
      <w:r w:rsidRPr="00DC485D">
        <w:rPr>
          <w:b/>
          <w:szCs w:val="22"/>
        </w:rPr>
        <w:t>Poznámka</w:t>
      </w:r>
    </w:p>
    <w:p w14:paraId="5B15C5C6" w14:textId="0EEE17F6" w:rsidR="00E052FB" w:rsidRPr="00DC485D" w:rsidRDefault="00E052FB" w:rsidP="00E052FB">
      <w:pPr>
        <w:tabs>
          <w:tab w:val="num" w:pos="0"/>
        </w:tabs>
        <w:jc w:val="both"/>
        <w:rPr>
          <w:szCs w:val="22"/>
        </w:rPr>
      </w:pPr>
      <w:r w:rsidRPr="00DC485D">
        <w:rPr>
          <w:szCs w:val="22"/>
        </w:rPr>
        <w:t>V případech, kde byl použit Footvax injekční emulze jako součást celkového programu prevence stáda před nakažlivým kulháním ovcí, bylo zjištěno, že onemocnění bylo postupně eliminováno. Stává se, že 1 nebo 2 zvířata ze stáda jsou postižen</w:t>
      </w:r>
      <w:r w:rsidR="00564F24" w:rsidRPr="00DC485D">
        <w:rPr>
          <w:szCs w:val="22"/>
        </w:rPr>
        <w:t>a</w:t>
      </w:r>
      <w:r w:rsidRPr="00DC485D">
        <w:rPr>
          <w:szCs w:val="22"/>
        </w:rPr>
        <w:t xml:space="preserve"> permanentně chronickým průběhem onemocnění. V tomto případě je doporučeno léčit intenzivně nebo je ze stáda vyřadit. Při takovémto způsobu prevence je významně redukováno riziko vzplanutí onemocnění, jakož i přirozený selektivní tlak na vznik abnormálních sérotypů původce.</w:t>
      </w:r>
    </w:p>
    <w:p w14:paraId="6D5128D3" w14:textId="77777777" w:rsidR="00E052FB" w:rsidRPr="00DC485D" w:rsidRDefault="00E052FB" w:rsidP="00E052FB">
      <w:pPr>
        <w:tabs>
          <w:tab w:val="num" w:pos="0"/>
        </w:tabs>
        <w:jc w:val="both"/>
        <w:rPr>
          <w:szCs w:val="22"/>
        </w:rPr>
      </w:pPr>
      <w:r w:rsidRPr="00DC485D">
        <w:rPr>
          <w:szCs w:val="22"/>
        </w:rPr>
        <w:t xml:space="preserve">Footvax injekční emulze léčí pouze kulhání ovcí způsobené původcem </w:t>
      </w:r>
      <w:r w:rsidRPr="00DC485D">
        <w:rPr>
          <w:i/>
          <w:iCs/>
          <w:szCs w:val="22"/>
        </w:rPr>
        <w:t>Dichelobacter nodosus</w:t>
      </w:r>
      <w:r w:rsidRPr="00DC485D">
        <w:rPr>
          <w:szCs w:val="22"/>
        </w:rPr>
        <w:t>. Je přirozené, že v jakékoli populaci zvířat pak může dojít ke snížené odpovědi několika jedinců k prováděné aplikaci a tedy selhání vakcinace v těchto konkrétních případech. Úspěšná vakcinace závisí především na adekvátním uchování vakcíny, aplikaci přípravku a schopnosti zvířete imunitně na aplikaci odpovědět. Schopnost zvířete reagovat na vakcinaci je samozřejmě ovlivňována genetickými faktory, interkurentní infekcí, věkem, přítomností mateřských protilátek, výživným stavem, stresem nebo současnou aplikací jiných léků.</w:t>
      </w:r>
      <w:bookmarkStart w:id="7" w:name="_GoBack"/>
      <w:bookmarkEnd w:id="7"/>
    </w:p>
    <w:sectPr w:rsidR="00E052FB" w:rsidRPr="00DC485D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FFBFC" w14:textId="77777777" w:rsidR="0076095D" w:rsidRDefault="0076095D">
      <w:pPr>
        <w:spacing w:line="240" w:lineRule="auto"/>
      </w:pPr>
      <w:r>
        <w:separator/>
      </w:r>
    </w:p>
  </w:endnote>
  <w:endnote w:type="continuationSeparator" w:id="0">
    <w:p w14:paraId="3CC25083" w14:textId="77777777" w:rsidR="0076095D" w:rsidRDefault="00760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C485D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93748" w14:textId="77777777" w:rsidR="0076095D" w:rsidRDefault="0076095D">
      <w:pPr>
        <w:spacing w:line="240" w:lineRule="auto"/>
      </w:pPr>
      <w:r>
        <w:separator/>
      </w:r>
    </w:p>
  </w:footnote>
  <w:footnote w:type="continuationSeparator" w:id="0">
    <w:p w14:paraId="35B33B8F" w14:textId="77777777" w:rsidR="0076095D" w:rsidRDefault="00760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94D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CB2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03A4"/>
    <w:rsid w:val="001B1C77"/>
    <w:rsid w:val="001B26EB"/>
    <w:rsid w:val="001B6F4A"/>
    <w:rsid w:val="001B7A27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2913"/>
    <w:rsid w:val="00213890"/>
    <w:rsid w:val="00214AB2"/>
    <w:rsid w:val="00214E52"/>
    <w:rsid w:val="00217431"/>
    <w:rsid w:val="002207C0"/>
    <w:rsid w:val="002208E1"/>
    <w:rsid w:val="0022380D"/>
    <w:rsid w:val="00224B93"/>
    <w:rsid w:val="00232DA2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3F706F"/>
    <w:rsid w:val="004008F6"/>
    <w:rsid w:val="00400C29"/>
    <w:rsid w:val="00407C22"/>
    <w:rsid w:val="00412BBE"/>
    <w:rsid w:val="00414B20"/>
    <w:rsid w:val="0041628A"/>
    <w:rsid w:val="00417DE3"/>
    <w:rsid w:val="00420850"/>
    <w:rsid w:val="0042356A"/>
    <w:rsid w:val="00423957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1442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5E87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27C9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4BE6"/>
    <w:rsid w:val="00564F24"/>
    <w:rsid w:val="0056568F"/>
    <w:rsid w:val="005714BA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07B98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600D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3E99"/>
    <w:rsid w:val="007047A6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095D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E5549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A7948"/>
    <w:rsid w:val="008B24A8"/>
    <w:rsid w:val="008B25E4"/>
    <w:rsid w:val="008B3D78"/>
    <w:rsid w:val="008B5ED1"/>
    <w:rsid w:val="008C261B"/>
    <w:rsid w:val="008C4FCA"/>
    <w:rsid w:val="008C5C9C"/>
    <w:rsid w:val="008C7882"/>
    <w:rsid w:val="008D2261"/>
    <w:rsid w:val="008D4C28"/>
    <w:rsid w:val="008D577B"/>
    <w:rsid w:val="008D7A98"/>
    <w:rsid w:val="008E107E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1B7"/>
    <w:rsid w:val="0090598C"/>
    <w:rsid w:val="00905CAB"/>
    <w:rsid w:val="00906E14"/>
    <w:rsid w:val="009071BB"/>
    <w:rsid w:val="00913885"/>
    <w:rsid w:val="00915ABF"/>
    <w:rsid w:val="00921CAD"/>
    <w:rsid w:val="009311ED"/>
    <w:rsid w:val="009317E9"/>
    <w:rsid w:val="00931D41"/>
    <w:rsid w:val="00933D18"/>
    <w:rsid w:val="00942221"/>
    <w:rsid w:val="00947536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5B8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331B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083B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5FE8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350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CF7AC8"/>
    <w:rsid w:val="00D028A9"/>
    <w:rsid w:val="00D0359D"/>
    <w:rsid w:val="00D04DED"/>
    <w:rsid w:val="00D1089A"/>
    <w:rsid w:val="00D114AF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0E3"/>
    <w:rsid w:val="00DC2946"/>
    <w:rsid w:val="00DC2CE3"/>
    <w:rsid w:val="00DC4340"/>
    <w:rsid w:val="00DC485D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0AD"/>
    <w:rsid w:val="00DF35C8"/>
    <w:rsid w:val="00DF4CE9"/>
    <w:rsid w:val="00DF77CF"/>
    <w:rsid w:val="00E0068C"/>
    <w:rsid w:val="00E026E8"/>
    <w:rsid w:val="00E052FB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B7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DB60E3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B60E3"/>
    <w:rPr>
      <w:rFonts w:ascii="Consolas" w:hAnsi="Consolas"/>
      <w:lang w:eastAsia="en-US"/>
    </w:rPr>
  </w:style>
  <w:style w:type="character" w:customStyle="1" w:styleId="UnresolvedMention">
    <w:name w:val="Unresolved Mention"/>
    <w:basedOn w:val="Standardnpsmoodstavce"/>
    <w:rsid w:val="0056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3531-FC68-4901-9A03-6FCAEEB6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1661</Words>
  <Characters>9800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2008-06-03T12:50:00Z</cp:lastPrinted>
  <dcterms:created xsi:type="dcterms:W3CDTF">2023-11-09T06:47:00Z</dcterms:created>
  <dcterms:modified xsi:type="dcterms:W3CDTF">2023-12-11T18:23:00Z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