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3E470" w14:textId="77777777" w:rsidR="005D3C73" w:rsidRPr="00806CB8" w:rsidRDefault="005D3C73" w:rsidP="005D3C73">
      <w:pPr>
        <w:jc w:val="center"/>
        <w:rPr>
          <w:rFonts w:cstheme="minorHAnsi"/>
          <w:b/>
        </w:rPr>
      </w:pPr>
      <w:r w:rsidRPr="00806CB8">
        <w:rPr>
          <w:rFonts w:cstheme="minorHAnsi"/>
          <w:b/>
        </w:rPr>
        <w:t>IDEXX AI</w:t>
      </w:r>
    </w:p>
    <w:p w14:paraId="460148DF" w14:textId="28812F0F" w:rsidR="00824BCB" w:rsidRPr="00806CB8" w:rsidRDefault="00824BCB" w:rsidP="00824BCB">
      <w:pPr>
        <w:rPr>
          <w:rFonts w:cstheme="minorHAnsi"/>
          <w:b/>
        </w:rPr>
      </w:pPr>
      <w:r w:rsidRPr="00806CB8">
        <w:rPr>
          <w:rFonts w:cstheme="minorHAnsi"/>
          <w:b/>
        </w:rPr>
        <w:t>Testovací souprava k detekci protilátek proti aviární influenze</w:t>
      </w:r>
    </w:p>
    <w:p w14:paraId="3FC9D5EC" w14:textId="40814CCB" w:rsidR="00824BCB" w:rsidRPr="00806CB8" w:rsidRDefault="00824BCB" w:rsidP="005D3C73">
      <w:pPr>
        <w:ind w:right="220"/>
        <w:rPr>
          <w:rFonts w:cstheme="minorHAnsi"/>
          <w:b/>
        </w:rPr>
      </w:pPr>
      <w:r w:rsidRPr="00806CB8">
        <w:rPr>
          <w:rFonts w:cstheme="minorHAnsi"/>
          <w:b/>
        </w:rPr>
        <w:t>Pouze pro veterinární použití</w:t>
      </w:r>
    </w:p>
    <w:p w14:paraId="2D44CB4C" w14:textId="126253DD" w:rsidR="00824BCB" w:rsidRPr="00806CB8" w:rsidRDefault="00824BCB" w:rsidP="00824BCB">
      <w:pPr>
        <w:rPr>
          <w:rFonts w:cstheme="minorHAnsi"/>
          <w:b/>
        </w:rPr>
      </w:pPr>
      <w:r w:rsidRPr="00806CB8">
        <w:rPr>
          <w:rFonts w:cstheme="minorHAnsi"/>
          <w:b/>
        </w:rPr>
        <w:t xml:space="preserve">Název a </w:t>
      </w:r>
      <w:r w:rsidR="009A6246" w:rsidRPr="00806CB8">
        <w:rPr>
          <w:rFonts w:cstheme="minorHAnsi"/>
          <w:b/>
        </w:rPr>
        <w:t xml:space="preserve">způsob </w:t>
      </w:r>
      <w:r w:rsidRPr="00806CB8">
        <w:rPr>
          <w:rFonts w:cstheme="minorHAnsi"/>
          <w:b/>
        </w:rPr>
        <w:t>použití</w:t>
      </w:r>
    </w:p>
    <w:p w14:paraId="76503C63" w14:textId="2A823C30" w:rsidR="00824BCB" w:rsidRPr="00806CB8" w:rsidRDefault="00824BCB" w:rsidP="00824BCB">
      <w:pPr>
        <w:rPr>
          <w:rFonts w:cstheme="minorHAnsi"/>
        </w:rPr>
      </w:pPr>
      <w:r w:rsidRPr="00806CB8">
        <w:rPr>
          <w:rFonts w:cstheme="minorHAnsi"/>
        </w:rPr>
        <w:t>IDEXX AI je test společnosti IDEXX na principu enzym</w:t>
      </w:r>
      <w:r w:rsidR="009A6246" w:rsidRPr="00806CB8">
        <w:rPr>
          <w:rFonts w:cstheme="minorHAnsi"/>
        </w:rPr>
        <w:t>ového</w:t>
      </w:r>
      <w:r w:rsidRPr="00806CB8">
        <w:rPr>
          <w:rFonts w:cstheme="minorHAnsi"/>
        </w:rPr>
        <w:t xml:space="preserve"> imuno</w:t>
      </w:r>
      <w:r w:rsidR="009A6246" w:rsidRPr="00806CB8">
        <w:rPr>
          <w:rFonts w:cstheme="minorHAnsi"/>
        </w:rPr>
        <w:t>testu</w:t>
      </w:r>
      <w:r w:rsidRPr="00806CB8">
        <w:rPr>
          <w:rFonts w:cstheme="minorHAnsi"/>
        </w:rPr>
        <w:t xml:space="preserve"> pro detekci protilátek proti</w:t>
      </w:r>
      <w:r w:rsidR="00806CB8" w:rsidRPr="00806CB8">
        <w:rPr>
          <w:rFonts w:cstheme="minorHAnsi"/>
        </w:rPr>
        <w:t> </w:t>
      </w:r>
      <w:r w:rsidRPr="00806CB8">
        <w:rPr>
          <w:rFonts w:cstheme="minorHAnsi"/>
        </w:rPr>
        <w:t>viru aviární influenzy (AI) v kuřecím séru.</w:t>
      </w:r>
    </w:p>
    <w:p w14:paraId="4B2C20A0" w14:textId="78C74ECD" w:rsidR="00824BCB" w:rsidRPr="00806CB8" w:rsidRDefault="00824BCB" w:rsidP="00824BCB">
      <w:pPr>
        <w:rPr>
          <w:rFonts w:cstheme="minorHAnsi"/>
          <w:b/>
        </w:rPr>
      </w:pPr>
      <w:r w:rsidRPr="00806CB8">
        <w:rPr>
          <w:rFonts w:cstheme="minorHAnsi"/>
          <w:b/>
        </w:rPr>
        <w:t>Obecné informace</w:t>
      </w:r>
    </w:p>
    <w:p w14:paraId="3139F59A" w14:textId="3515D5E6" w:rsidR="00824BCB" w:rsidRPr="00806CB8" w:rsidRDefault="00824BCB" w:rsidP="00824BCB">
      <w:pPr>
        <w:rPr>
          <w:rFonts w:cstheme="minorHAnsi"/>
        </w:rPr>
      </w:pPr>
      <w:r w:rsidRPr="00806CB8">
        <w:rPr>
          <w:rFonts w:cstheme="minorHAnsi"/>
        </w:rPr>
        <w:t>Dom</w:t>
      </w:r>
      <w:r w:rsidR="009A37E3" w:rsidRPr="00806CB8">
        <w:rPr>
          <w:rFonts w:cstheme="minorHAnsi"/>
        </w:rPr>
        <w:t>á</w:t>
      </w:r>
      <w:r w:rsidRPr="00806CB8">
        <w:rPr>
          <w:rFonts w:cstheme="minorHAnsi"/>
        </w:rPr>
        <w:t>cí i volně žijící druhy ptáků se mohou nakazit virem aviární influenzy. Onemocnění je charakterizováno širokou škálou projevů</w:t>
      </w:r>
      <w:r w:rsidR="00FD3805" w:rsidRPr="00806CB8">
        <w:rPr>
          <w:rFonts w:cstheme="minorHAnsi"/>
        </w:rPr>
        <w:t xml:space="preserve"> od</w:t>
      </w:r>
      <w:r w:rsidRPr="00806CB8">
        <w:rPr>
          <w:rFonts w:cstheme="minorHAnsi"/>
        </w:rPr>
        <w:t xml:space="preserve"> prakticky</w:t>
      </w:r>
      <w:r w:rsidR="00FD3805" w:rsidRPr="00806CB8">
        <w:rPr>
          <w:rFonts w:cstheme="minorHAnsi"/>
        </w:rPr>
        <w:t xml:space="preserve"> bezpříznakového průběhu infekce k vysoké mortalitě</w:t>
      </w:r>
      <w:r w:rsidRPr="00806CB8">
        <w:rPr>
          <w:rFonts w:cstheme="minorHAnsi"/>
        </w:rPr>
        <w:t xml:space="preserve">. </w:t>
      </w:r>
      <w:r w:rsidR="00FD3805" w:rsidRPr="00806CB8">
        <w:rPr>
          <w:rFonts w:cstheme="minorHAnsi"/>
        </w:rPr>
        <w:t>Časté jsou r</w:t>
      </w:r>
      <w:r w:rsidRPr="00806CB8">
        <w:rPr>
          <w:rFonts w:cstheme="minorHAnsi"/>
        </w:rPr>
        <w:t>espirační příznaky, spolu s poklesem produkc</w:t>
      </w:r>
      <w:r w:rsidR="00FD3805" w:rsidRPr="00806CB8">
        <w:rPr>
          <w:rFonts w:cstheme="minorHAnsi"/>
        </w:rPr>
        <w:t>e</w:t>
      </w:r>
      <w:r w:rsidRPr="00806CB8">
        <w:rPr>
          <w:rFonts w:cstheme="minorHAnsi"/>
        </w:rPr>
        <w:t xml:space="preserve"> vaj</w:t>
      </w:r>
      <w:r w:rsidR="00FD3805" w:rsidRPr="00806CB8">
        <w:rPr>
          <w:rFonts w:cstheme="minorHAnsi"/>
        </w:rPr>
        <w:t>ec</w:t>
      </w:r>
      <w:r w:rsidRPr="00806CB8">
        <w:rPr>
          <w:rFonts w:cstheme="minorHAnsi"/>
        </w:rPr>
        <w:t>,</w:t>
      </w:r>
      <w:r w:rsidR="00676763" w:rsidRPr="00806CB8">
        <w:rPr>
          <w:rFonts w:cstheme="minorHAnsi"/>
        </w:rPr>
        <w:t xml:space="preserve"> </w:t>
      </w:r>
      <w:r w:rsidRPr="00806CB8">
        <w:rPr>
          <w:rFonts w:cstheme="minorHAnsi"/>
        </w:rPr>
        <w:t>průjmem</w:t>
      </w:r>
      <w:r w:rsidR="00FD3805" w:rsidRPr="00806CB8">
        <w:rPr>
          <w:rFonts w:cstheme="minorHAnsi"/>
        </w:rPr>
        <w:t xml:space="preserve"> nazelenalé barvy</w:t>
      </w:r>
      <w:r w:rsidRPr="00806CB8">
        <w:rPr>
          <w:rFonts w:cstheme="minorHAnsi"/>
        </w:rPr>
        <w:t xml:space="preserve">, </w:t>
      </w:r>
      <w:r w:rsidR="00FD3805" w:rsidRPr="00806CB8">
        <w:rPr>
          <w:rFonts w:cstheme="minorHAnsi"/>
        </w:rPr>
        <w:t xml:space="preserve">výtokem </w:t>
      </w:r>
      <w:r w:rsidR="009A6246" w:rsidRPr="00806CB8">
        <w:rPr>
          <w:rFonts w:cstheme="minorHAnsi"/>
        </w:rPr>
        <w:t xml:space="preserve">z nosu a ústní dutiny </w:t>
      </w:r>
      <w:r w:rsidR="00FD3805" w:rsidRPr="00806CB8">
        <w:rPr>
          <w:rFonts w:cstheme="minorHAnsi"/>
        </w:rPr>
        <w:t>s příměsí krve</w:t>
      </w:r>
      <w:r w:rsidR="00144290" w:rsidRPr="00806CB8">
        <w:rPr>
          <w:rFonts w:cstheme="minorHAnsi"/>
        </w:rPr>
        <w:t>,</w:t>
      </w:r>
      <w:r w:rsidRPr="00806CB8">
        <w:rPr>
          <w:rFonts w:cstheme="minorHAnsi"/>
        </w:rPr>
        <w:t xml:space="preserve"> cyanózou a edémem hlavy, hřeb</w:t>
      </w:r>
      <w:r w:rsidR="00FD3805" w:rsidRPr="00806CB8">
        <w:rPr>
          <w:rFonts w:cstheme="minorHAnsi"/>
        </w:rPr>
        <w:t>ínku</w:t>
      </w:r>
      <w:r w:rsidRPr="00806CB8">
        <w:rPr>
          <w:rFonts w:cstheme="minorHAnsi"/>
        </w:rPr>
        <w:t xml:space="preserve"> a </w:t>
      </w:r>
      <w:r w:rsidR="009A37E3" w:rsidRPr="00806CB8">
        <w:rPr>
          <w:rFonts w:cstheme="minorHAnsi"/>
        </w:rPr>
        <w:t>laloků</w:t>
      </w:r>
      <w:r w:rsidRPr="00806CB8">
        <w:rPr>
          <w:rFonts w:cstheme="minorHAnsi"/>
        </w:rPr>
        <w:t xml:space="preserve">. Kvůli </w:t>
      </w:r>
      <w:r w:rsidR="009A37E3" w:rsidRPr="00806CB8">
        <w:rPr>
          <w:rFonts w:cstheme="minorHAnsi"/>
        </w:rPr>
        <w:t>variabilitě</w:t>
      </w:r>
      <w:r w:rsidRPr="00806CB8">
        <w:rPr>
          <w:rFonts w:cstheme="minorHAnsi"/>
        </w:rPr>
        <w:t xml:space="preserve"> závažnosti klinických příznaků </w:t>
      </w:r>
      <w:r w:rsidR="009A37E3" w:rsidRPr="00806CB8">
        <w:rPr>
          <w:rFonts w:cstheme="minorHAnsi"/>
        </w:rPr>
        <w:t xml:space="preserve">má </w:t>
      </w:r>
      <w:r w:rsidRPr="00806CB8">
        <w:rPr>
          <w:rFonts w:cstheme="minorHAnsi"/>
        </w:rPr>
        <w:t xml:space="preserve">sérologické testování </w:t>
      </w:r>
      <w:r w:rsidR="009A37E3" w:rsidRPr="00806CB8">
        <w:rPr>
          <w:rFonts w:cstheme="minorHAnsi"/>
        </w:rPr>
        <w:t xml:space="preserve">k odhalení </w:t>
      </w:r>
      <w:r w:rsidRPr="00806CB8">
        <w:rPr>
          <w:rFonts w:cstheme="minorHAnsi"/>
        </w:rPr>
        <w:t>infikovaných ptáků</w:t>
      </w:r>
      <w:r w:rsidR="009A37E3" w:rsidRPr="00806CB8">
        <w:rPr>
          <w:rFonts w:cstheme="minorHAnsi"/>
        </w:rPr>
        <w:t xml:space="preserve"> mnoho výhod</w:t>
      </w:r>
      <w:r w:rsidRPr="00806CB8">
        <w:rPr>
          <w:rFonts w:cstheme="minorHAnsi"/>
        </w:rPr>
        <w:t xml:space="preserve">. Sledování expozice hejna </w:t>
      </w:r>
      <w:r w:rsidR="00144290" w:rsidRPr="00806CB8">
        <w:rPr>
          <w:rFonts w:cstheme="minorHAnsi"/>
        </w:rPr>
        <w:t xml:space="preserve">vůči </w:t>
      </w:r>
      <w:r w:rsidR="004B7E23" w:rsidRPr="00806CB8">
        <w:rPr>
          <w:rFonts w:cstheme="minorHAnsi"/>
        </w:rPr>
        <w:t xml:space="preserve">aviární </w:t>
      </w:r>
      <w:r w:rsidR="009A37E3" w:rsidRPr="00806CB8">
        <w:rPr>
          <w:rFonts w:cstheme="minorHAnsi"/>
        </w:rPr>
        <w:t>influenze je</w:t>
      </w:r>
      <w:r w:rsidRPr="00806CB8">
        <w:rPr>
          <w:rFonts w:cstheme="minorHAnsi"/>
        </w:rPr>
        <w:t xml:space="preserve"> usnad</w:t>
      </w:r>
      <w:r w:rsidR="009A37E3" w:rsidRPr="00806CB8">
        <w:rPr>
          <w:rFonts w:cstheme="minorHAnsi"/>
        </w:rPr>
        <w:t>něno</w:t>
      </w:r>
      <w:r w:rsidRPr="00806CB8">
        <w:rPr>
          <w:rFonts w:cstheme="minorHAnsi"/>
        </w:rPr>
        <w:t xml:space="preserve"> měření</w:t>
      </w:r>
      <w:r w:rsidR="009A37E3" w:rsidRPr="00806CB8">
        <w:rPr>
          <w:rFonts w:cstheme="minorHAnsi"/>
        </w:rPr>
        <w:t>m</w:t>
      </w:r>
      <w:r w:rsidRPr="00806CB8">
        <w:rPr>
          <w:rFonts w:cstheme="minorHAnsi"/>
        </w:rPr>
        <w:t xml:space="preserve"> protilátek proti</w:t>
      </w:r>
      <w:r w:rsidR="00806CB8" w:rsidRPr="00806CB8">
        <w:rPr>
          <w:rFonts w:cstheme="minorHAnsi"/>
        </w:rPr>
        <w:t> </w:t>
      </w:r>
      <w:r w:rsidR="004B7E23" w:rsidRPr="00806CB8">
        <w:rPr>
          <w:rFonts w:cstheme="minorHAnsi"/>
        </w:rPr>
        <w:t>tomuto viru</w:t>
      </w:r>
      <w:r w:rsidRPr="00806CB8">
        <w:rPr>
          <w:rFonts w:cstheme="minorHAnsi"/>
        </w:rPr>
        <w:t xml:space="preserve"> v</w:t>
      </w:r>
      <w:r w:rsidR="004B7E23" w:rsidRPr="00806CB8">
        <w:rPr>
          <w:rFonts w:cstheme="minorHAnsi"/>
        </w:rPr>
        <w:t> </w:t>
      </w:r>
      <w:r w:rsidRPr="00806CB8">
        <w:rPr>
          <w:rFonts w:cstheme="minorHAnsi"/>
        </w:rPr>
        <w:t>séru</w:t>
      </w:r>
      <w:r w:rsidR="004B7E23" w:rsidRPr="00806CB8">
        <w:rPr>
          <w:rFonts w:cstheme="minorHAnsi"/>
        </w:rPr>
        <w:t xml:space="preserve"> ptáků</w:t>
      </w:r>
      <w:r w:rsidRPr="00806CB8">
        <w:rPr>
          <w:rFonts w:cstheme="minorHAnsi"/>
        </w:rPr>
        <w:t>.</w:t>
      </w:r>
    </w:p>
    <w:p w14:paraId="082182B0" w14:textId="3055B257" w:rsidR="00824BCB" w:rsidRPr="00806CB8" w:rsidRDefault="004B7E23" w:rsidP="00824BCB">
      <w:pPr>
        <w:rPr>
          <w:rFonts w:cstheme="minorHAnsi"/>
          <w:b/>
        </w:rPr>
      </w:pPr>
      <w:r w:rsidRPr="00806CB8">
        <w:rPr>
          <w:rFonts w:cstheme="minorHAnsi"/>
          <w:b/>
        </w:rPr>
        <w:t>Popis</w:t>
      </w:r>
      <w:r w:rsidR="00824BCB" w:rsidRPr="00806CB8">
        <w:rPr>
          <w:rFonts w:cstheme="minorHAnsi"/>
          <w:b/>
        </w:rPr>
        <w:t xml:space="preserve"> a</w:t>
      </w:r>
      <w:r w:rsidRPr="00806CB8">
        <w:rPr>
          <w:rFonts w:cstheme="minorHAnsi"/>
          <w:b/>
        </w:rPr>
        <w:t xml:space="preserve"> </w:t>
      </w:r>
      <w:r w:rsidR="0098735D" w:rsidRPr="00806CB8">
        <w:rPr>
          <w:rFonts w:cstheme="minorHAnsi"/>
          <w:b/>
        </w:rPr>
        <w:t>zásady testování</w:t>
      </w:r>
    </w:p>
    <w:p w14:paraId="0C79285E" w14:textId="6E856075" w:rsidR="00676763" w:rsidRPr="00806CB8" w:rsidRDefault="00676763" w:rsidP="00824BCB">
      <w:pPr>
        <w:rPr>
          <w:rFonts w:cstheme="minorHAnsi"/>
        </w:rPr>
      </w:pPr>
      <w:r w:rsidRPr="00806CB8">
        <w:rPr>
          <w:rFonts w:cstheme="minorHAnsi"/>
        </w:rPr>
        <w:t>Tento test je určen k měření relativní hladiny protilátek proti AI v kuřecím séru. Destičky s</w:t>
      </w:r>
      <w:r w:rsidR="00806CB8" w:rsidRPr="00806CB8">
        <w:rPr>
          <w:rFonts w:cstheme="minorHAnsi"/>
        </w:rPr>
        <w:t> </w:t>
      </w:r>
      <w:r w:rsidRPr="00806CB8">
        <w:rPr>
          <w:rFonts w:cstheme="minorHAnsi"/>
        </w:rPr>
        <w:t>96</w:t>
      </w:r>
      <w:r w:rsidR="00806CB8" w:rsidRPr="00806CB8">
        <w:rPr>
          <w:rFonts w:cstheme="minorHAnsi"/>
        </w:rPr>
        <w:t> </w:t>
      </w:r>
      <w:r w:rsidRPr="00806CB8">
        <w:rPr>
          <w:rFonts w:cstheme="minorHAnsi"/>
        </w:rPr>
        <w:t>jamkami jsou potaženy virovým antigenem. Po inkubaci testovaného vzorku vytvoří přítomná protilátka specifická pro AI komplex s virovými antigeny z potažené jamky. P</w:t>
      </w:r>
      <w:r w:rsidR="0051229D" w:rsidRPr="00806CB8">
        <w:rPr>
          <w:rFonts w:cstheme="minorHAnsi"/>
        </w:rPr>
        <w:t xml:space="preserve">oté následuje </w:t>
      </w:r>
      <w:r w:rsidRPr="00806CB8">
        <w:rPr>
          <w:rFonts w:cstheme="minorHAnsi"/>
        </w:rPr>
        <w:t xml:space="preserve">promytí </w:t>
      </w:r>
      <w:r w:rsidR="00485446" w:rsidRPr="00806CB8">
        <w:rPr>
          <w:rFonts w:cstheme="minorHAnsi"/>
        </w:rPr>
        <w:t>přebytečného</w:t>
      </w:r>
      <w:r w:rsidRPr="00806CB8">
        <w:rPr>
          <w:rFonts w:cstheme="minorHAnsi"/>
        </w:rPr>
        <w:t xml:space="preserve"> materiálu z jamek </w:t>
      </w:r>
      <w:r w:rsidR="0051229D" w:rsidRPr="00806CB8">
        <w:rPr>
          <w:rFonts w:cstheme="minorHAnsi"/>
        </w:rPr>
        <w:t xml:space="preserve">a </w:t>
      </w:r>
      <w:r w:rsidRPr="00806CB8">
        <w:rPr>
          <w:rFonts w:cstheme="minorHAnsi"/>
        </w:rPr>
        <w:t>přidá</w:t>
      </w:r>
      <w:r w:rsidR="0051229D" w:rsidRPr="00806CB8">
        <w:rPr>
          <w:rFonts w:cstheme="minorHAnsi"/>
        </w:rPr>
        <w:t xml:space="preserve"> se</w:t>
      </w:r>
      <w:r w:rsidRPr="00806CB8">
        <w:rPr>
          <w:rFonts w:cstheme="minorHAnsi"/>
        </w:rPr>
        <w:t xml:space="preserve"> konjugát, který se váže na jakoukoliv navázanou kuřecí protilátku v jamce. Nenavázaný konjugát se vymyje a přidá</w:t>
      </w:r>
      <w:r w:rsidR="0051229D" w:rsidRPr="00806CB8">
        <w:rPr>
          <w:rFonts w:cstheme="minorHAnsi"/>
        </w:rPr>
        <w:t xml:space="preserve"> se enzymový substrát. Následná barevná změna </w:t>
      </w:r>
      <w:r w:rsidRPr="00806CB8">
        <w:rPr>
          <w:rFonts w:cstheme="minorHAnsi"/>
        </w:rPr>
        <w:t>přímo souvisí s množstvím protilátek proti AI přítomným v testovaném vzorku.</w:t>
      </w:r>
    </w:p>
    <w:p w14:paraId="3642CC60" w14:textId="69D2F994" w:rsidR="00824BCB" w:rsidRPr="00806CB8" w:rsidRDefault="008B10F0" w:rsidP="00824BCB">
      <w:pPr>
        <w:rPr>
          <w:rFonts w:cstheme="minorHAnsi"/>
          <w:b/>
        </w:rPr>
      </w:pPr>
      <w:r w:rsidRPr="00806CB8">
        <w:rPr>
          <w:rFonts w:cstheme="minorHAnsi"/>
          <w:b/>
        </w:rPr>
        <w:t>Činidl</w:t>
      </w:r>
      <w:r w:rsidR="00AF3A4E" w:rsidRPr="00806CB8">
        <w:rPr>
          <w:rFonts w:cstheme="minorHAnsi"/>
          <w:b/>
        </w:rPr>
        <w:t>a</w:t>
      </w:r>
      <w:r w:rsidR="00676763" w:rsidRPr="00806CB8">
        <w:rPr>
          <w:rFonts w:cstheme="minorHAnsi"/>
          <w:b/>
        </w:rPr>
        <w:t xml:space="preserve">                                                                                                          </w:t>
      </w:r>
      <w:r w:rsidR="00824BCB" w:rsidRPr="00806CB8">
        <w:rPr>
          <w:rFonts w:cstheme="minorHAnsi"/>
          <w:b/>
        </w:rPr>
        <w:t xml:space="preserve"> </w:t>
      </w:r>
      <w:r w:rsidRPr="00806CB8">
        <w:rPr>
          <w:rFonts w:cstheme="minorHAnsi"/>
          <w:b/>
        </w:rPr>
        <w:t xml:space="preserve"> </w:t>
      </w:r>
      <w:r w:rsidR="008C3270" w:rsidRPr="00806CB8">
        <w:rPr>
          <w:rFonts w:cstheme="minorHAnsi"/>
          <w:b/>
        </w:rPr>
        <w:tab/>
      </w:r>
      <w:r w:rsidR="008C3270" w:rsidRPr="00806CB8">
        <w:rPr>
          <w:rFonts w:cstheme="minorHAnsi"/>
          <w:b/>
        </w:rPr>
        <w:tab/>
      </w:r>
      <w:r w:rsidRPr="00806CB8">
        <w:rPr>
          <w:rFonts w:cstheme="minorHAnsi"/>
          <w:b/>
        </w:rPr>
        <w:t>Objem</w:t>
      </w:r>
    </w:p>
    <w:p w14:paraId="3BA75D96" w14:textId="2417DE83" w:rsidR="00824BCB" w:rsidRPr="00806CB8" w:rsidRDefault="00824BCB" w:rsidP="00824BCB">
      <w:pPr>
        <w:rPr>
          <w:rFonts w:cstheme="minorHAnsi"/>
        </w:rPr>
      </w:pPr>
      <w:r w:rsidRPr="00806CB8">
        <w:rPr>
          <w:rFonts w:cstheme="minorHAnsi"/>
        </w:rPr>
        <w:t xml:space="preserve">1 </w:t>
      </w:r>
      <w:r w:rsidR="008B10F0" w:rsidRPr="00806CB8">
        <w:rPr>
          <w:rFonts w:cstheme="minorHAnsi"/>
        </w:rPr>
        <w:t xml:space="preserve">  </w:t>
      </w:r>
      <w:r w:rsidR="00122E9D" w:rsidRPr="00806CB8">
        <w:rPr>
          <w:rFonts w:cstheme="minorHAnsi"/>
        </w:rPr>
        <w:t xml:space="preserve">Destička potažená </w:t>
      </w:r>
      <w:r w:rsidRPr="00806CB8">
        <w:rPr>
          <w:rFonts w:cstheme="minorHAnsi"/>
        </w:rPr>
        <w:t>AI Antigen</w:t>
      </w:r>
      <w:r w:rsidR="00122E9D" w:rsidRPr="00806CB8">
        <w:rPr>
          <w:rFonts w:cstheme="minorHAnsi"/>
        </w:rPr>
        <w:t>em</w:t>
      </w:r>
      <w:r w:rsidR="00676763" w:rsidRPr="00806CB8">
        <w:rPr>
          <w:rFonts w:cstheme="minorHAnsi"/>
        </w:rPr>
        <w:t xml:space="preserve">                                                                          </w:t>
      </w:r>
      <w:r w:rsidR="00E85932" w:rsidRPr="00806CB8">
        <w:rPr>
          <w:rFonts w:cstheme="minorHAnsi"/>
        </w:rPr>
        <w:tab/>
      </w:r>
      <w:r w:rsidRPr="00806CB8">
        <w:rPr>
          <w:rFonts w:cstheme="minorHAnsi"/>
        </w:rPr>
        <w:t>5</w:t>
      </w:r>
    </w:p>
    <w:p w14:paraId="0F287D17" w14:textId="11A52005" w:rsidR="00122E9D" w:rsidRPr="00806CB8" w:rsidRDefault="00824BCB" w:rsidP="00BB1BE4">
      <w:pPr>
        <w:spacing w:after="0"/>
        <w:rPr>
          <w:rFonts w:cstheme="minorHAnsi"/>
        </w:rPr>
      </w:pPr>
      <w:r w:rsidRPr="00806CB8">
        <w:rPr>
          <w:rFonts w:cstheme="minorHAnsi"/>
        </w:rPr>
        <w:t>2</w:t>
      </w:r>
      <w:r w:rsidR="00676763" w:rsidRPr="00806CB8">
        <w:rPr>
          <w:rFonts w:cstheme="minorHAnsi"/>
        </w:rPr>
        <w:t xml:space="preserve"> </w:t>
      </w:r>
      <w:r w:rsidR="008B10F0" w:rsidRPr="00806CB8">
        <w:rPr>
          <w:rFonts w:cstheme="minorHAnsi"/>
        </w:rPr>
        <w:t xml:space="preserve">  </w:t>
      </w:r>
      <w:r w:rsidRPr="00806CB8">
        <w:rPr>
          <w:rFonts w:cstheme="minorHAnsi"/>
        </w:rPr>
        <w:t>Po</w:t>
      </w:r>
      <w:r w:rsidR="00122E9D" w:rsidRPr="00806CB8">
        <w:rPr>
          <w:rFonts w:cstheme="minorHAnsi"/>
        </w:rPr>
        <w:t>z</w:t>
      </w:r>
      <w:r w:rsidRPr="00806CB8">
        <w:rPr>
          <w:rFonts w:cstheme="minorHAnsi"/>
        </w:rPr>
        <w:t>itiv</w:t>
      </w:r>
      <w:r w:rsidR="00122E9D" w:rsidRPr="00806CB8">
        <w:rPr>
          <w:rFonts w:cstheme="minorHAnsi"/>
        </w:rPr>
        <w:t>ní</w:t>
      </w:r>
      <w:r w:rsidRPr="00806CB8">
        <w:rPr>
          <w:rFonts w:cstheme="minorHAnsi"/>
        </w:rPr>
        <w:t xml:space="preserve"> </w:t>
      </w:r>
      <w:r w:rsidR="00122E9D" w:rsidRPr="00806CB8">
        <w:rPr>
          <w:rFonts w:cstheme="minorHAnsi"/>
        </w:rPr>
        <w:t>kon</w:t>
      </w:r>
      <w:r w:rsidRPr="00806CB8">
        <w:rPr>
          <w:rFonts w:cstheme="minorHAnsi"/>
        </w:rPr>
        <w:t>trol</w:t>
      </w:r>
      <w:r w:rsidR="00122E9D" w:rsidRPr="00806CB8">
        <w:rPr>
          <w:rFonts w:cstheme="minorHAnsi"/>
        </w:rPr>
        <w:t>a</w:t>
      </w:r>
      <w:r w:rsidRPr="00806CB8">
        <w:rPr>
          <w:rFonts w:cstheme="minorHAnsi"/>
        </w:rPr>
        <w:t xml:space="preserve"> </w:t>
      </w:r>
    </w:p>
    <w:p w14:paraId="46F64C5B" w14:textId="656F5AC8" w:rsidR="00824BCB" w:rsidRPr="00806CB8" w:rsidRDefault="008B10F0" w:rsidP="00824BCB">
      <w:pPr>
        <w:rPr>
          <w:rFonts w:cstheme="minorHAnsi"/>
        </w:rPr>
      </w:pPr>
      <w:r w:rsidRPr="00806CB8">
        <w:rPr>
          <w:rFonts w:cstheme="minorHAnsi"/>
        </w:rPr>
        <w:t xml:space="preserve">  </w:t>
      </w:r>
      <w:r w:rsidR="00824BCB" w:rsidRPr="00806CB8">
        <w:rPr>
          <w:rFonts w:cstheme="minorHAnsi"/>
        </w:rPr>
        <w:t xml:space="preserve">— </w:t>
      </w:r>
      <w:r w:rsidR="00122E9D" w:rsidRPr="00806CB8">
        <w:rPr>
          <w:rFonts w:cstheme="minorHAnsi"/>
        </w:rPr>
        <w:t>ředěné</w:t>
      </w:r>
      <w:r w:rsidR="00824BCB" w:rsidRPr="00806CB8">
        <w:rPr>
          <w:rFonts w:cstheme="minorHAnsi"/>
        </w:rPr>
        <w:t xml:space="preserve"> anti-AI s</w:t>
      </w:r>
      <w:r w:rsidR="00122E9D" w:rsidRPr="00806CB8">
        <w:rPr>
          <w:rFonts w:cstheme="minorHAnsi"/>
        </w:rPr>
        <w:t>érum</w:t>
      </w:r>
      <w:r w:rsidR="00824BCB" w:rsidRPr="00806CB8">
        <w:rPr>
          <w:rFonts w:cstheme="minorHAnsi"/>
        </w:rPr>
        <w:t>;</w:t>
      </w:r>
      <w:r w:rsidR="00122E9D" w:rsidRPr="00806CB8">
        <w:rPr>
          <w:rFonts w:cstheme="minorHAnsi"/>
        </w:rPr>
        <w:t xml:space="preserve"> konzervované</w:t>
      </w:r>
      <w:r w:rsidR="00824BCB" w:rsidRPr="00806CB8">
        <w:rPr>
          <w:rFonts w:cstheme="minorHAnsi"/>
        </w:rPr>
        <w:t xml:space="preserve"> </w:t>
      </w:r>
      <w:r w:rsidR="00AF3A4E" w:rsidRPr="00806CB8">
        <w:rPr>
          <w:rFonts w:cstheme="minorHAnsi"/>
        </w:rPr>
        <w:t>Proclinem™150</w:t>
      </w:r>
      <w:r w:rsidR="00122E9D" w:rsidRPr="00806CB8">
        <w:rPr>
          <w:rFonts w:cstheme="minorHAnsi"/>
        </w:rPr>
        <w:t xml:space="preserve">                                </w:t>
      </w:r>
      <w:r w:rsidR="00E85932" w:rsidRPr="00806CB8">
        <w:rPr>
          <w:rFonts w:cstheme="minorHAnsi"/>
        </w:rPr>
        <w:tab/>
      </w:r>
      <w:r w:rsidR="00824BCB" w:rsidRPr="00806CB8">
        <w:rPr>
          <w:rFonts w:cstheme="minorHAnsi"/>
        </w:rPr>
        <w:t>1 x 1</w:t>
      </w:r>
      <w:r w:rsidR="00E85932" w:rsidRPr="00806CB8">
        <w:rPr>
          <w:rFonts w:cstheme="minorHAnsi"/>
        </w:rPr>
        <w:t>,</w:t>
      </w:r>
      <w:r w:rsidR="00824BCB" w:rsidRPr="00806CB8">
        <w:rPr>
          <w:rFonts w:cstheme="minorHAnsi"/>
        </w:rPr>
        <w:t>9 m</w:t>
      </w:r>
      <w:r w:rsidR="00122E9D" w:rsidRPr="00806CB8">
        <w:rPr>
          <w:rFonts w:cstheme="minorHAnsi"/>
        </w:rPr>
        <w:t>l</w:t>
      </w:r>
    </w:p>
    <w:p w14:paraId="67E10243" w14:textId="3B3F5AFF" w:rsidR="00122E9D" w:rsidRPr="00806CB8" w:rsidRDefault="00824BCB" w:rsidP="00BB1BE4">
      <w:pPr>
        <w:spacing w:after="0"/>
        <w:rPr>
          <w:rFonts w:cstheme="minorHAnsi"/>
        </w:rPr>
      </w:pPr>
      <w:r w:rsidRPr="00806CB8">
        <w:rPr>
          <w:rFonts w:cstheme="minorHAnsi"/>
        </w:rPr>
        <w:t>3</w:t>
      </w:r>
      <w:r w:rsidR="00122E9D" w:rsidRPr="00806CB8">
        <w:rPr>
          <w:rFonts w:cstheme="minorHAnsi"/>
        </w:rPr>
        <w:t xml:space="preserve"> </w:t>
      </w:r>
      <w:r w:rsidR="008B10F0" w:rsidRPr="00806CB8">
        <w:rPr>
          <w:rFonts w:cstheme="minorHAnsi"/>
        </w:rPr>
        <w:t xml:space="preserve">  </w:t>
      </w:r>
      <w:r w:rsidRPr="00806CB8">
        <w:rPr>
          <w:rFonts w:cstheme="minorHAnsi"/>
        </w:rPr>
        <w:t>Negativ</w:t>
      </w:r>
      <w:r w:rsidR="00122E9D" w:rsidRPr="00806CB8">
        <w:rPr>
          <w:rFonts w:cstheme="minorHAnsi"/>
        </w:rPr>
        <w:t>ní</w:t>
      </w:r>
      <w:r w:rsidRPr="00806CB8">
        <w:rPr>
          <w:rFonts w:cstheme="minorHAnsi"/>
        </w:rPr>
        <w:t xml:space="preserve"> </w:t>
      </w:r>
      <w:r w:rsidR="00122E9D" w:rsidRPr="00806CB8">
        <w:rPr>
          <w:rFonts w:cstheme="minorHAnsi"/>
        </w:rPr>
        <w:t>k</w:t>
      </w:r>
      <w:r w:rsidRPr="00806CB8">
        <w:rPr>
          <w:rFonts w:cstheme="minorHAnsi"/>
        </w:rPr>
        <w:t>ontrol</w:t>
      </w:r>
      <w:r w:rsidR="00122E9D" w:rsidRPr="00806CB8">
        <w:rPr>
          <w:rFonts w:cstheme="minorHAnsi"/>
        </w:rPr>
        <w:t>a</w:t>
      </w:r>
    </w:p>
    <w:p w14:paraId="10DD960D" w14:textId="5A4B8DA9" w:rsidR="00824BCB" w:rsidRPr="00806CB8" w:rsidRDefault="00824BCB" w:rsidP="00824BCB">
      <w:pPr>
        <w:rPr>
          <w:rFonts w:cstheme="minorHAnsi"/>
        </w:rPr>
      </w:pPr>
      <w:r w:rsidRPr="00806CB8">
        <w:rPr>
          <w:rFonts w:cstheme="minorHAnsi"/>
        </w:rPr>
        <w:t xml:space="preserve"> — </w:t>
      </w:r>
      <w:r w:rsidR="00122E9D" w:rsidRPr="00806CB8">
        <w:rPr>
          <w:rFonts w:cstheme="minorHAnsi"/>
        </w:rPr>
        <w:t>ředěné kuřecí sérum nereaktivní na</w:t>
      </w:r>
      <w:r w:rsidRPr="00806CB8">
        <w:rPr>
          <w:rFonts w:cstheme="minorHAnsi"/>
        </w:rPr>
        <w:t xml:space="preserve"> AI,</w:t>
      </w:r>
      <w:r w:rsidR="00122E9D" w:rsidRPr="00806CB8">
        <w:rPr>
          <w:rFonts w:cstheme="minorHAnsi"/>
        </w:rPr>
        <w:t xml:space="preserve"> konzervované </w:t>
      </w:r>
      <w:r w:rsidR="00AF3A4E" w:rsidRPr="00806CB8">
        <w:rPr>
          <w:rFonts w:cstheme="minorHAnsi"/>
        </w:rPr>
        <w:t>Proclinem™150</w:t>
      </w:r>
      <w:r w:rsidR="00122E9D" w:rsidRPr="00806CB8">
        <w:rPr>
          <w:rFonts w:cstheme="minorHAnsi"/>
        </w:rPr>
        <w:t xml:space="preserve">     </w:t>
      </w:r>
      <w:r w:rsidR="00E85932" w:rsidRPr="00806CB8">
        <w:rPr>
          <w:rFonts w:cstheme="minorHAnsi"/>
        </w:rPr>
        <w:tab/>
      </w:r>
      <w:r w:rsidRPr="00806CB8">
        <w:rPr>
          <w:rFonts w:cstheme="minorHAnsi"/>
        </w:rPr>
        <w:t>1 x 1</w:t>
      </w:r>
      <w:r w:rsidR="00E85932" w:rsidRPr="00806CB8">
        <w:rPr>
          <w:rFonts w:cstheme="minorHAnsi"/>
        </w:rPr>
        <w:t>,</w:t>
      </w:r>
      <w:r w:rsidRPr="00806CB8">
        <w:rPr>
          <w:rFonts w:cstheme="minorHAnsi"/>
        </w:rPr>
        <w:t>9 m</w:t>
      </w:r>
      <w:r w:rsidR="00122E9D" w:rsidRPr="00806CB8">
        <w:rPr>
          <w:rFonts w:cstheme="minorHAnsi"/>
        </w:rPr>
        <w:t>l</w:t>
      </w:r>
    </w:p>
    <w:p w14:paraId="2CDE2F5E" w14:textId="0892C2C7" w:rsidR="00122E9D" w:rsidRPr="00806CB8" w:rsidRDefault="00824BCB" w:rsidP="00824BCB">
      <w:pPr>
        <w:rPr>
          <w:rFonts w:cstheme="minorHAnsi"/>
        </w:rPr>
      </w:pPr>
      <w:r w:rsidRPr="00806CB8">
        <w:rPr>
          <w:rFonts w:cstheme="minorHAnsi"/>
        </w:rPr>
        <w:t>4</w:t>
      </w:r>
      <w:r w:rsidR="00122E9D" w:rsidRPr="00806CB8">
        <w:rPr>
          <w:rFonts w:cstheme="minorHAnsi"/>
        </w:rPr>
        <w:t xml:space="preserve"> </w:t>
      </w:r>
      <w:r w:rsidR="008B10F0" w:rsidRPr="00806CB8">
        <w:rPr>
          <w:rFonts w:cstheme="minorHAnsi"/>
        </w:rPr>
        <w:t xml:space="preserve"> </w:t>
      </w:r>
      <w:r w:rsidR="00122E9D" w:rsidRPr="00806CB8">
        <w:rPr>
          <w:rFonts w:cstheme="minorHAnsi"/>
        </w:rPr>
        <w:t>K</w:t>
      </w:r>
      <w:r w:rsidRPr="00806CB8">
        <w:rPr>
          <w:rFonts w:cstheme="minorHAnsi"/>
        </w:rPr>
        <w:t>onjug</w:t>
      </w:r>
      <w:r w:rsidR="00122E9D" w:rsidRPr="00806CB8">
        <w:rPr>
          <w:rFonts w:cstheme="minorHAnsi"/>
        </w:rPr>
        <w:t>át</w:t>
      </w:r>
    </w:p>
    <w:p w14:paraId="0DD25C92" w14:textId="77777777" w:rsidR="00806CB8" w:rsidRPr="00806CB8" w:rsidRDefault="00824BCB" w:rsidP="00824BCB">
      <w:pPr>
        <w:contextualSpacing/>
        <w:rPr>
          <w:rFonts w:cstheme="minorHAnsi"/>
        </w:rPr>
      </w:pPr>
      <w:r w:rsidRPr="00806CB8">
        <w:rPr>
          <w:rFonts w:cstheme="minorHAnsi"/>
        </w:rPr>
        <w:t xml:space="preserve"> </w:t>
      </w:r>
      <w:r w:rsidR="008B10F0" w:rsidRPr="00806CB8">
        <w:rPr>
          <w:rFonts w:cstheme="minorHAnsi"/>
        </w:rPr>
        <w:t xml:space="preserve"> </w:t>
      </w:r>
      <w:r w:rsidRPr="00806CB8">
        <w:rPr>
          <w:rFonts w:cstheme="minorHAnsi"/>
        </w:rPr>
        <w:t>— (</w:t>
      </w:r>
      <w:r w:rsidR="00122E9D" w:rsidRPr="00806CB8">
        <w:rPr>
          <w:rFonts w:cstheme="minorHAnsi"/>
        </w:rPr>
        <w:t>kozí</w:t>
      </w:r>
      <w:r w:rsidRPr="00806CB8">
        <w:rPr>
          <w:rFonts w:cstheme="minorHAnsi"/>
        </w:rPr>
        <w:t xml:space="preserve">) </w:t>
      </w:r>
      <w:r w:rsidR="00122E9D" w:rsidRPr="00806CB8">
        <w:rPr>
          <w:rFonts w:cstheme="minorHAnsi"/>
        </w:rPr>
        <w:t>proti</w:t>
      </w:r>
      <w:r w:rsidRPr="00806CB8">
        <w:rPr>
          <w:rFonts w:cstheme="minorHAnsi"/>
        </w:rPr>
        <w:t>-</w:t>
      </w:r>
      <w:r w:rsidR="00122E9D" w:rsidRPr="00806CB8">
        <w:rPr>
          <w:rFonts w:cstheme="minorHAnsi"/>
        </w:rPr>
        <w:t>kuřecí</w:t>
      </w:r>
      <w:r w:rsidRPr="00806CB8">
        <w:rPr>
          <w:rFonts w:cstheme="minorHAnsi"/>
        </w:rPr>
        <w:t>/(</w:t>
      </w:r>
      <w:r w:rsidR="00122E9D" w:rsidRPr="00806CB8">
        <w:rPr>
          <w:rFonts w:cstheme="minorHAnsi"/>
        </w:rPr>
        <w:t>kozí</w:t>
      </w:r>
      <w:r w:rsidRPr="00806CB8">
        <w:rPr>
          <w:rFonts w:cstheme="minorHAnsi"/>
        </w:rPr>
        <w:t xml:space="preserve">) </w:t>
      </w:r>
      <w:r w:rsidR="00122E9D" w:rsidRPr="00806CB8">
        <w:rPr>
          <w:rFonts w:cstheme="minorHAnsi"/>
        </w:rPr>
        <w:t>proti-krůtí</w:t>
      </w:r>
      <w:r w:rsidRPr="00806CB8">
        <w:rPr>
          <w:rFonts w:cstheme="minorHAnsi"/>
        </w:rPr>
        <w:t xml:space="preserve">: HRPO </w:t>
      </w:r>
      <w:r w:rsidR="00122E9D" w:rsidRPr="00806CB8">
        <w:rPr>
          <w:rFonts w:cstheme="minorHAnsi"/>
        </w:rPr>
        <w:t>k</w:t>
      </w:r>
      <w:r w:rsidRPr="00806CB8">
        <w:rPr>
          <w:rFonts w:cstheme="minorHAnsi"/>
        </w:rPr>
        <w:t>onjug</w:t>
      </w:r>
      <w:r w:rsidR="00122E9D" w:rsidRPr="00806CB8">
        <w:rPr>
          <w:rFonts w:cstheme="minorHAnsi"/>
        </w:rPr>
        <w:t>át</w:t>
      </w:r>
      <w:r w:rsidRPr="00806CB8">
        <w:rPr>
          <w:rFonts w:cstheme="minorHAnsi"/>
        </w:rPr>
        <w:t xml:space="preserve">; </w:t>
      </w:r>
      <w:r w:rsidR="008C3270" w:rsidRPr="00806CB8">
        <w:rPr>
          <w:rFonts w:cstheme="minorHAnsi"/>
        </w:rPr>
        <w:t xml:space="preserve"> </w:t>
      </w:r>
      <w:r w:rsidR="008B10F0" w:rsidRPr="00806CB8">
        <w:rPr>
          <w:rFonts w:cstheme="minorHAnsi"/>
        </w:rPr>
        <w:t>konzervovaný</w:t>
      </w:r>
      <w:r w:rsidRPr="00806CB8">
        <w:rPr>
          <w:rFonts w:cstheme="minorHAnsi"/>
        </w:rPr>
        <w:t xml:space="preserve"> </w:t>
      </w:r>
      <w:r w:rsidR="00AF3A4E" w:rsidRPr="00806CB8">
        <w:rPr>
          <w:rFonts w:cstheme="minorHAnsi"/>
        </w:rPr>
        <w:t>Proclinem</w:t>
      </w:r>
      <w:r w:rsidR="00921BE3" w:rsidRPr="00806CB8">
        <w:rPr>
          <w:rFonts w:cstheme="minorHAnsi"/>
        </w:rPr>
        <w:t xml:space="preserve"> </w:t>
      </w:r>
      <w:r w:rsidR="00AF3A4E" w:rsidRPr="00806CB8">
        <w:rPr>
          <w:rFonts w:cstheme="minorHAnsi"/>
        </w:rPr>
        <w:t>150</w:t>
      </w:r>
    </w:p>
    <w:p w14:paraId="26D37BD7" w14:textId="6DC10622" w:rsidR="00824BCB" w:rsidRPr="00806CB8" w:rsidRDefault="008B10F0" w:rsidP="00824BCB">
      <w:pPr>
        <w:rPr>
          <w:rFonts w:cstheme="minorHAnsi"/>
        </w:rPr>
      </w:pPr>
      <w:r w:rsidRPr="00806CB8">
        <w:rPr>
          <w:rFonts w:cstheme="minorHAnsi"/>
        </w:rPr>
        <w:t xml:space="preserve">             </w:t>
      </w:r>
      <w:r w:rsidR="00E85932" w:rsidRPr="00806CB8">
        <w:rPr>
          <w:rFonts w:cstheme="minorHAnsi"/>
        </w:rPr>
        <w:tab/>
      </w:r>
      <w:r w:rsidR="00E85932" w:rsidRPr="00806CB8">
        <w:rPr>
          <w:rFonts w:cstheme="minorHAnsi"/>
        </w:rPr>
        <w:tab/>
      </w:r>
      <w:r w:rsidR="008C3270" w:rsidRPr="00806CB8">
        <w:rPr>
          <w:rFonts w:cstheme="minorHAnsi"/>
        </w:rPr>
        <w:tab/>
      </w:r>
      <w:r w:rsidR="008C3270" w:rsidRPr="00806CB8">
        <w:rPr>
          <w:rFonts w:cstheme="minorHAnsi"/>
        </w:rPr>
        <w:tab/>
      </w:r>
      <w:r w:rsidR="008C3270" w:rsidRPr="00806CB8">
        <w:rPr>
          <w:rFonts w:cstheme="minorHAnsi"/>
        </w:rPr>
        <w:tab/>
      </w:r>
      <w:r w:rsidR="008C3270" w:rsidRPr="00806CB8">
        <w:rPr>
          <w:rFonts w:cstheme="minorHAnsi"/>
        </w:rPr>
        <w:tab/>
      </w:r>
      <w:r w:rsidR="008C3270" w:rsidRPr="00806CB8">
        <w:rPr>
          <w:rFonts w:cstheme="minorHAnsi"/>
        </w:rPr>
        <w:tab/>
      </w:r>
      <w:r w:rsidR="008C3270" w:rsidRPr="00806CB8">
        <w:rPr>
          <w:rFonts w:cstheme="minorHAnsi"/>
        </w:rPr>
        <w:tab/>
      </w:r>
      <w:r w:rsidR="008C3270" w:rsidRPr="00806CB8">
        <w:rPr>
          <w:rFonts w:cstheme="minorHAnsi"/>
        </w:rPr>
        <w:tab/>
      </w:r>
      <w:r w:rsidR="008C3270" w:rsidRPr="00806CB8">
        <w:rPr>
          <w:rFonts w:cstheme="minorHAnsi"/>
        </w:rPr>
        <w:tab/>
      </w:r>
      <w:r w:rsidR="00824BCB" w:rsidRPr="00806CB8">
        <w:rPr>
          <w:rFonts w:cstheme="minorHAnsi"/>
        </w:rPr>
        <w:t>1 x 50 m</w:t>
      </w:r>
      <w:r w:rsidRPr="00806CB8">
        <w:rPr>
          <w:rFonts w:cstheme="minorHAnsi"/>
        </w:rPr>
        <w:t>l</w:t>
      </w:r>
    </w:p>
    <w:p w14:paraId="1A42BC74" w14:textId="0EB7AE30" w:rsidR="00824BCB" w:rsidRPr="00806CB8" w:rsidRDefault="00824BCB" w:rsidP="00824BCB">
      <w:pPr>
        <w:rPr>
          <w:rFonts w:cstheme="minorHAnsi"/>
        </w:rPr>
      </w:pPr>
      <w:r w:rsidRPr="00806CB8">
        <w:rPr>
          <w:rFonts w:cstheme="minorHAnsi"/>
        </w:rPr>
        <w:t xml:space="preserve">5 </w:t>
      </w:r>
      <w:r w:rsidR="008B10F0" w:rsidRPr="00806CB8">
        <w:rPr>
          <w:rFonts w:cstheme="minorHAnsi"/>
        </w:rPr>
        <w:t xml:space="preserve">  </w:t>
      </w:r>
      <w:r w:rsidR="00E81B2B" w:rsidRPr="00806CB8">
        <w:rPr>
          <w:rFonts w:cstheme="minorHAnsi"/>
        </w:rPr>
        <w:t>Ředící roz</w:t>
      </w:r>
      <w:r w:rsidRPr="00806CB8">
        <w:rPr>
          <w:rFonts w:cstheme="minorHAnsi"/>
        </w:rPr>
        <w:t>t</w:t>
      </w:r>
      <w:r w:rsidR="00E81B2B" w:rsidRPr="00806CB8">
        <w:rPr>
          <w:rFonts w:cstheme="minorHAnsi"/>
        </w:rPr>
        <w:t>ok</w:t>
      </w:r>
      <w:r w:rsidR="008B10F0" w:rsidRPr="00806CB8">
        <w:rPr>
          <w:rFonts w:cstheme="minorHAnsi"/>
        </w:rPr>
        <w:t xml:space="preserve"> vzorku</w:t>
      </w:r>
      <w:r w:rsidRPr="00806CB8">
        <w:rPr>
          <w:rFonts w:cstheme="minorHAnsi"/>
        </w:rPr>
        <w:t xml:space="preserve"> — </w:t>
      </w:r>
      <w:r w:rsidR="008B10F0" w:rsidRPr="00806CB8">
        <w:rPr>
          <w:rFonts w:cstheme="minorHAnsi"/>
        </w:rPr>
        <w:t xml:space="preserve">konzervovaný </w:t>
      </w:r>
      <w:r w:rsidR="00AF3A4E" w:rsidRPr="00806CB8">
        <w:rPr>
          <w:rFonts w:cstheme="minorHAnsi"/>
        </w:rPr>
        <w:t>Proclinem™150</w:t>
      </w:r>
      <w:r w:rsidR="008B10F0" w:rsidRPr="00806CB8">
        <w:rPr>
          <w:rFonts w:cstheme="minorHAnsi"/>
        </w:rPr>
        <w:t xml:space="preserve">                                </w:t>
      </w:r>
      <w:r w:rsidR="00AF3A4E" w:rsidRPr="00806CB8">
        <w:rPr>
          <w:rFonts w:cstheme="minorHAnsi"/>
        </w:rPr>
        <w:t xml:space="preserve"> </w:t>
      </w:r>
      <w:r w:rsidR="00E85932" w:rsidRPr="00806CB8">
        <w:rPr>
          <w:rFonts w:cstheme="minorHAnsi"/>
        </w:rPr>
        <w:tab/>
      </w:r>
      <w:r w:rsidRPr="00806CB8">
        <w:rPr>
          <w:rFonts w:cstheme="minorHAnsi"/>
        </w:rPr>
        <w:t>1 x 235 m</w:t>
      </w:r>
      <w:r w:rsidR="008B10F0" w:rsidRPr="00806CB8">
        <w:rPr>
          <w:rFonts w:cstheme="minorHAnsi"/>
        </w:rPr>
        <w:t>l</w:t>
      </w:r>
    </w:p>
    <w:p w14:paraId="0D445D59" w14:textId="626223FF" w:rsidR="00824BCB" w:rsidRPr="00806CB8" w:rsidRDefault="00824BCB" w:rsidP="00824BCB">
      <w:pPr>
        <w:rPr>
          <w:rFonts w:cstheme="minorHAnsi"/>
        </w:rPr>
      </w:pPr>
      <w:r w:rsidRPr="00806CB8">
        <w:rPr>
          <w:rFonts w:cstheme="minorHAnsi"/>
        </w:rPr>
        <w:t xml:space="preserve">A </w:t>
      </w:r>
      <w:r w:rsidR="008B10F0" w:rsidRPr="00806CB8">
        <w:rPr>
          <w:rFonts w:cstheme="minorHAnsi"/>
        </w:rPr>
        <w:t xml:space="preserve">            </w:t>
      </w:r>
      <w:r w:rsidRPr="00806CB8">
        <w:rPr>
          <w:rFonts w:cstheme="minorHAnsi"/>
        </w:rPr>
        <w:t>TMB Substr</w:t>
      </w:r>
      <w:r w:rsidR="00485446" w:rsidRPr="00806CB8">
        <w:rPr>
          <w:rFonts w:cstheme="minorHAnsi"/>
        </w:rPr>
        <w:t>á</w:t>
      </w:r>
      <w:r w:rsidRPr="00806CB8">
        <w:rPr>
          <w:rFonts w:cstheme="minorHAnsi"/>
        </w:rPr>
        <w:t xml:space="preserve">t </w:t>
      </w:r>
      <w:r w:rsidR="008B10F0" w:rsidRPr="00806CB8">
        <w:rPr>
          <w:rFonts w:cstheme="minorHAnsi"/>
        </w:rPr>
        <w:t xml:space="preserve">                                                       </w:t>
      </w:r>
      <w:r w:rsidR="00485446" w:rsidRPr="00806CB8">
        <w:rPr>
          <w:rFonts w:cstheme="minorHAnsi"/>
        </w:rPr>
        <w:t xml:space="preserve">  </w:t>
      </w:r>
      <w:r w:rsidR="008B10F0" w:rsidRPr="00806CB8">
        <w:rPr>
          <w:rFonts w:cstheme="minorHAnsi"/>
        </w:rPr>
        <w:t xml:space="preserve">                             </w:t>
      </w:r>
      <w:r w:rsidR="00E85932" w:rsidRPr="00806CB8">
        <w:rPr>
          <w:rFonts w:cstheme="minorHAnsi"/>
        </w:rPr>
        <w:tab/>
      </w:r>
      <w:r w:rsidR="00E85932" w:rsidRPr="00806CB8">
        <w:rPr>
          <w:rFonts w:cstheme="minorHAnsi"/>
        </w:rPr>
        <w:tab/>
      </w:r>
      <w:r w:rsidRPr="00806CB8">
        <w:rPr>
          <w:rFonts w:cstheme="minorHAnsi"/>
        </w:rPr>
        <w:t>1 x 60 m</w:t>
      </w:r>
      <w:r w:rsidR="008B10F0" w:rsidRPr="00806CB8">
        <w:rPr>
          <w:rFonts w:cstheme="minorHAnsi"/>
        </w:rPr>
        <w:t>l</w:t>
      </w:r>
    </w:p>
    <w:p w14:paraId="12BDE372" w14:textId="61B0FC53" w:rsidR="00824BCB" w:rsidRPr="00806CB8" w:rsidRDefault="00824BCB" w:rsidP="00824BCB">
      <w:pPr>
        <w:rPr>
          <w:rFonts w:cstheme="minorHAnsi"/>
        </w:rPr>
      </w:pPr>
      <w:r w:rsidRPr="00806CB8">
        <w:rPr>
          <w:rFonts w:cstheme="minorHAnsi"/>
        </w:rPr>
        <w:t xml:space="preserve">B </w:t>
      </w:r>
      <w:r w:rsidR="008B10F0" w:rsidRPr="00806CB8">
        <w:rPr>
          <w:rFonts w:cstheme="minorHAnsi"/>
        </w:rPr>
        <w:t xml:space="preserve">            Zastavovací</w:t>
      </w:r>
      <w:r w:rsidRPr="00806CB8">
        <w:rPr>
          <w:rFonts w:cstheme="minorHAnsi"/>
        </w:rPr>
        <w:t xml:space="preserve"> </w:t>
      </w:r>
      <w:r w:rsidR="008B10F0" w:rsidRPr="00806CB8">
        <w:rPr>
          <w:rFonts w:cstheme="minorHAnsi"/>
        </w:rPr>
        <w:t>roztok</w:t>
      </w:r>
      <w:r w:rsidR="003D0E9C" w:rsidRPr="00806CB8">
        <w:rPr>
          <w:rFonts w:cstheme="minorHAnsi"/>
        </w:rPr>
        <w:t xml:space="preserve"> </w:t>
      </w:r>
      <w:r w:rsidR="00531B3C" w:rsidRPr="00806CB8">
        <w:rPr>
          <w:rFonts w:cstheme="minorHAnsi"/>
        </w:rPr>
        <w:t xml:space="preserve">                    </w:t>
      </w:r>
      <w:r w:rsidR="008B10F0" w:rsidRPr="00806CB8">
        <w:rPr>
          <w:rFonts w:cstheme="minorHAnsi"/>
        </w:rPr>
        <w:t xml:space="preserve">                                                          </w:t>
      </w:r>
      <w:r w:rsidR="00E85932" w:rsidRPr="00806CB8">
        <w:rPr>
          <w:rFonts w:cstheme="minorHAnsi"/>
        </w:rPr>
        <w:tab/>
      </w:r>
      <w:r w:rsidR="00E85932" w:rsidRPr="00806CB8">
        <w:rPr>
          <w:rFonts w:cstheme="minorHAnsi"/>
        </w:rPr>
        <w:tab/>
      </w:r>
      <w:r w:rsidRPr="00806CB8">
        <w:rPr>
          <w:rFonts w:cstheme="minorHAnsi"/>
        </w:rPr>
        <w:t>1 x 60 m</w:t>
      </w:r>
      <w:r w:rsidR="008B10F0" w:rsidRPr="00806CB8">
        <w:rPr>
          <w:rFonts w:cstheme="minorHAnsi"/>
        </w:rPr>
        <w:t>l</w:t>
      </w:r>
    </w:p>
    <w:p w14:paraId="4F4EF55C" w14:textId="0B8FEF1B" w:rsidR="008B10F0" w:rsidRPr="00806CB8" w:rsidRDefault="0098735D" w:rsidP="00824BCB">
      <w:pPr>
        <w:rPr>
          <w:rFonts w:cstheme="minorHAnsi"/>
        </w:rPr>
      </w:pPr>
      <w:r w:rsidRPr="00806CB8">
        <w:rPr>
          <w:rFonts w:cstheme="minorHAnsi"/>
        </w:rPr>
        <w:t xml:space="preserve">Poznámka: </w:t>
      </w:r>
      <w:r w:rsidR="00AF3A4E" w:rsidRPr="00806CB8">
        <w:rPr>
          <w:rFonts w:cstheme="minorHAnsi"/>
        </w:rPr>
        <w:t>Popis symbolů použitých v této příbalové informaci a popisků této testovací sady najdete v tabulce na konci informace.</w:t>
      </w:r>
    </w:p>
    <w:p w14:paraId="43178D0A" w14:textId="10F9F282" w:rsidR="008B10F0" w:rsidRPr="00806CB8" w:rsidRDefault="0098735D" w:rsidP="00824BCB">
      <w:pPr>
        <w:rPr>
          <w:rFonts w:cstheme="minorHAnsi"/>
          <w:b/>
        </w:rPr>
      </w:pPr>
      <w:r w:rsidRPr="00806CB8">
        <w:rPr>
          <w:rFonts w:cstheme="minorHAnsi"/>
          <w:b/>
        </w:rPr>
        <w:lastRenderedPageBreak/>
        <w:t>Uchová</w:t>
      </w:r>
      <w:r w:rsidR="008B10F0" w:rsidRPr="00806CB8">
        <w:rPr>
          <w:rFonts w:cstheme="minorHAnsi"/>
          <w:b/>
        </w:rPr>
        <w:t>vání</w:t>
      </w:r>
      <w:r w:rsidR="00824BCB" w:rsidRPr="00806CB8">
        <w:rPr>
          <w:rFonts w:cstheme="minorHAnsi"/>
          <w:b/>
        </w:rPr>
        <w:t xml:space="preserve"> </w:t>
      </w:r>
    </w:p>
    <w:p w14:paraId="712E70BF" w14:textId="3AC9587D" w:rsidR="00824BCB" w:rsidRPr="00806CB8" w:rsidRDefault="00AF3A4E" w:rsidP="00824BCB">
      <w:pPr>
        <w:rPr>
          <w:rFonts w:cstheme="minorHAnsi"/>
        </w:rPr>
      </w:pPr>
      <w:r w:rsidRPr="00806CB8">
        <w:rPr>
          <w:rFonts w:cstheme="minorHAnsi"/>
        </w:rPr>
        <w:t>Činidla</w:t>
      </w:r>
      <w:r w:rsidR="003D0E9C" w:rsidRPr="00806CB8">
        <w:rPr>
          <w:rFonts w:cstheme="minorHAnsi"/>
        </w:rPr>
        <w:t xml:space="preserve"> skladujte při teplotě</w:t>
      </w:r>
      <w:r w:rsidR="00824BCB" w:rsidRPr="00806CB8">
        <w:rPr>
          <w:rFonts w:cstheme="minorHAnsi"/>
        </w:rPr>
        <w:t xml:space="preserve"> 2–8°C. </w:t>
      </w:r>
      <w:r w:rsidRPr="00806CB8">
        <w:rPr>
          <w:rFonts w:cstheme="minorHAnsi"/>
        </w:rPr>
        <w:t>Činidla</w:t>
      </w:r>
      <w:r w:rsidR="003D0E9C" w:rsidRPr="00806CB8">
        <w:rPr>
          <w:rFonts w:cstheme="minorHAnsi"/>
        </w:rPr>
        <w:t xml:space="preserve"> jsou stabilní do data ex</w:t>
      </w:r>
      <w:r w:rsidR="00BB1BE4" w:rsidRPr="00806CB8">
        <w:rPr>
          <w:rFonts w:cstheme="minorHAnsi"/>
        </w:rPr>
        <w:t>s</w:t>
      </w:r>
      <w:r w:rsidR="003D0E9C" w:rsidRPr="00806CB8">
        <w:rPr>
          <w:rFonts w:cstheme="minorHAnsi"/>
        </w:rPr>
        <w:t xml:space="preserve">pirace za předpokladu, že byly </w:t>
      </w:r>
      <w:r w:rsidR="00485446" w:rsidRPr="00806CB8">
        <w:rPr>
          <w:rFonts w:cstheme="minorHAnsi"/>
        </w:rPr>
        <w:t xml:space="preserve">správně </w:t>
      </w:r>
      <w:r w:rsidR="003D0E9C" w:rsidRPr="00806CB8">
        <w:rPr>
          <w:rFonts w:cstheme="minorHAnsi"/>
        </w:rPr>
        <w:t>skladovány.</w:t>
      </w:r>
      <w:r w:rsidR="00824BCB" w:rsidRPr="00806CB8">
        <w:rPr>
          <w:rFonts w:cstheme="minorHAnsi"/>
        </w:rPr>
        <w:t xml:space="preserve"> </w:t>
      </w:r>
    </w:p>
    <w:p w14:paraId="296F3C80" w14:textId="4DA91F57" w:rsidR="003D0E9C" w:rsidRPr="00806CB8" w:rsidRDefault="0098735D" w:rsidP="00824BCB">
      <w:pPr>
        <w:rPr>
          <w:rFonts w:cstheme="minorHAnsi"/>
          <w:b/>
        </w:rPr>
      </w:pPr>
      <w:r w:rsidRPr="00806CB8">
        <w:rPr>
          <w:rFonts w:cstheme="minorHAnsi"/>
          <w:b/>
        </w:rPr>
        <w:t>Nezbytné pomůcky a nástroje, které nejsou součástí sady</w:t>
      </w:r>
    </w:p>
    <w:p w14:paraId="51FE8E9C" w14:textId="69C4608F" w:rsidR="008B10F0" w:rsidRPr="00806CB8" w:rsidRDefault="00824BCB" w:rsidP="00824BCB">
      <w:pPr>
        <w:rPr>
          <w:rFonts w:cstheme="minorHAnsi"/>
        </w:rPr>
      </w:pPr>
      <w:r w:rsidRPr="00806CB8">
        <w:rPr>
          <w:rFonts w:cstheme="minorHAnsi"/>
        </w:rPr>
        <w:t>• P</w:t>
      </w:r>
      <w:r w:rsidR="003D0E9C" w:rsidRPr="00806CB8">
        <w:rPr>
          <w:rFonts w:cstheme="minorHAnsi"/>
        </w:rPr>
        <w:t xml:space="preserve">řesné mikropipety a </w:t>
      </w:r>
      <w:r w:rsidR="00485446" w:rsidRPr="00806CB8">
        <w:rPr>
          <w:rFonts w:cstheme="minorHAnsi"/>
        </w:rPr>
        <w:t>m</w:t>
      </w:r>
      <w:r w:rsidR="003D0E9C" w:rsidRPr="00806CB8">
        <w:rPr>
          <w:rFonts w:cstheme="minorHAnsi"/>
        </w:rPr>
        <w:t>ikropipety</w:t>
      </w:r>
      <w:r w:rsidR="0098735D" w:rsidRPr="00806CB8">
        <w:rPr>
          <w:rFonts w:cstheme="minorHAnsi"/>
        </w:rPr>
        <w:t xml:space="preserve"> pro hromadné dávkování</w:t>
      </w:r>
    </w:p>
    <w:p w14:paraId="1A9BB7A0" w14:textId="3F35AD60" w:rsidR="008B10F0" w:rsidRPr="00806CB8" w:rsidRDefault="00824BCB" w:rsidP="00824BCB">
      <w:pPr>
        <w:rPr>
          <w:rFonts w:cstheme="minorHAnsi"/>
        </w:rPr>
      </w:pPr>
      <w:r w:rsidRPr="00806CB8">
        <w:rPr>
          <w:rFonts w:cstheme="minorHAnsi"/>
        </w:rPr>
        <w:t xml:space="preserve">• </w:t>
      </w:r>
      <w:r w:rsidR="003D0E9C" w:rsidRPr="00806CB8">
        <w:rPr>
          <w:rFonts w:cstheme="minorHAnsi"/>
        </w:rPr>
        <w:t xml:space="preserve">Jednorázové </w:t>
      </w:r>
      <w:r w:rsidR="00AF3A4E" w:rsidRPr="00806CB8">
        <w:rPr>
          <w:rFonts w:cstheme="minorHAnsi"/>
        </w:rPr>
        <w:t>pipetovací špičky</w:t>
      </w:r>
    </w:p>
    <w:p w14:paraId="4E59D868" w14:textId="55C3F09A" w:rsidR="008B10F0" w:rsidRPr="00806CB8" w:rsidRDefault="00824BCB" w:rsidP="00824BCB">
      <w:pPr>
        <w:rPr>
          <w:rFonts w:cstheme="minorHAnsi"/>
        </w:rPr>
      </w:pPr>
      <w:r w:rsidRPr="00806CB8">
        <w:rPr>
          <w:rFonts w:cstheme="minorHAnsi"/>
        </w:rPr>
        <w:t>•</w:t>
      </w:r>
      <w:r w:rsidR="003D0E9C" w:rsidRPr="00806CB8">
        <w:rPr>
          <w:rFonts w:cstheme="minorHAnsi"/>
        </w:rPr>
        <w:t xml:space="preserve"> Čtečka </w:t>
      </w:r>
      <w:r w:rsidRPr="00806CB8">
        <w:rPr>
          <w:rFonts w:cstheme="minorHAnsi"/>
        </w:rPr>
        <w:t>96</w:t>
      </w:r>
      <w:r w:rsidR="003D0E9C" w:rsidRPr="00806CB8">
        <w:rPr>
          <w:rFonts w:cstheme="minorHAnsi"/>
        </w:rPr>
        <w:t>jamkových mikro</w:t>
      </w:r>
      <w:r w:rsidR="0098735D" w:rsidRPr="00806CB8">
        <w:rPr>
          <w:rFonts w:cstheme="minorHAnsi"/>
        </w:rPr>
        <w:t xml:space="preserve">titračních </w:t>
      </w:r>
      <w:r w:rsidR="003D0E9C" w:rsidRPr="00806CB8">
        <w:rPr>
          <w:rFonts w:cstheme="minorHAnsi"/>
        </w:rPr>
        <w:t>destiček</w:t>
      </w:r>
      <w:r w:rsidRPr="00806CB8">
        <w:rPr>
          <w:rFonts w:cstheme="minorHAnsi"/>
        </w:rPr>
        <w:t xml:space="preserve"> (</w:t>
      </w:r>
      <w:r w:rsidR="003D0E9C" w:rsidRPr="00806CB8">
        <w:rPr>
          <w:rFonts w:cstheme="minorHAnsi"/>
        </w:rPr>
        <w:t>vybavená</w:t>
      </w:r>
      <w:r w:rsidRPr="00806CB8">
        <w:rPr>
          <w:rFonts w:cstheme="minorHAnsi"/>
        </w:rPr>
        <w:t xml:space="preserve"> 650 nm filtr</w:t>
      </w:r>
      <w:r w:rsidR="003D0E9C" w:rsidRPr="00806CB8">
        <w:rPr>
          <w:rFonts w:cstheme="minorHAnsi"/>
        </w:rPr>
        <w:t>em</w:t>
      </w:r>
      <w:r w:rsidRPr="00806CB8">
        <w:rPr>
          <w:rFonts w:cstheme="minorHAnsi"/>
        </w:rPr>
        <w:t xml:space="preserve">) </w:t>
      </w:r>
    </w:p>
    <w:p w14:paraId="3017B7DD" w14:textId="1C78D5CD" w:rsidR="008B10F0" w:rsidRPr="00806CB8" w:rsidRDefault="00824BCB" w:rsidP="00824BCB">
      <w:pPr>
        <w:rPr>
          <w:rFonts w:cstheme="minorHAnsi"/>
        </w:rPr>
      </w:pPr>
      <w:r w:rsidRPr="00806CB8">
        <w:rPr>
          <w:rFonts w:cstheme="minorHAnsi"/>
        </w:rPr>
        <w:t xml:space="preserve">• </w:t>
      </w:r>
      <w:r w:rsidR="0098735D" w:rsidRPr="00806CB8">
        <w:rPr>
          <w:rFonts w:cstheme="minorHAnsi"/>
        </w:rPr>
        <w:t>Promývačka</w:t>
      </w:r>
      <w:r w:rsidR="003D0E9C" w:rsidRPr="00806CB8">
        <w:rPr>
          <w:rFonts w:cstheme="minorHAnsi"/>
        </w:rPr>
        <w:t xml:space="preserve"> mikro</w:t>
      </w:r>
      <w:r w:rsidR="0098735D" w:rsidRPr="00806CB8">
        <w:rPr>
          <w:rFonts w:cstheme="minorHAnsi"/>
        </w:rPr>
        <w:t xml:space="preserve">titračních </w:t>
      </w:r>
      <w:r w:rsidR="003D0E9C" w:rsidRPr="00806CB8">
        <w:rPr>
          <w:rFonts w:cstheme="minorHAnsi"/>
        </w:rPr>
        <w:t>destiček</w:t>
      </w:r>
      <w:r w:rsidRPr="00806CB8">
        <w:rPr>
          <w:rFonts w:cstheme="minorHAnsi"/>
        </w:rPr>
        <w:t xml:space="preserve"> (manu</w:t>
      </w:r>
      <w:r w:rsidR="003D0E9C" w:rsidRPr="00806CB8">
        <w:rPr>
          <w:rFonts w:cstheme="minorHAnsi"/>
        </w:rPr>
        <w:t>ální</w:t>
      </w:r>
      <w:r w:rsidRPr="00806CB8">
        <w:rPr>
          <w:rFonts w:cstheme="minorHAnsi"/>
        </w:rPr>
        <w:t xml:space="preserve">, </w:t>
      </w:r>
      <w:r w:rsidR="0051229D" w:rsidRPr="00806CB8">
        <w:rPr>
          <w:rFonts w:cstheme="minorHAnsi"/>
        </w:rPr>
        <w:t>polo</w:t>
      </w:r>
      <w:r w:rsidRPr="00806CB8">
        <w:rPr>
          <w:rFonts w:cstheme="minorHAnsi"/>
        </w:rPr>
        <w:t>automatic</w:t>
      </w:r>
      <w:r w:rsidR="003D0E9C" w:rsidRPr="00806CB8">
        <w:rPr>
          <w:rFonts w:cstheme="minorHAnsi"/>
        </w:rPr>
        <w:t>k</w:t>
      </w:r>
      <w:r w:rsidR="0098735D" w:rsidRPr="00806CB8">
        <w:rPr>
          <w:rFonts w:cstheme="minorHAnsi"/>
        </w:rPr>
        <w:t>á</w:t>
      </w:r>
      <w:r w:rsidR="003D0E9C" w:rsidRPr="00806CB8">
        <w:rPr>
          <w:rFonts w:cstheme="minorHAnsi"/>
        </w:rPr>
        <w:t xml:space="preserve"> nebo</w:t>
      </w:r>
      <w:r w:rsidRPr="00806CB8">
        <w:rPr>
          <w:rFonts w:cstheme="minorHAnsi"/>
        </w:rPr>
        <w:t xml:space="preserve"> automatic</w:t>
      </w:r>
      <w:r w:rsidR="003D0E9C" w:rsidRPr="00806CB8">
        <w:rPr>
          <w:rFonts w:cstheme="minorHAnsi"/>
        </w:rPr>
        <w:t>k</w:t>
      </w:r>
      <w:r w:rsidR="0098735D" w:rsidRPr="00806CB8">
        <w:rPr>
          <w:rFonts w:cstheme="minorHAnsi"/>
        </w:rPr>
        <w:t>á</w:t>
      </w:r>
      <w:r w:rsidRPr="00806CB8">
        <w:rPr>
          <w:rFonts w:cstheme="minorHAnsi"/>
        </w:rPr>
        <w:t xml:space="preserve">) </w:t>
      </w:r>
    </w:p>
    <w:p w14:paraId="386E060C" w14:textId="03ADB641" w:rsidR="0098735D" w:rsidRPr="00806CB8" w:rsidRDefault="00824BCB" w:rsidP="0098735D">
      <w:pPr>
        <w:rPr>
          <w:rFonts w:cstheme="minorHAnsi"/>
        </w:rPr>
      </w:pPr>
      <w:r w:rsidRPr="00806CB8">
        <w:rPr>
          <w:rFonts w:cstheme="minorHAnsi"/>
        </w:rPr>
        <w:t xml:space="preserve">• </w:t>
      </w:r>
      <w:r w:rsidR="0098735D" w:rsidRPr="00806CB8">
        <w:rPr>
          <w:rFonts w:cstheme="minorHAnsi"/>
        </w:rPr>
        <w:t>Při přípravě činidel pro testování</w:t>
      </w:r>
      <w:r w:rsidR="003D0E9C" w:rsidRPr="00806CB8">
        <w:rPr>
          <w:rFonts w:cstheme="minorHAnsi"/>
        </w:rPr>
        <w:t xml:space="preserve"> používejte pouze destilovanou nebo deionizovanou vodu</w:t>
      </w:r>
    </w:p>
    <w:p w14:paraId="1DA84E51" w14:textId="675D0BDD" w:rsidR="00824BCB" w:rsidRPr="00806CB8" w:rsidRDefault="00824BCB" w:rsidP="00824BCB">
      <w:pPr>
        <w:rPr>
          <w:rFonts w:cstheme="minorHAnsi"/>
        </w:rPr>
      </w:pPr>
      <w:r w:rsidRPr="00806CB8">
        <w:rPr>
          <w:rFonts w:cstheme="minorHAnsi"/>
        </w:rPr>
        <w:t xml:space="preserve">• Vortex </w:t>
      </w:r>
      <w:r w:rsidR="0098735D" w:rsidRPr="00806CB8">
        <w:rPr>
          <w:rFonts w:cstheme="minorHAnsi"/>
        </w:rPr>
        <w:t>nebo srovnatelné míchací zařízení</w:t>
      </w:r>
      <w:r w:rsidRPr="00806CB8">
        <w:rPr>
          <w:rFonts w:cstheme="minorHAnsi"/>
        </w:rPr>
        <w:t xml:space="preserve"> </w:t>
      </w:r>
    </w:p>
    <w:p w14:paraId="538AFA84" w14:textId="674B4D8C" w:rsidR="003D0E9C" w:rsidRPr="00806CB8" w:rsidRDefault="0098735D" w:rsidP="00824BCB">
      <w:pPr>
        <w:rPr>
          <w:rFonts w:cstheme="minorHAnsi"/>
          <w:b/>
        </w:rPr>
      </w:pPr>
      <w:r w:rsidRPr="00806CB8">
        <w:rPr>
          <w:rFonts w:cstheme="minorHAnsi"/>
          <w:b/>
        </w:rPr>
        <w:t>Upozornění a varování</w:t>
      </w:r>
    </w:p>
    <w:p w14:paraId="029A95D8" w14:textId="52E647CB" w:rsidR="008B10F0" w:rsidRPr="00806CB8" w:rsidRDefault="00824BCB" w:rsidP="00824BCB">
      <w:pPr>
        <w:rPr>
          <w:rFonts w:cstheme="minorHAnsi"/>
        </w:rPr>
      </w:pPr>
      <w:r w:rsidRPr="00806CB8">
        <w:rPr>
          <w:rFonts w:cstheme="minorHAnsi"/>
        </w:rPr>
        <w:t xml:space="preserve">• </w:t>
      </w:r>
      <w:r w:rsidR="003D0E9C" w:rsidRPr="00806CB8">
        <w:rPr>
          <w:rFonts w:cstheme="minorHAnsi"/>
        </w:rPr>
        <w:t>S veškerým biologickým materiálem</w:t>
      </w:r>
      <w:r w:rsidR="000431C9" w:rsidRPr="00806CB8">
        <w:rPr>
          <w:rFonts w:cstheme="minorHAnsi"/>
        </w:rPr>
        <w:t xml:space="preserve"> nakládejte</w:t>
      </w:r>
      <w:r w:rsidR="003D0E9C" w:rsidRPr="00806CB8">
        <w:rPr>
          <w:rFonts w:cstheme="minorHAnsi"/>
        </w:rPr>
        <w:t xml:space="preserve"> jako </w:t>
      </w:r>
      <w:r w:rsidR="000431C9" w:rsidRPr="00806CB8">
        <w:rPr>
          <w:rFonts w:cstheme="minorHAnsi"/>
        </w:rPr>
        <w:t xml:space="preserve">s </w:t>
      </w:r>
      <w:r w:rsidR="003D0E9C" w:rsidRPr="00806CB8">
        <w:rPr>
          <w:rFonts w:cstheme="minorHAnsi"/>
        </w:rPr>
        <w:t>potenciálně infekční</w:t>
      </w:r>
      <w:r w:rsidR="000431C9" w:rsidRPr="00806CB8">
        <w:rPr>
          <w:rFonts w:cstheme="minorHAnsi"/>
        </w:rPr>
        <w:t>m</w:t>
      </w:r>
      <w:r w:rsidR="003D0E9C" w:rsidRPr="00806CB8">
        <w:rPr>
          <w:rFonts w:cstheme="minorHAnsi"/>
        </w:rPr>
        <w:t>. Antigen použitý v</w:t>
      </w:r>
      <w:r w:rsidR="00806CB8" w:rsidRPr="00806CB8">
        <w:rPr>
          <w:rFonts w:cstheme="minorHAnsi"/>
        </w:rPr>
        <w:t> </w:t>
      </w:r>
      <w:r w:rsidR="003D0E9C" w:rsidRPr="00806CB8">
        <w:rPr>
          <w:rFonts w:cstheme="minorHAnsi"/>
        </w:rPr>
        <w:t>činidlech soupravy nemusí být zcela inaktivován.</w:t>
      </w:r>
    </w:p>
    <w:p w14:paraId="7F5F97A4" w14:textId="73CE01E7" w:rsidR="008B10F0" w:rsidRPr="00806CB8" w:rsidRDefault="00824BCB" w:rsidP="00824BCB">
      <w:pPr>
        <w:rPr>
          <w:rFonts w:cstheme="minorHAnsi"/>
        </w:rPr>
      </w:pPr>
      <w:r w:rsidRPr="00806CB8">
        <w:rPr>
          <w:rFonts w:cstheme="minorHAnsi"/>
        </w:rPr>
        <w:t xml:space="preserve">• </w:t>
      </w:r>
      <w:r w:rsidR="000431C9" w:rsidRPr="00806CB8">
        <w:rPr>
          <w:rFonts w:cstheme="minorHAnsi"/>
        </w:rPr>
        <w:t>Při manipulaci s vzorky a činidly používejte ochranné rukavice / ochranný oděv / ochranu očí nebo</w:t>
      </w:r>
      <w:r w:rsidR="00806CB8" w:rsidRPr="00806CB8">
        <w:rPr>
          <w:rFonts w:cstheme="minorHAnsi"/>
        </w:rPr>
        <w:t> </w:t>
      </w:r>
      <w:r w:rsidR="000431C9" w:rsidRPr="00806CB8">
        <w:rPr>
          <w:rFonts w:cstheme="minorHAnsi"/>
        </w:rPr>
        <w:t>obličeje.</w:t>
      </w:r>
    </w:p>
    <w:p w14:paraId="301D2E09" w14:textId="77777777" w:rsidR="00AF3A4E" w:rsidRPr="00806CB8" w:rsidRDefault="00824BCB" w:rsidP="00AF3A4E">
      <w:pPr>
        <w:rPr>
          <w:rFonts w:cstheme="minorHAnsi"/>
        </w:rPr>
      </w:pPr>
      <w:r w:rsidRPr="00806CB8">
        <w:rPr>
          <w:rFonts w:cstheme="minorHAnsi"/>
        </w:rPr>
        <w:t xml:space="preserve">• </w:t>
      </w:r>
      <w:r w:rsidR="000431C9" w:rsidRPr="00806CB8">
        <w:rPr>
          <w:rFonts w:cstheme="minorHAnsi"/>
        </w:rPr>
        <w:t>Další informace naleznete v bezpečnostních údajích o produktu na konci t</w:t>
      </w:r>
      <w:r w:rsidR="00AF3A4E" w:rsidRPr="00806CB8">
        <w:rPr>
          <w:rFonts w:cstheme="minorHAnsi"/>
        </w:rPr>
        <w:t>éto příbalové informace</w:t>
      </w:r>
      <w:r w:rsidR="000431C9" w:rsidRPr="00806CB8">
        <w:rPr>
          <w:rFonts w:cstheme="minorHAnsi"/>
        </w:rPr>
        <w:t>.</w:t>
      </w:r>
    </w:p>
    <w:p w14:paraId="448704BD" w14:textId="3840FC56" w:rsidR="00AF3A4E" w:rsidRPr="00806CB8" w:rsidRDefault="00AF3A4E" w:rsidP="00AF3A4E">
      <w:pPr>
        <w:rPr>
          <w:rFonts w:cstheme="minorHAnsi"/>
        </w:rPr>
      </w:pPr>
      <w:r w:rsidRPr="00806CB8">
        <w:rPr>
          <w:rFonts w:cstheme="minorHAnsi"/>
        </w:rPr>
        <w:t>Upozornění a bezpečnostní opatření pro použití činidel naleznete na konci této příbalové informace.</w:t>
      </w:r>
    </w:p>
    <w:p w14:paraId="52B222CA" w14:textId="4671CAD1" w:rsidR="008B10F0" w:rsidRPr="00806CB8" w:rsidRDefault="00824BCB" w:rsidP="00824BCB">
      <w:pPr>
        <w:rPr>
          <w:rFonts w:cstheme="minorHAnsi"/>
          <w:b/>
        </w:rPr>
      </w:pPr>
      <w:r w:rsidRPr="00806CB8">
        <w:rPr>
          <w:rFonts w:cstheme="minorHAnsi"/>
          <w:b/>
        </w:rPr>
        <w:t>Laborator</w:t>
      </w:r>
      <w:r w:rsidR="000431C9" w:rsidRPr="00806CB8">
        <w:rPr>
          <w:rFonts w:cstheme="minorHAnsi"/>
          <w:b/>
        </w:rPr>
        <w:t>ní postup</w:t>
      </w:r>
    </w:p>
    <w:p w14:paraId="2E61BC1D" w14:textId="4E08D4B2" w:rsidR="008B10F0" w:rsidRPr="00806CB8" w:rsidRDefault="00824BCB" w:rsidP="00824BCB">
      <w:pPr>
        <w:rPr>
          <w:rFonts w:cstheme="minorHAnsi"/>
        </w:rPr>
      </w:pPr>
      <w:r w:rsidRPr="00806CB8">
        <w:rPr>
          <w:rFonts w:cstheme="minorHAnsi"/>
        </w:rPr>
        <w:t>•</w:t>
      </w:r>
      <w:r w:rsidR="00E81B2B" w:rsidRPr="00806CB8">
        <w:rPr>
          <w:rFonts w:cstheme="minorHAnsi"/>
        </w:rPr>
        <w:t xml:space="preserve"> Optimálního výsledku</w:t>
      </w:r>
      <w:r w:rsidRPr="00806CB8">
        <w:rPr>
          <w:rFonts w:cstheme="minorHAnsi"/>
        </w:rPr>
        <w:t xml:space="preserve"> </w:t>
      </w:r>
      <w:r w:rsidR="00E81B2B" w:rsidRPr="00806CB8">
        <w:rPr>
          <w:rFonts w:cstheme="minorHAnsi"/>
        </w:rPr>
        <w:t>dosáhnete p</w:t>
      </w:r>
      <w:r w:rsidR="000C1513" w:rsidRPr="00806CB8">
        <w:rPr>
          <w:rFonts w:cstheme="minorHAnsi"/>
        </w:rPr>
        <w:t>ř</w:t>
      </w:r>
      <w:r w:rsidR="00E81B2B" w:rsidRPr="00806CB8">
        <w:rPr>
          <w:rFonts w:cstheme="minorHAnsi"/>
        </w:rPr>
        <w:t>esný</w:t>
      </w:r>
      <w:r w:rsidR="000C1513" w:rsidRPr="00806CB8">
        <w:rPr>
          <w:rFonts w:cstheme="minorHAnsi"/>
        </w:rPr>
        <w:t>m dodrž</w:t>
      </w:r>
      <w:r w:rsidR="00E81B2B" w:rsidRPr="00806CB8">
        <w:rPr>
          <w:rFonts w:cstheme="minorHAnsi"/>
        </w:rPr>
        <w:t>ením</w:t>
      </w:r>
      <w:r w:rsidR="000C1513" w:rsidRPr="00806CB8">
        <w:rPr>
          <w:rFonts w:cstheme="minorHAnsi"/>
        </w:rPr>
        <w:t xml:space="preserve"> tohoto postupu</w:t>
      </w:r>
      <w:r w:rsidR="000431C9" w:rsidRPr="00806CB8">
        <w:rPr>
          <w:rFonts w:cstheme="minorHAnsi"/>
        </w:rPr>
        <w:t>. P</w:t>
      </w:r>
      <w:r w:rsidR="000C1513" w:rsidRPr="00806CB8">
        <w:rPr>
          <w:rFonts w:cstheme="minorHAnsi"/>
        </w:rPr>
        <w:t>ro</w:t>
      </w:r>
      <w:r w:rsidR="000431C9" w:rsidRPr="00806CB8">
        <w:rPr>
          <w:rFonts w:cstheme="minorHAnsi"/>
        </w:rPr>
        <w:t xml:space="preserve"> zachování </w:t>
      </w:r>
      <w:r w:rsidR="000C1513" w:rsidRPr="00806CB8">
        <w:rPr>
          <w:rFonts w:cstheme="minorHAnsi"/>
        </w:rPr>
        <w:t>konzistentnosti výsledků</w:t>
      </w:r>
      <w:r w:rsidR="000431C9" w:rsidRPr="00806CB8">
        <w:rPr>
          <w:rFonts w:cstheme="minorHAnsi"/>
        </w:rPr>
        <w:t xml:space="preserve"> a přesnosti</w:t>
      </w:r>
      <w:r w:rsidR="000C1513" w:rsidRPr="00806CB8">
        <w:rPr>
          <w:rFonts w:cstheme="minorHAnsi"/>
        </w:rPr>
        <w:t xml:space="preserve"> měření</w:t>
      </w:r>
      <w:r w:rsidR="000431C9" w:rsidRPr="00806CB8">
        <w:rPr>
          <w:rFonts w:cstheme="minorHAnsi"/>
        </w:rPr>
        <w:t xml:space="preserve"> je nutné</w:t>
      </w:r>
      <w:r w:rsidR="000C1513" w:rsidRPr="00806CB8">
        <w:rPr>
          <w:rFonts w:cstheme="minorHAnsi"/>
        </w:rPr>
        <w:t xml:space="preserve"> zajistit</w:t>
      </w:r>
      <w:r w:rsidR="000431C9" w:rsidRPr="00806CB8">
        <w:rPr>
          <w:rFonts w:cstheme="minorHAnsi"/>
        </w:rPr>
        <w:t xml:space="preserve"> pečlivé pipetování,</w:t>
      </w:r>
      <w:r w:rsidR="000C1513" w:rsidRPr="00806CB8">
        <w:rPr>
          <w:rFonts w:cstheme="minorHAnsi"/>
        </w:rPr>
        <w:t xml:space="preserve"> správné </w:t>
      </w:r>
      <w:r w:rsidR="000431C9" w:rsidRPr="00806CB8">
        <w:rPr>
          <w:rFonts w:cstheme="minorHAnsi"/>
        </w:rPr>
        <w:t>načasování a</w:t>
      </w:r>
      <w:r w:rsidR="00806CB8" w:rsidRPr="00806CB8">
        <w:rPr>
          <w:rFonts w:cstheme="minorHAnsi"/>
        </w:rPr>
        <w:t> </w:t>
      </w:r>
      <w:r w:rsidR="000C1513" w:rsidRPr="00806CB8">
        <w:rPr>
          <w:rFonts w:cstheme="minorHAnsi"/>
        </w:rPr>
        <w:t>promývání</w:t>
      </w:r>
      <w:r w:rsidR="000431C9" w:rsidRPr="00806CB8">
        <w:rPr>
          <w:rFonts w:cstheme="minorHAnsi"/>
        </w:rPr>
        <w:t xml:space="preserve"> v průběhu </w:t>
      </w:r>
      <w:r w:rsidR="00E81B2B" w:rsidRPr="00806CB8">
        <w:rPr>
          <w:rFonts w:cstheme="minorHAnsi"/>
        </w:rPr>
        <w:t>pracovního</w:t>
      </w:r>
      <w:r w:rsidR="000431C9" w:rsidRPr="00806CB8">
        <w:rPr>
          <w:rFonts w:cstheme="minorHAnsi"/>
        </w:rPr>
        <w:t xml:space="preserve"> postupu. Pro každý vzorek a kontrolu použijte samostatn</w:t>
      </w:r>
      <w:r w:rsidR="00AF3A4E" w:rsidRPr="00806CB8">
        <w:rPr>
          <w:rFonts w:cstheme="minorHAnsi"/>
        </w:rPr>
        <w:t>ou pipetovací špičku</w:t>
      </w:r>
      <w:r w:rsidR="000431C9" w:rsidRPr="00806CB8">
        <w:rPr>
          <w:rFonts w:cstheme="minorHAnsi"/>
        </w:rPr>
        <w:t>.</w:t>
      </w:r>
    </w:p>
    <w:p w14:paraId="234497AE" w14:textId="354C3472" w:rsidR="000C1513" w:rsidRPr="00806CB8" w:rsidRDefault="00824BCB" w:rsidP="00824BCB">
      <w:pPr>
        <w:rPr>
          <w:rFonts w:cstheme="minorHAnsi"/>
        </w:rPr>
      </w:pPr>
      <w:r w:rsidRPr="00806CB8">
        <w:rPr>
          <w:rFonts w:cstheme="minorHAnsi"/>
        </w:rPr>
        <w:t xml:space="preserve">• TMB </w:t>
      </w:r>
      <w:r w:rsidR="000C1513" w:rsidRPr="00806CB8">
        <w:rPr>
          <w:rFonts w:cstheme="minorHAnsi"/>
        </w:rPr>
        <w:t>roztok nevystavujte přímému silnému světlu nebo jakýmkoli oxidačním činidlům.</w:t>
      </w:r>
      <w:r w:rsidR="00531B3C" w:rsidRPr="00806CB8">
        <w:rPr>
          <w:rFonts w:cstheme="minorHAnsi"/>
        </w:rPr>
        <w:t xml:space="preserve"> Na TMB roztok používejte čisté skleněné nebo plastové vybavení.</w:t>
      </w:r>
    </w:p>
    <w:p w14:paraId="246D24DE" w14:textId="7C3F5BB6" w:rsidR="00531B3C" w:rsidRPr="00806CB8" w:rsidRDefault="00824BCB" w:rsidP="00824BCB">
      <w:pPr>
        <w:rPr>
          <w:rFonts w:cstheme="minorHAnsi"/>
        </w:rPr>
      </w:pPr>
      <w:r w:rsidRPr="00806CB8">
        <w:rPr>
          <w:rFonts w:cstheme="minorHAnsi"/>
        </w:rPr>
        <w:t xml:space="preserve">• </w:t>
      </w:r>
      <w:r w:rsidR="00531B3C" w:rsidRPr="00806CB8">
        <w:rPr>
          <w:rFonts w:cstheme="minorHAnsi"/>
        </w:rPr>
        <w:t xml:space="preserve">Všechny odpady by měly být před likvidací řádně dekontaminovány. </w:t>
      </w:r>
      <w:r w:rsidR="002C4FF9" w:rsidRPr="00806CB8">
        <w:rPr>
          <w:rFonts w:cstheme="minorHAnsi"/>
        </w:rPr>
        <w:t>S odpadem je třeba nakládat</w:t>
      </w:r>
      <w:r w:rsidR="00531B3C" w:rsidRPr="00806CB8">
        <w:rPr>
          <w:rFonts w:cstheme="minorHAnsi"/>
        </w:rPr>
        <w:t xml:space="preserve"> v</w:t>
      </w:r>
      <w:r w:rsidR="00806CB8" w:rsidRPr="00806CB8">
        <w:rPr>
          <w:rFonts w:cstheme="minorHAnsi"/>
        </w:rPr>
        <w:t> </w:t>
      </w:r>
      <w:r w:rsidR="00531B3C" w:rsidRPr="00806CB8">
        <w:rPr>
          <w:rFonts w:cstheme="minorHAnsi"/>
        </w:rPr>
        <w:t>souladu s</w:t>
      </w:r>
      <w:r w:rsidR="001158CB" w:rsidRPr="00806CB8">
        <w:rPr>
          <w:rFonts w:cstheme="minorHAnsi"/>
        </w:rPr>
        <w:t> </w:t>
      </w:r>
      <w:r w:rsidR="00531B3C" w:rsidRPr="00806CB8">
        <w:rPr>
          <w:rFonts w:cstheme="minorHAnsi"/>
        </w:rPr>
        <w:t>místními</w:t>
      </w:r>
      <w:r w:rsidR="001158CB" w:rsidRPr="00806CB8">
        <w:rPr>
          <w:rFonts w:cstheme="minorHAnsi"/>
        </w:rPr>
        <w:t>, regionálními nebo</w:t>
      </w:r>
      <w:r w:rsidR="00531B3C" w:rsidRPr="00806CB8">
        <w:rPr>
          <w:rFonts w:cstheme="minorHAnsi"/>
        </w:rPr>
        <w:t xml:space="preserve"> </w:t>
      </w:r>
      <w:r w:rsidR="00E81B2B" w:rsidRPr="00806CB8">
        <w:rPr>
          <w:rFonts w:cstheme="minorHAnsi"/>
        </w:rPr>
        <w:t>státními</w:t>
      </w:r>
      <w:r w:rsidR="00531B3C" w:rsidRPr="00806CB8">
        <w:rPr>
          <w:rFonts w:cstheme="minorHAnsi"/>
        </w:rPr>
        <w:t xml:space="preserve"> </w:t>
      </w:r>
      <w:r w:rsidR="00E81B2B" w:rsidRPr="00806CB8">
        <w:rPr>
          <w:rFonts w:cstheme="minorHAnsi"/>
        </w:rPr>
        <w:t>nařízeními</w:t>
      </w:r>
      <w:r w:rsidR="00531B3C" w:rsidRPr="00806CB8">
        <w:rPr>
          <w:rFonts w:cstheme="minorHAnsi"/>
        </w:rPr>
        <w:t>.</w:t>
      </w:r>
    </w:p>
    <w:p w14:paraId="333C91DA" w14:textId="4CB1B888" w:rsidR="002C4FF9" w:rsidRPr="00806CB8" w:rsidRDefault="00824BCB" w:rsidP="00824BCB">
      <w:pPr>
        <w:rPr>
          <w:rFonts w:cstheme="minorHAnsi"/>
        </w:rPr>
      </w:pPr>
      <w:r w:rsidRPr="00806CB8">
        <w:rPr>
          <w:rFonts w:cstheme="minorHAnsi"/>
        </w:rPr>
        <w:t xml:space="preserve">• </w:t>
      </w:r>
      <w:r w:rsidR="002C4FF9" w:rsidRPr="00806CB8">
        <w:rPr>
          <w:rFonts w:cstheme="minorHAnsi"/>
        </w:rPr>
        <w:t xml:space="preserve">Je třeba zabránit možné kontaminaci součástí soupravy. Nespotřebovaná činidla nenalévejte zpět do </w:t>
      </w:r>
      <w:r w:rsidR="00AE6B93" w:rsidRPr="00806CB8">
        <w:rPr>
          <w:rFonts w:cstheme="minorHAnsi"/>
        </w:rPr>
        <w:t>nádobek</w:t>
      </w:r>
      <w:r w:rsidR="002C4FF9" w:rsidRPr="00806CB8">
        <w:rPr>
          <w:rFonts w:cstheme="minorHAnsi"/>
        </w:rPr>
        <w:t>.</w:t>
      </w:r>
    </w:p>
    <w:p w14:paraId="7C7034DC" w14:textId="1D6F91E4" w:rsidR="00A72A41" w:rsidRPr="00806CB8" w:rsidRDefault="00824BCB" w:rsidP="00824BCB">
      <w:pPr>
        <w:rPr>
          <w:rFonts w:cstheme="minorHAnsi"/>
          <w:b/>
        </w:rPr>
      </w:pPr>
      <w:r w:rsidRPr="00806CB8">
        <w:rPr>
          <w:rFonts w:cstheme="minorHAnsi"/>
        </w:rPr>
        <w:t xml:space="preserve">• </w:t>
      </w:r>
      <w:r w:rsidR="002C4FF9" w:rsidRPr="00806CB8">
        <w:rPr>
          <w:rFonts w:cstheme="minorHAnsi"/>
        </w:rPr>
        <w:t xml:space="preserve">Nepoužívejte </w:t>
      </w:r>
      <w:r w:rsidR="00AE6B93" w:rsidRPr="00806CB8">
        <w:rPr>
          <w:rFonts w:cstheme="minorHAnsi"/>
        </w:rPr>
        <w:t>soupravu po datu ex</w:t>
      </w:r>
      <w:r w:rsidR="00E85932" w:rsidRPr="00806CB8">
        <w:rPr>
          <w:rFonts w:cstheme="minorHAnsi"/>
        </w:rPr>
        <w:t>s</w:t>
      </w:r>
      <w:r w:rsidR="00AE6B93" w:rsidRPr="00806CB8">
        <w:rPr>
          <w:rFonts w:cstheme="minorHAnsi"/>
        </w:rPr>
        <w:t xml:space="preserve">pirace. </w:t>
      </w:r>
    </w:p>
    <w:p w14:paraId="13AF0B22" w14:textId="4D5BA662" w:rsidR="00A72A41" w:rsidRPr="00806CB8" w:rsidRDefault="00824BCB" w:rsidP="00824BCB">
      <w:pPr>
        <w:rPr>
          <w:rFonts w:cstheme="minorHAnsi"/>
          <w:b/>
        </w:rPr>
      </w:pPr>
      <w:r w:rsidRPr="00806CB8">
        <w:rPr>
          <w:rFonts w:cstheme="minorHAnsi"/>
          <w:b/>
        </w:rPr>
        <w:t>P</w:t>
      </w:r>
      <w:r w:rsidR="00E81B2B" w:rsidRPr="00806CB8">
        <w:rPr>
          <w:rFonts w:cstheme="minorHAnsi"/>
          <w:b/>
        </w:rPr>
        <w:t>říprava vzorků</w:t>
      </w:r>
      <w:r w:rsidRPr="00806CB8">
        <w:rPr>
          <w:rFonts w:cstheme="minorHAnsi"/>
          <w:b/>
        </w:rPr>
        <w:t xml:space="preserve"> </w:t>
      </w:r>
    </w:p>
    <w:p w14:paraId="01569FA0" w14:textId="437B11C5" w:rsidR="00A72A41" w:rsidRPr="00806CB8" w:rsidRDefault="00A72A41" w:rsidP="00824BCB">
      <w:pPr>
        <w:rPr>
          <w:rFonts w:cstheme="minorHAnsi"/>
        </w:rPr>
      </w:pPr>
      <w:r w:rsidRPr="00806CB8">
        <w:rPr>
          <w:rFonts w:cstheme="minorHAnsi"/>
        </w:rPr>
        <w:t>Testované vzorky se před analýzou naředí ředícím roztokem</w:t>
      </w:r>
      <w:r w:rsidR="00E81B2B" w:rsidRPr="00806CB8">
        <w:rPr>
          <w:rFonts w:cstheme="minorHAnsi"/>
        </w:rPr>
        <w:t xml:space="preserve"> v poměru</w:t>
      </w:r>
      <w:r w:rsidRPr="00806CB8">
        <w:rPr>
          <w:rFonts w:cstheme="minorHAnsi"/>
        </w:rPr>
        <w:t xml:space="preserve"> 1: 500. (Např. 1 μl vzorku se naředí 500 μl ředícího roztoku vzorku).</w:t>
      </w:r>
    </w:p>
    <w:p w14:paraId="25679A0F" w14:textId="2AB57D78" w:rsidR="00A72A41" w:rsidRPr="00806CB8" w:rsidRDefault="00A72A41" w:rsidP="00824BCB">
      <w:pPr>
        <w:rPr>
          <w:rFonts w:cstheme="minorHAnsi"/>
          <w:b/>
        </w:rPr>
      </w:pPr>
      <w:r w:rsidRPr="00806CB8">
        <w:rPr>
          <w:rFonts w:cstheme="minorHAnsi"/>
          <w:b/>
        </w:rPr>
        <w:t>POZNÁMKA</w:t>
      </w:r>
      <w:r w:rsidR="00824BCB" w:rsidRPr="00806CB8">
        <w:rPr>
          <w:rFonts w:cstheme="minorHAnsi"/>
          <w:b/>
        </w:rPr>
        <w:t>:</w:t>
      </w:r>
      <w:r w:rsidRPr="00806CB8">
        <w:rPr>
          <w:rFonts w:cstheme="minorHAnsi"/>
          <w:b/>
        </w:rPr>
        <w:t xml:space="preserve"> KONTROLNÍ ROZTOKY SE NEŘEDÍ</w:t>
      </w:r>
      <w:r w:rsidR="00E81B2B" w:rsidRPr="00806CB8">
        <w:rPr>
          <w:rFonts w:cstheme="minorHAnsi"/>
          <w:b/>
        </w:rPr>
        <w:t>.</w:t>
      </w:r>
      <w:r w:rsidR="00824BCB" w:rsidRPr="00806CB8">
        <w:rPr>
          <w:rFonts w:cstheme="minorHAnsi"/>
          <w:b/>
        </w:rPr>
        <w:t xml:space="preserve">  </w:t>
      </w:r>
    </w:p>
    <w:p w14:paraId="3A9541E2" w14:textId="01AF9AD2" w:rsidR="00824BCB" w:rsidRPr="00806CB8" w:rsidRDefault="00A72A41" w:rsidP="00824BCB">
      <w:pPr>
        <w:rPr>
          <w:rFonts w:cstheme="minorHAnsi"/>
        </w:rPr>
      </w:pPr>
      <w:r w:rsidRPr="00806CB8">
        <w:rPr>
          <w:rFonts w:cstheme="minorHAnsi"/>
        </w:rPr>
        <w:lastRenderedPageBreak/>
        <w:t>Pro každý vzorek použijte nový hrot pipety.</w:t>
      </w:r>
      <w:r w:rsidR="00824BCB" w:rsidRPr="00806CB8">
        <w:rPr>
          <w:rFonts w:cstheme="minorHAnsi"/>
        </w:rPr>
        <w:t xml:space="preserve"> </w:t>
      </w:r>
      <w:r w:rsidRPr="00806CB8">
        <w:rPr>
          <w:rFonts w:cstheme="minorHAnsi"/>
        </w:rPr>
        <w:t>Vzorky musí být před nanesením do potažen</w:t>
      </w:r>
      <w:r w:rsidR="00E81B2B" w:rsidRPr="00806CB8">
        <w:rPr>
          <w:rFonts w:cstheme="minorHAnsi"/>
        </w:rPr>
        <w:t>é</w:t>
      </w:r>
      <w:r w:rsidRPr="00806CB8">
        <w:rPr>
          <w:rFonts w:cstheme="minorHAnsi"/>
        </w:rPr>
        <w:t xml:space="preserve"> mikrotitrační destičky řádně promíseny.</w:t>
      </w:r>
    </w:p>
    <w:p w14:paraId="33F33B6E" w14:textId="1820EB70" w:rsidR="00824BCB" w:rsidRPr="00806CB8" w:rsidRDefault="00824BCB" w:rsidP="00824BCB">
      <w:pPr>
        <w:rPr>
          <w:rFonts w:cstheme="minorHAnsi"/>
        </w:rPr>
      </w:pPr>
    </w:p>
    <w:p w14:paraId="172E0790" w14:textId="3CB82E18" w:rsidR="00824BCB" w:rsidRPr="00806CB8" w:rsidRDefault="00A72A41" w:rsidP="00824BCB">
      <w:pPr>
        <w:rPr>
          <w:rFonts w:cstheme="minorHAnsi"/>
          <w:b/>
        </w:rPr>
      </w:pPr>
      <w:r w:rsidRPr="00806CB8">
        <w:rPr>
          <w:rFonts w:cstheme="minorHAnsi"/>
          <w:b/>
        </w:rPr>
        <w:t>Postup testování</w:t>
      </w:r>
      <w:r w:rsidR="00824BCB" w:rsidRPr="00806CB8">
        <w:rPr>
          <w:rFonts w:cstheme="minorHAnsi"/>
          <w:b/>
        </w:rPr>
        <w:t xml:space="preserve"> </w:t>
      </w:r>
    </w:p>
    <w:p w14:paraId="1AB9C521" w14:textId="7ED4ED55" w:rsidR="00824BCB" w:rsidRPr="00806CB8" w:rsidRDefault="009B401D" w:rsidP="00824BCB">
      <w:pPr>
        <w:rPr>
          <w:rFonts w:cstheme="minorHAnsi"/>
        </w:rPr>
      </w:pPr>
      <w:r w:rsidRPr="00806CB8">
        <w:rPr>
          <w:rFonts w:cstheme="minorHAnsi"/>
        </w:rPr>
        <w:t>Všechn</w:t>
      </w:r>
      <w:r w:rsidR="00AF3A4E" w:rsidRPr="00806CB8">
        <w:rPr>
          <w:rFonts w:cstheme="minorHAnsi"/>
        </w:rPr>
        <w:t>a činidla</w:t>
      </w:r>
      <w:r w:rsidRPr="00806CB8">
        <w:rPr>
          <w:rFonts w:cstheme="minorHAnsi"/>
        </w:rPr>
        <w:t xml:space="preserve"> musí být před použitím ponechány v teplotě</w:t>
      </w:r>
      <w:r w:rsidR="00824BCB" w:rsidRPr="00806CB8">
        <w:rPr>
          <w:rFonts w:cstheme="minorHAnsi"/>
        </w:rPr>
        <w:t xml:space="preserve"> 18–26°C. </w:t>
      </w:r>
      <w:r w:rsidR="00AF3A4E" w:rsidRPr="00806CB8">
        <w:rPr>
          <w:rFonts w:cstheme="minorHAnsi"/>
        </w:rPr>
        <w:t>Činidla</w:t>
      </w:r>
      <w:r w:rsidRPr="00806CB8">
        <w:rPr>
          <w:rFonts w:cstheme="minorHAnsi"/>
        </w:rPr>
        <w:t xml:space="preserve"> promíchejte jemným otoč</w:t>
      </w:r>
      <w:r w:rsidR="00055F6A" w:rsidRPr="00806CB8">
        <w:rPr>
          <w:rFonts w:cstheme="minorHAnsi"/>
        </w:rPr>
        <w:t>e</w:t>
      </w:r>
      <w:r w:rsidRPr="00806CB8">
        <w:rPr>
          <w:rFonts w:cstheme="minorHAnsi"/>
        </w:rPr>
        <w:t xml:space="preserve">ním </w:t>
      </w:r>
      <w:r w:rsidR="00055F6A" w:rsidRPr="00806CB8">
        <w:rPr>
          <w:rFonts w:cstheme="minorHAnsi"/>
        </w:rPr>
        <w:t>dnem vzhůru</w:t>
      </w:r>
      <w:r w:rsidR="001158CB" w:rsidRPr="00806CB8">
        <w:rPr>
          <w:rFonts w:cstheme="minorHAnsi"/>
        </w:rPr>
        <w:t xml:space="preserve"> nebo kroužením</w:t>
      </w:r>
      <w:r w:rsidR="00055F6A" w:rsidRPr="00806CB8">
        <w:rPr>
          <w:rFonts w:cstheme="minorHAnsi"/>
        </w:rPr>
        <w:t>.</w:t>
      </w:r>
    </w:p>
    <w:p w14:paraId="6C4E1406" w14:textId="1821EA86" w:rsidR="009B401D" w:rsidRPr="00806CB8" w:rsidRDefault="00824BCB" w:rsidP="00824BCB">
      <w:pPr>
        <w:rPr>
          <w:rFonts w:cstheme="minorHAnsi"/>
        </w:rPr>
      </w:pPr>
      <w:r w:rsidRPr="00806CB8">
        <w:rPr>
          <w:rFonts w:cstheme="minorHAnsi"/>
          <w:b/>
        </w:rPr>
        <w:t>1</w:t>
      </w:r>
      <w:r w:rsidRPr="00806CB8">
        <w:rPr>
          <w:rFonts w:cstheme="minorHAnsi"/>
        </w:rPr>
        <w:t xml:space="preserve"> </w:t>
      </w:r>
      <w:r w:rsidR="009B401D" w:rsidRPr="00806CB8">
        <w:rPr>
          <w:rFonts w:cstheme="minorHAnsi"/>
        </w:rPr>
        <w:t>V</w:t>
      </w:r>
      <w:r w:rsidR="001158CB" w:rsidRPr="00806CB8">
        <w:rPr>
          <w:rFonts w:cstheme="minorHAnsi"/>
        </w:rPr>
        <w:t>yjměte</w:t>
      </w:r>
      <w:r w:rsidR="009B401D" w:rsidRPr="00806CB8">
        <w:rPr>
          <w:rFonts w:cstheme="minorHAnsi"/>
        </w:rPr>
        <w:t xml:space="preserve"> antigenem potaženou destičku (destičky) a označte umístění vzorku.</w:t>
      </w:r>
    </w:p>
    <w:p w14:paraId="2DED5269" w14:textId="0C9FCEDA" w:rsidR="00824BCB" w:rsidRPr="00806CB8" w:rsidRDefault="00824BCB" w:rsidP="00824BCB">
      <w:pPr>
        <w:rPr>
          <w:rFonts w:cstheme="minorHAnsi"/>
        </w:rPr>
      </w:pPr>
      <w:r w:rsidRPr="00806CB8">
        <w:rPr>
          <w:rFonts w:cstheme="minorHAnsi"/>
          <w:b/>
        </w:rPr>
        <w:t>2</w:t>
      </w:r>
      <w:r w:rsidRPr="00806CB8">
        <w:rPr>
          <w:rFonts w:cstheme="minorHAnsi"/>
        </w:rPr>
        <w:t xml:space="preserve"> </w:t>
      </w:r>
      <w:r w:rsidR="009B401D" w:rsidRPr="00806CB8">
        <w:rPr>
          <w:rFonts w:cstheme="minorHAnsi"/>
        </w:rPr>
        <w:t>Umístěte</w:t>
      </w:r>
      <w:r w:rsidRPr="00806CB8">
        <w:rPr>
          <w:rFonts w:cstheme="minorHAnsi"/>
        </w:rPr>
        <w:t xml:space="preserve"> 100 μ</w:t>
      </w:r>
      <w:r w:rsidR="009B401D" w:rsidRPr="00806CB8">
        <w:rPr>
          <w:rFonts w:cstheme="minorHAnsi"/>
        </w:rPr>
        <w:t>l</w:t>
      </w:r>
      <w:r w:rsidRPr="00806CB8">
        <w:rPr>
          <w:rFonts w:cstheme="minorHAnsi"/>
        </w:rPr>
        <w:t xml:space="preserve"> N</w:t>
      </w:r>
      <w:r w:rsidR="009B401D" w:rsidRPr="00806CB8">
        <w:rPr>
          <w:rFonts w:cstheme="minorHAnsi"/>
        </w:rPr>
        <w:t>EŘEDĚNÉ</w:t>
      </w:r>
      <w:r w:rsidRPr="00806CB8">
        <w:rPr>
          <w:rFonts w:cstheme="minorHAnsi"/>
        </w:rPr>
        <w:t xml:space="preserve"> Negativ</w:t>
      </w:r>
      <w:r w:rsidR="009B401D" w:rsidRPr="00806CB8">
        <w:rPr>
          <w:rFonts w:cstheme="minorHAnsi"/>
        </w:rPr>
        <w:t>ní</w:t>
      </w:r>
      <w:r w:rsidRPr="00806CB8">
        <w:rPr>
          <w:rFonts w:cstheme="minorHAnsi"/>
        </w:rPr>
        <w:t xml:space="preserve"> </w:t>
      </w:r>
      <w:r w:rsidR="009B401D" w:rsidRPr="00806CB8">
        <w:rPr>
          <w:rFonts w:cstheme="minorHAnsi"/>
        </w:rPr>
        <w:t>K</w:t>
      </w:r>
      <w:r w:rsidRPr="00806CB8">
        <w:rPr>
          <w:rFonts w:cstheme="minorHAnsi"/>
        </w:rPr>
        <w:t>ontrol</w:t>
      </w:r>
      <w:r w:rsidR="009B401D" w:rsidRPr="00806CB8">
        <w:rPr>
          <w:rFonts w:cstheme="minorHAnsi"/>
        </w:rPr>
        <w:t>y</w:t>
      </w:r>
      <w:r w:rsidRPr="00806CB8">
        <w:rPr>
          <w:rFonts w:cstheme="minorHAnsi"/>
        </w:rPr>
        <w:t xml:space="preserve"> (NC) </w:t>
      </w:r>
      <w:r w:rsidR="009B401D" w:rsidRPr="00806CB8">
        <w:rPr>
          <w:rFonts w:cstheme="minorHAnsi"/>
        </w:rPr>
        <w:t>do</w:t>
      </w:r>
      <w:r w:rsidR="00055F6A" w:rsidRPr="00806CB8">
        <w:rPr>
          <w:rFonts w:cstheme="minorHAnsi"/>
        </w:rPr>
        <w:t xml:space="preserve"> dvou </w:t>
      </w:r>
      <w:r w:rsidR="009B401D" w:rsidRPr="00806CB8">
        <w:rPr>
          <w:rFonts w:cstheme="minorHAnsi"/>
        </w:rPr>
        <w:t>jamek</w:t>
      </w:r>
      <w:r w:rsidR="00055F6A" w:rsidRPr="00806CB8">
        <w:rPr>
          <w:rFonts w:cstheme="minorHAnsi"/>
        </w:rPr>
        <w:t xml:space="preserve"> současně</w:t>
      </w:r>
      <w:r w:rsidRPr="00806CB8">
        <w:rPr>
          <w:rFonts w:cstheme="minorHAnsi"/>
        </w:rPr>
        <w:t>.</w:t>
      </w:r>
    </w:p>
    <w:p w14:paraId="047F51AD" w14:textId="49A1C632" w:rsidR="00824BCB" w:rsidRPr="00806CB8" w:rsidRDefault="00824BCB" w:rsidP="00824BCB">
      <w:pPr>
        <w:rPr>
          <w:rFonts w:cstheme="minorHAnsi"/>
        </w:rPr>
      </w:pPr>
      <w:r w:rsidRPr="00806CB8">
        <w:rPr>
          <w:rFonts w:cstheme="minorHAnsi"/>
          <w:b/>
        </w:rPr>
        <w:t>3</w:t>
      </w:r>
      <w:r w:rsidRPr="00806CB8">
        <w:rPr>
          <w:rFonts w:cstheme="minorHAnsi"/>
        </w:rPr>
        <w:t xml:space="preserve"> </w:t>
      </w:r>
      <w:r w:rsidR="00AE6B93" w:rsidRPr="00806CB8">
        <w:rPr>
          <w:rFonts w:cstheme="minorHAnsi"/>
        </w:rPr>
        <w:t xml:space="preserve">Naneste </w:t>
      </w:r>
      <w:r w:rsidRPr="00806CB8">
        <w:rPr>
          <w:rFonts w:cstheme="minorHAnsi"/>
        </w:rPr>
        <w:t>100 μ</w:t>
      </w:r>
      <w:r w:rsidR="009B401D" w:rsidRPr="00806CB8">
        <w:rPr>
          <w:rFonts w:cstheme="minorHAnsi"/>
        </w:rPr>
        <w:t>l</w:t>
      </w:r>
      <w:r w:rsidRPr="00806CB8">
        <w:rPr>
          <w:rFonts w:cstheme="minorHAnsi"/>
        </w:rPr>
        <w:t xml:space="preserve"> </w:t>
      </w:r>
      <w:r w:rsidR="009B401D" w:rsidRPr="00806CB8">
        <w:rPr>
          <w:rFonts w:cstheme="minorHAnsi"/>
        </w:rPr>
        <w:t>NEŘEDĚNÉ Pozitivní Kontroly</w:t>
      </w:r>
      <w:r w:rsidRPr="00806CB8">
        <w:rPr>
          <w:rFonts w:cstheme="minorHAnsi"/>
        </w:rPr>
        <w:t xml:space="preserve"> (PC) </w:t>
      </w:r>
      <w:r w:rsidR="00055F6A" w:rsidRPr="00806CB8">
        <w:rPr>
          <w:rFonts w:cstheme="minorHAnsi"/>
        </w:rPr>
        <w:t>do dvou jamek současně</w:t>
      </w:r>
      <w:r w:rsidRPr="00806CB8">
        <w:rPr>
          <w:rFonts w:cstheme="minorHAnsi"/>
        </w:rPr>
        <w:t>.</w:t>
      </w:r>
    </w:p>
    <w:p w14:paraId="236D10EC" w14:textId="76FD8449" w:rsidR="00824BCB" w:rsidRPr="00806CB8" w:rsidRDefault="00824BCB" w:rsidP="00824BCB">
      <w:pPr>
        <w:rPr>
          <w:rFonts w:cstheme="minorHAnsi"/>
        </w:rPr>
      </w:pPr>
      <w:r w:rsidRPr="00806CB8">
        <w:rPr>
          <w:rFonts w:cstheme="minorHAnsi"/>
          <w:b/>
        </w:rPr>
        <w:t>4</w:t>
      </w:r>
      <w:r w:rsidRPr="00806CB8">
        <w:rPr>
          <w:rFonts w:cstheme="minorHAnsi"/>
        </w:rPr>
        <w:t xml:space="preserve"> </w:t>
      </w:r>
      <w:r w:rsidR="00AE6B93" w:rsidRPr="00806CB8">
        <w:rPr>
          <w:rFonts w:cstheme="minorHAnsi"/>
        </w:rPr>
        <w:t xml:space="preserve">Aplikujte </w:t>
      </w:r>
      <w:r w:rsidRPr="00806CB8">
        <w:rPr>
          <w:rFonts w:cstheme="minorHAnsi"/>
        </w:rPr>
        <w:t>100 μ</w:t>
      </w:r>
      <w:r w:rsidR="009B401D" w:rsidRPr="00806CB8">
        <w:rPr>
          <w:rFonts w:cstheme="minorHAnsi"/>
        </w:rPr>
        <w:t>l NAŘEDĚNÉHO vzorku do příslušných jamek</w:t>
      </w:r>
      <w:r w:rsidRPr="00806CB8">
        <w:rPr>
          <w:rFonts w:cstheme="minorHAnsi"/>
        </w:rPr>
        <w:t>.</w:t>
      </w:r>
      <w:r w:rsidR="009B401D" w:rsidRPr="00806CB8">
        <w:rPr>
          <w:rFonts w:cstheme="minorHAnsi"/>
        </w:rPr>
        <w:t xml:space="preserve"> Vzorek může být</w:t>
      </w:r>
      <w:r w:rsidR="00055F6A" w:rsidRPr="00806CB8">
        <w:rPr>
          <w:rFonts w:cstheme="minorHAnsi"/>
        </w:rPr>
        <w:t xml:space="preserve"> také</w:t>
      </w:r>
      <w:r w:rsidR="009B401D" w:rsidRPr="00806CB8">
        <w:rPr>
          <w:rFonts w:cstheme="minorHAnsi"/>
        </w:rPr>
        <w:t xml:space="preserve"> testován </w:t>
      </w:r>
      <w:r w:rsidR="00055F6A" w:rsidRPr="00806CB8">
        <w:rPr>
          <w:rFonts w:cstheme="minorHAnsi"/>
        </w:rPr>
        <w:t>ve</w:t>
      </w:r>
      <w:r w:rsidR="00806CB8" w:rsidRPr="00806CB8">
        <w:rPr>
          <w:rFonts w:cstheme="minorHAnsi"/>
        </w:rPr>
        <w:t> </w:t>
      </w:r>
      <w:r w:rsidR="00055F6A" w:rsidRPr="00806CB8">
        <w:rPr>
          <w:rFonts w:cstheme="minorHAnsi"/>
        </w:rPr>
        <w:t>dvou jamkách</w:t>
      </w:r>
      <w:r w:rsidR="009B401D" w:rsidRPr="00806CB8">
        <w:rPr>
          <w:rFonts w:cstheme="minorHAnsi"/>
        </w:rPr>
        <w:t xml:space="preserve">, ale i jedna jamka je </w:t>
      </w:r>
      <w:r w:rsidR="00055F6A" w:rsidRPr="00806CB8">
        <w:rPr>
          <w:rFonts w:cstheme="minorHAnsi"/>
        </w:rPr>
        <w:t>dostatečná</w:t>
      </w:r>
      <w:r w:rsidR="009B401D" w:rsidRPr="00806CB8">
        <w:rPr>
          <w:rFonts w:cstheme="minorHAnsi"/>
        </w:rPr>
        <w:t>.</w:t>
      </w:r>
    </w:p>
    <w:p w14:paraId="2A2EF49E" w14:textId="5BB70C3F" w:rsidR="00824BCB" w:rsidRPr="00806CB8" w:rsidRDefault="00824BCB" w:rsidP="00824BCB">
      <w:pPr>
        <w:rPr>
          <w:rFonts w:cstheme="minorHAnsi"/>
        </w:rPr>
      </w:pPr>
      <w:r w:rsidRPr="00806CB8">
        <w:rPr>
          <w:rFonts w:cstheme="minorHAnsi"/>
          <w:b/>
        </w:rPr>
        <w:t>5</w:t>
      </w:r>
      <w:r w:rsidRPr="00806CB8">
        <w:rPr>
          <w:rFonts w:cstheme="minorHAnsi"/>
        </w:rPr>
        <w:t xml:space="preserve"> In</w:t>
      </w:r>
      <w:r w:rsidR="009B401D" w:rsidRPr="00806CB8">
        <w:rPr>
          <w:rFonts w:cstheme="minorHAnsi"/>
        </w:rPr>
        <w:t>k</w:t>
      </w:r>
      <w:r w:rsidRPr="00806CB8">
        <w:rPr>
          <w:rFonts w:cstheme="minorHAnsi"/>
        </w:rPr>
        <w:t>ub</w:t>
      </w:r>
      <w:r w:rsidR="009B401D" w:rsidRPr="00806CB8">
        <w:rPr>
          <w:rFonts w:cstheme="minorHAnsi"/>
        </w:rPr>
        <w:t>ujte</w:t>
      </w:r>
      <w:r w:rsidRPr="00806CB8">
        <w:rPr>
          <w:rFonts w:cstheme="minorHAnsi"/>
        </w:rPr>
        <w:t xml:space="preserve"> 30 minut (±2 minut</w:t>
      </w:r>
      <w:r w:rsidR="009B401D" w:rsidRPr="00806CB8">
        <w:rPr>
          <w:rFonts w:cstheme="minorHAnsi"/>
        </w:rPr>
        <w:t>y</w:t>
      </w:r>
      <w:r w:rsidRPr="00806CB8">
        <w:rPr>
          <w:rFonts w:cstheme="minorHAnsi"/>
        </w:rPr>
        <w:t xml:space="preserve">) </w:t>
      </w:r>
      <w:r w:rsidR="009B401D" w:rsidRPr="00806CB8">
        <w:rPr>
          <w:rFonts w:cstheme="minorHAnsi"/>
        </w:rPr>
        <w:t>při</w:t>
      </w:r>
      <w:r w:rsidRPr="00806CB8">
        <w:rPr>
          <w:rFonts w:cstheme="minorHAnsi"/>
        </w:rPr>
        <w:t xml:space="preserve"> 18–26°C.</w:t>
      </w:r>
    </w:p>
    <w:p w14:paraId="666B24CB" w14:textId="13E73FCA" w:rsidR="00824BCB" w:rsidRPr="00806CB8" w:rsidRDefault="00824BCB" w:rsidP="00824BCB">
      <w:pPr>
        <w:rPr>
          <w:rFonts w:cstheme="minorHAnsi"/>
        </w:rPr>
      </w:pPr>
      <w:r w:rsidRPr="00806CB8">
        <w:rPr>
          <w:rFonts w:cstheme="minorHAnsi"/>
          <w:b/>
        </w:rPr>
        <w:t>6</w:t>
      </w:r>
      <w:r w:rsidRPr="00806CB8">
        <w:rPr>
          <w:rFonts w:cstheme="minorHAnsi"/>
        </w:rPr>
        <w:t xml:space="preserve"> </w:t>
      </w:r>
      <w:r w:rsidR="009B401D" w:rsidRPr="00806CB8">
        <w:rPr>
          <w:rFonts w:cstheme="minorHAnsi"/>
        </w:rPr>
        <w:t xml:space="preserve">Odstraňte roztok a </w:t>
      </w:r>
      <w:r w:rsidR="008D1213" w:rsidRPr="00806CB8">
        <w:rPr>
          <w:rFonts w:cstheme="minorHAnsi"/>
        </w:rPr>
        <w:t xml:space="preserve">dobře </w:t>
      </w:r>
      <w:r w:rsidR="009B401D" w:rsidRPr="00806CB8">
        <w:rPr>
          <w:rFonts w:cstheme="minorHAnsi"/>
        </w:rPr>
        <w:t>promyjte každou jamku</w:t>
      </w:r>
      <w:r w:rsidR="008D1213" w:rsidRPr="00806CB8">
        <w:rPr>
          <w:rFonts w:cstheme="minorHAnsi"/>
        </w:rPr>
        <w:t xml:space="preserve"> 3-5 krát alespoň</w:t>
      </w:r>
      <w:r w:rsidRPr="00806CB8">
        <w:rPr>
          <w:rFonts w:cstheme="minorHAnsi"/>
        </w:rPr>
        <w:t xml:space="preserve"> 350 μ</w:t>
      </w:r>
      <w:r w:rsidR="008D1213" w:rsidRPr="00806CB8">
        <w:rPr>
          <w:rFonts w:cstheme="minorHAnsi"/>
        </w:rPr>
        <w:t>l</w:t>
      </w:r>
      <w:r w:rsidRPr="00806CB8">
        <w:rPr>
          <w:rFonts w:cstheme="minorHAnsi"/>
        </w:rPr>
        <w:t xml:space="preserve"> d</w:t>
      </w:r>
      <w:r w:rsidR="008D1213" w:rsidRPr="00806CB8">
        <w:rPr>
          <w:rFonts w:cstheme="minorHAnsi"/>
        </w:rPr>
        <w:t>e</w:t>
      </w:r>
      <w:r w:rsidRPr="00806CB8">
        <w:rPr>
          <w:rFonts w:cstheme="minorHAnsi"/>
        </w:rPr>
        <w:t>stil</w:t>
      </w:r>
      <w:r w:rsidR="008D1213" w:rsidRPr="00806CB8">
        <w:rPr>
          <w:rFonts w:cstheme="minorHAnsi"/>
        </w:rPr>
        <w:t>ované nebo</w:t>
      </w:r>
      <w:r w:rsidR="00806CB8" w:rsidRPr="00806CB8">
        <w:rPr>
          <w:rFonts w:cstheme="minorHAnsi"/>
        </w:rPr>
        <w:t> </w:t>
      </w:r>
      <w:r w:rsidRPr="00806CB8">
        <w:rPr>
          <w:rFonts w:cstheme="minorHAnsi"/>
        </w:rPr>
        <w:t>deioniz</w:t>
      </w:r>
      <w:r w:rsidR="008D1213" w:rsidRPr="00806CB8">
        <w:rPr>
          <w:rFonts w:cstheme="minorHAnsi"/>
        </w:rPr>
        <w:t>ované</w:t>
      </w:r>
      <w:r w:rsidRPr="00806CB8">
        <w:rPr>
          <w:rFonts w:cstheme="minorHAnsi"/>
        </w:rPr>
        <w:t xml:space="preserve">. </w:t>
      </w:r>
      <w:r w:rsidR="008D1213" w:rsidRPr="00806CB8">
        <w:rPr>
          <w:rFonts w:cstheme="minorHAnsi"/>
        </w:rPr>
        <w:t>Nedopusťte, aby destička před promýváním</w:t>
      </w:r>
      <w:r w:rsidR="00055F6A" w:rsidRPr="00806CB8">
        <w:rPr>
          <w:rFonts w:cstheme="minorHAnsi"/>
        </w:rPr>
        <w:t xml:space="preserve">, </w:t>
      </w:r>
      <w:r w:rsidR="008D1213" w:rsidRPr="00806CB8">
        <w:rPr>
          <w:rFonts w:cstheme="minorHAnsi"/>
        </w:rPr>
        <w:t xml:space="preserve">během </w:t>
      </w:r>
      <w:r w:rsidR="00055F6A" w:rsidRPr="00806CB8">
        <w:rPr>
          <w:rFonts w:cstheme="minorHAnsi"/>
        </w:rPr>
        <w:t>promývání</w:t>
      </w:r>
      <w:r w:rsidR="008D1213" w:rsidRPr="00806CB8">
        <w:rPr>
          <w:rFonts w:cstheme="minorHAnsi"/>
        </w:rPr>
        <w:t xml:space="preserve"> a před aplikací dalších </w:t>
      </w:r>
      <w:r w:rsidR="00AF3A4E" w:rsidRPr="00806CB8">
        <w:rPr>
          <w:rFonts w:cstheme="minorHAnsi"/>
        </w:rPr>
        <w:t>činidel</w:t>
      </w:r>
      <w:r w:rsidR="008D1213" w:rsidRPr="00806CB8">
        <w:rPr>
          <w:rFonts w:cstheme="minorHAnsi"/>
        </w:rPr>
        <w:t xml:space="preserve"> vyschla</w:t>
      </w:r>
      <w:r w:rsidR="00AE6B93" w:rsidRPr="00806CB8">
        <w:rPr>
          <w:rFonts w:cstheme="minorHAnsi"/>
        </w:rPr>
        <w:t>. Jakoukoli přebytečnou tekutinu</w:t>
      </w:r>
      <w:r w:rsidR="008D1213" w:rsidRPr="00806CB8">
        <w:rPr>
          <w:rFonts w:cstheme="minorHAnsi"/>
        </w:rPr>
        <w:t xml:space="preserve"> po posledním propláchnutí odstraňte </w:t>
      </w:r>
      <w:r w:rsidR="00055F6A" w:rsidRPr="00806CB8">
        <w:rPr>
          <w:rFonts w:cstheme="minorHAnsi"/>
        </w:rPr>
        <w:t>poklepáním</w:t>
      </w:r>
      <w:r w:rsidR="008D1213" w:rsidRPr="00806CB8">
        <w:rPr>
          <w:rFonts w:cstheme="minorHAnsi"/>
        </w:rPr>
        <w:t xml:space="preserve"> destičky na </w:t>
      </w:r>
      <w:r w:rsidR="00055F6A" w:rsidRPr="00806CB8">
        <w:rPr>
          <w:rFonts w:cstheme="minorHAnsi"/>
        </w:rPr>
        <w:t>absorbující</w:t>
      </w:r>
      <w:r w:rsidR="008D1213" w:rsidRPr="00806CB8">
        <w:rPr>
          <w:rFonts w:cstheme="minorHAnsi"/>
        </w:rPr>
        <w:t xml:space="preserve"> materiál.</w:t>
      </w:r>
      <w:r w:rsidRPr="00806CB8">
        <w:rPr>
          <w:rFonts w:cstheme="minorHAnsi"/>
        </w:rPr>
        <w:t xml:space="preserve"> </w:t>
      </w:r>
    </w:p>
    <w:p w14:paraId="376F5FF4" w14:textId="5AA70303" w:rsidR="00824BCB" w:rsidRPr="00806CB8" w:rsidRDefault="00824BCB" w:rsidP="00824BCB">
      <w:pPr>
        <w:rPr>
          <w:rFonts w:cstheme="minorHAnsi"/>
        </w:rPr>
      </w:pPr>
      <w:r w:rsidRPr="00806CB8">
        <w:rPr>
          <w:rFonts w:cstheme="minorHAnsi"/>
          <w:b/>
        </w:rPr>
        <w:t>7</w:t>
      </w:r>
      <w:r w:rsidRPr="00806CB8">
        <w:rPr>
          <w:rFonts w:cstheme="minorHAnsi"/>
        </w:rPr>
        <w:t xml:space="preserve"> </w:t>
      </w:r>
      <w:r w:rsidR="008D1213" w:rsidRPr="00806CB8">
        <w:rPr>
          <w:rFonts w:cstheme="minorHAnsi"/>
        </w:rPr>
        <w:t>Aplikujte</w:t>
      </w:r>
      <w:r w:rsidRPr="00806CB8">
        <w:rPr>
          <w:rFonts w:cstheme="minorHAnsi"/>
        </w:rPr>
        <w:t xml:space="preserve"> 100 μ</w:t>
      </w:r>
      <w:r w:rsidR="008D1213" w:rsidRPr="00806CB8">
        <w:rPr>
          <w:rFonts w:cstheme="minorHAnsi"/>
        </w:rPr>
        <w:t>l k</w:t>
      </w:r>
      <w:r w:rsidRPr="00806CB8">
        <w:rPr>
          <w:rFonts w:cstheme="minorHAnsi"/>
        </w:rPr>
        <w:t>onjug</w:t>
      </w:r>
      <w:r w:rsidR="008D1213" w:rsidRPr="00806CB8">
        <w:rPr>
          <w:rFonts w:cstheme="minorHAnsi"/>
        </w:rPr>
        <w:t>átu do každé jamky.</w:t>
      </w:r>
    </w:p>
    <w:p w14:paraId="46C0F62C" w14:textId="7FBEE60E" w:rsidR="00824BCB" w:rsidRPr="00806CB8" w:rsidRDefault="00824BCB" w:rsidP="00824BCB">
      <w:pPr>
        <w:rPr>
          <w:rFonts w:cstheme="minorHAnsi"/>
        </w:rPr>
      </w:pPr>
      <w:r w:rsidRPr="00806CB8">
        <w:rPr>
          <w:rFonts w:cstheme="minorHAnsi"/>
          <w:b/>
        </w:rPr>
        <w:t>8</w:t>
      </w:r>
      <w:r w:rsidRPr="00806CB8">
        <w:rPr>
          <w:rFonts w:cstheme="minorHAnsi"/>
        </w:rPr>
        <w:t xml:space="preserve"> In</w:t>
      </w:r>
      <w:r w:rsidR="008D1213" w:rsidRPr="00806CB8">
        <w:rPr>
          <w:rFonts w:cstheme="minorHAnsi"/>
        </w:rPr>
        <w:t>kubujte</w:t>
      </w:r>
      <w:r w:rsidRPr="00806CB8">
        <w:rPr>
          <w:rFonts w:cstheme="minorHAnsi"/>
        </w:rPr>
        <w:t xml:space="preserve"> 30 minut (±2 minut</w:t>
      </w:r>
      <w:r w:rsidR="008D1213" w:rsidRPr="00806CB8">
        <w:rPr>
          <w:rFonts w:cstheme="minorHAnsi"/>
        </w:rPr>
        <w:t>y</w:t>
      </w:r>
      <w:r w:rsidRPr="00806CB8">
        <w:rPr>
          <w:rFonts w:cstheme="minorHAnsi"/>
        </w:rPr>
        <w:t xml:space="preserve">) </w:t>
      </w:r>
      <w:r w:rsidR="008D1213" w:rsidRPr="00806CB8">
        <w:rPr>
          <w:rFonts w:cstheme="minorHAnsi"/>
        </w:rPr>
        <w:t>při</w:t>
      </w:r>
      <w:r w:rsidRPr="00806CB8">
        <w:rPr>
          <w:rFonts w:cstheme="minorHAnsi"/>
        </w:rPr>
        <w:t xml:space="preserve"> 18–26°C.</w:t>
      </w:r>
    </w:p>
    <w:p w14:paraId="73B0CA5A" w14:textId="4B04D477" w:rsidR="00824BCB" w:rsidRPr="00806CB8" w:rsidRDefault="00824BCB" w:rsidP="00824BCB">
      <w:pPr>
        <w:rPr>
          <w:rFonts w:cstheme="minorHAnsi"/>
        </w:rPr>
      </w:pPr>
      <w:r w:rsidRPr="00806CB8">
        <w:rPr>
          <w:rFonts w:cstheme="minorHAnsi"/>
          <w:b/>
        </w:rPr>
        <w:t>9</w:t>
      </w:r>
      <w:r w:rsidRPr="00806CB8">
        <w:rPr>
          <w:rFonts w:cstheme="minorHAnsi"/>
        </w:rPr>
        <w:t xml:space="preserve"> </w:t>
      </w:r>
      <w:r w:rsidR="008D1213" w:rsidRPr="00806CB8">
        <w:rPr>
          <w:rFonts w:cstheme="minorHAnsi"/>
        </w:rPr>
        <w:t>Opakujte postup z bodu</w:t>
      </w:r>
      <w:r w:rsidRPr="00806CB8">
        <w:rPr>
          <w:rFonts w:cstheme="minorHAnsi"/>
        </w:rPr>
        <w:t xml:space="preserve"> 6</w:t>
      </w:r>
    </w:p>
    <w:p w14:paraId="604FCCC3" w14:textId="3A655858" w:rsidR="00824BCB" w:rsidRPr="00806CB8" w:rsidRDefault="00824BCB" w:rsidP="00824BCB">
      <w:pPr>
        <w:rPr>
          <w:rFonts w:cstheme="minorHAnsi"/>
        </w:rPr>
      </w:pPr>
      <w:r w:rsidRPr="00806CB8">
        <w:rPr>
          <w:rFonts w:cstheme="minorHAnsi"/>
          <w:b/>
        </w:rPr>
        <w:t>10</w:t>
      </w:r>
      <w:r w:rsidRPr="00806CB8">
        <w:rPr>
          <w:rFonts w:cstheme="minorHAnsi"/>
        </w:rPr>
        <w:t xml:space="preserve"> </w:t>
      </w:r>
      <w:r w:rsidR="008D1213" w:rsidRPr="00806CB8">
        <w:rPr>
          <w:rFonts w:cstheme="minorHAnsi"/>
        </w:rPr>
        <w:t>Aplikujte</w:t>
      </w:r>
      <w:r w:rsidRPr="00806CB8">
        <w:rPr>
          <w:rFonts w:cstheme="minorHAnsi"/>
        </w:rPr>
        <w:t xml:space="preserve"> 100 μ</w:t>
      </w:r>
      <w:r w:rsidR="008D1213" w:rsidRPr="00806CB8">
        <w:rPr>
          <w:rFonts w:cstheme="minorHAnsi"/>
        </w:rPr>
        <w:t>l</w:t>
      </w:r>
      <w:r w:rsidRPr="00806CB8">
        <w:rPr>
          <w:rFonts w:cstheme="minorHAnsi"/>
        </w:rPr>
        <w:t xml:space="preserve"> TMB </w:t>
      </w:r>
      <w:r w:rsidR="008D1213" w:rsidRPr="00806CB8">
        <w:rPr>
          <w:rFonts w:cstheme="minorHAnsi"/>
        </w:rPr>
        <w:t>s</w:t>
      </w:r>
      <w:r w:rsidRPr="00806CB8">
        <w:rPr>
          <w:rFonts w:cstheme="minorHAnsi"/>
        </w:rPr>
        <w:t>ubstr</w:t>
      </w:r>
      <w:r w:rsidR="008D1213" w:rsidRPr="00806CB8">
        <w:rPr>
          <w:rFonts w:cstheme="minorHAnsi"/>
        </w:rPr>
        <w:t>átu do každé jamky</w:t>
      </w:r>
      <w:r w:rsidRPr="00806CB8">
        <w:rPr>
          <w:rFonts w:cstheme="minorHAnsi"/>
        </w:rPr>
        <w:t>.</w:t>
      </w:r>
    </w:p>
    <w:p w14:paraId="706F4E98" w14:textId="77718A56" w:rsidR="00824BCB" w:rsidRPr="00806CB8" w:rsidRDefault="00824BCB" w:rsidP="00824BCB">
      <w:pPr>
        <w:rPr>
          <w:rFonts w:cstheme="minorHAnsi"/>
        </w:rPr>
      </w:pPr>
      <w:r w:rsidRPr="00806CB8">
        <w:rPr>
          <w:rFonts w:cstheme="minorHAnsi"/>
          <w:b/>
        </w:rPr>
        <w:t>11</w:t>
      </w:r>
      <w:r w:rsidRPr="00806CB8">
        <w:rPr>
          <w:rFonts w:cstheme="minorHAnsi"/>
        </w:rPr>
        <w:t xml:space="preserve"> In</w:t>
      </w:r>
      <w:r w:rsidR="008D1213" w:rsidRPr="00806CB8">
        <w:rPr>
          <w:rFonts w:cstheme="minorHAnsi"/>
        </w:rPr>
        <w:t>k</w:t>
      </w:r>
      <w:r w:rsidRPr="00806CB8">
        <w:rPr>
          <w:rFonts w:cstheme="minorHAnsi"/>
        </w:rPr>
        <w:t>u</w:t>
      </w:r>
      <w:r w:rsidR="008D1213" w:rsidRPr="00806CB8">
        <w:rPr>
          <w:rFonts w:cstheme="minorHAnsi"/>
        </w:rPr>
        <w:t>bujte</w:t>
      </w:r>
      <w:r w:rsidRPr="00806CB8">
        <w:rPr>
          <w:rFonts w:cstheme="minorHAnsi"/>
        </w:rPr>
        <w:t xml:space="preserve"> 15 minut (±1 minut</w:t>
      </w:r>
      <w:r w:rsidR="008D1213" w:rsidRPr="00806CB8">
        <w:rPr>
          <w:rFonts w:cstheme="minorHAnsi"/>
        </w:rPr>
        <w:t>a</w:t>
      </w:r>
      <w:r w:rsidRPr="00806CB8">
        <w:rPr>
          <w:rFonts w:cstheme="minorHAnsi"/>
        </w:rPr>
        <w:t xml:space="preserve">) </w:t>
      </w:r>
      <w:r w:rsidR="008D1213" w:rsidRPr="00806CB8">
        <w:rPr>
          <w:rFonts w:cstheme="minorHAnsi"/>
        </w:rPr>
        <w:t>při</w:t>
      </w:r>
      <w:r w:rsidRPr="00806CB8">
        <w:rPr>
          <w:rFonts w:cstheme="minorHAnsi"/>
        </w:rPr>
        <w:t xml:space="preserve"> 18–26°C.</w:t>
      </w:r>
    </w:p>
    <w:p w14:paraId="792723C9" w14:textId="2A343406" w:rsidR="00824BCB" w:rsidRPr="00806CB8" w:rsidRDefault="00824BCB" w:rsidP="00824BCB">
      <w:pPr>
        <w:rPr>
          <w:rFonts w:cstheme="minorHAnsi"/>
        </w:rPr>
      </w:pPr>
      <w:r w:rsidRPr="00806CB8">
        <w:rPr>
          <w:rFonts w:cstheme="minorHAnsi"/>
          <w:b/>
        </w:rPr>
        <w:t>12</w:t>
      </w:r>
      <w:r w:rsidRPr="00806CB8">
        <w:rPr>
          <w:rFonts w:cstheme="minorHAnsi"/>
        </w:rPr>
        <w:t xml:space="preserve"> </w:t>
      </w:r>
      <w:r w:rsidR="008D1213" w:rsidRPr="00806CB8">
        <w:rPr>
          <w:rFonts w:cstheme="minorHAnsi"/>
        </w:rPr>
        <w:t>Aplikujte</w:t>
      </w:r>
      <w:r w:rsidRPr="00806CB8">
        <w:rPr>
          <w:rFonts w:cstheme="minorHAnsi"/>
        </w:rPr>
        <w:t xml:space="preserve"> 100 μ</w:t>
      </w:r>
      <w:r w:rsidR="008D1213" w:rsidRPr="00806CB8">
        <w:rPr>
          <w:rFonts w:cstheme="minorHAnsi"/>
        </w:rPr>
        <w:t>l zastavovacího roztoku do každé jamky</w:t>
      </w:r>
      <w:r w:rsidRPr="00806CB8">
        <w:rPr>
          <w:rFonts w:cstheme="minorHAnsi"/>
        </w:rPr>
        <w:t>.</w:t>
      </w:r>
    </w:p>
    <w:p w14:paraId="6D94DEE9" w14:textId="5AE01927" w:rsidR="00824BCB" w:rsidRPr="00806CB8" w:rsidRDefault="00824BCB" w:rsidP="00824BCB">
      <w:pPr>
        <w:rPr>
          <w:rFonts w:cstheme="minorHAnsi"/>
        </w:rPr>
      </w:pPr>
      <w:r w:rsidRPr="00806CB8">
        <w:rPr>
          <w:rFonts w:cstheme="minorHAnsi"/>
          <w:b/>
        </w:rPr>
        <w:t>13</w:t>
      </w:r>
      <w:r w:rsidRPr="00806CB8">
        <w:rPr>
          <w:rFonts w:cstheme="minorHAnsi"/>
        </w:rPr>
        <w:t xml:space="preserve"> </w:t>
      </w:r>
      <w:r w:rsidR="008D1213" w:rsidRPr="00806CB8">
        <w:rPr>
          <w:rFonts w:cstheme="minorHAnsi"/>
        </w:rPr>
        <w:t>Změřte a zaznamenejte hodnoty absorbance při</w:t>
      </w:r>
      <w:r w:rsidRPr="00806CB8">
        <w:rPr>
          <w:rFonts w:cstheme="minorHAnsi"/>
        </w:rPr>
        <w:t xml:space="preserve"> 650</w:t>
      </w:r>
      <w:r w:rsidR="00E85932" w:rsidRPr="00806CB8">
        <w:rPr>
          <w:rFonts w:cstheme="minorHAnsi"/>
        </w:rPr>
        <w:t xml:space="preserve"> </w:t>
      </w:r>
      <w:r w:rsidRPr="00806CB8">
        <w:rPr>
          <w:rFonts w:cstheme="minorHAnsi"/>
        </w:rPr>
        <w:t>nm, A</w:t>
      </w:r>
      <w:r w:rsidR="00E85932" w:rsidRPr="00806CB8">
        <w:rPr>
          <w:rFonts w:cstheme="minorHAnsi"/>
        </w:rPr>
        <w:t xml:space="preserve"> </w:t>
      </w:r>
      <w:r w:rsidRPr="00806CB8">
        <w:rPr>
          <w:rFonts w:cstheme="minorHAnsi"/>
        </w:rPr>
        <w:t>(650).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96"/>
        <w:gridCol w:w="5848"/>
      </w:tblGrid>
      <w:tr w:rsidR="00806CB8" w:rsidRPr="00806CB8" w14:paraId="19D7E92D" w14:textId="77777777" w:rsidTr="00906AD5">
        <w:trPr>
          <w:trHeight w:val="103"/>
        </w:trPr>
        <w:tc>
          <w:tcPr>
            <w:tcW w:w="9039" w:type="dxa"/>
            <w:gridSpan w:val="3"/>
          </w:tcPr>
          <w:p w14:paraId="24B04871" w14:textId="51759E52" w:rsidR="00D716CA" w:rsidRPr="00806CB8" w:rsidRDefault="00D716CA" w:rsidP="00D716CA">
            <w:pPr>
              <w:pStyle w:val="Pa9"/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806CB8">
              <w:rPr>
                <w:rFonts w:asciiTheme="minorHAnsi" w:hAnsiTheme="minorHAnsi" w:cstheme="minorHAnsi"/>
                <w:b/>
                <w:sz w:val="22"/>
                <w:szCs w:val="22"/>
              </w:rPr>
              <w:t>14</w:t>
            </w:r>
            <w:r w:rsidRPr="00806CB8">
              <w:rPr>
                <w:rFonts w:asciiTheme="minorHAnsi" w:hAnsiTheme="minorHAnsi" w:cstheme="minorHAnsi"/>
                <w:sz w:val="22"/>
                <w:szCs w:val="22"/>
              </w:rPr>
              <w:t xml:space="preserve"> Výpočet:</w:t>
            </w:r>
          </w:p>
        </w:tc>
      </w:tr>
      <w:tr w:rsidR="00806CB8" w:rsidRPr="00806CB8" w14:paraId="5D006926" w14:textId="77777777" w:rsidTr="00D716CA">
        <w:trPr>
          <w:trHeight w:val="96"/>
        </w:trPr>
        <w:tc>
          <w:tcPr>
            <w:tcW w:w="9039" w:type="dxa"/>
            <w:gridSpan w:val="3"/>
          </w:tcPr>
          <w:p w14:paraId="1FE243FB" w14:textId="72949331" w:rsidR="00782717" w:rsidRPr="00806CB8" w:rsidRDefault="00B145A9">
            <w:pPr>
              <w:pStyle w:val="Pa1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6C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Kontroly</w:t>
            </w:r>
          </w:p>
          <w:p w14:paraId="0B1919D3" w14:textId="2EDFE756" w:rsidR="00521C5B" w:rsidRPr="00806CB8" w:rsidRDefault="00521C5B" w:rsidP="00521C5B">
            <w:pPr>
              <w:rPr>
                <w:rFonts w:cstheme="minorHAnsi"/>
              </w:rPr>
            </w:pPr>
            <w:r w:rsidRPr="00806CB8">
              <w:rPr>
                <w:rFonts w:cstheme="minorHAnsi"/>
                <w:lang w:eastAsia="cs-CZ"/>
              </w:rPr>
              <w:drawing>
                <wp:inline distT="0" distB="0" distL="0" distR="0" wp14:anchorId="5EBA8D68" wp14:editId="35CFAD57">
                  <wp:extent cx="3794125" cy="360680"/>
                  <wp:effectExtent l="0" t="0" r="0" b="127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4125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CB8" w:rsidRPr="00806CB8" w14:paraId="5EF5EEE8" w14:textId="77777777" w:rsidTr="00D716CA">
        <w:trPr>
          <w:trHeight w:val="96"/>
        </w:trPr>
        <w:tc>
          <w:tcPr>
            <w:tcW w:w="9039" w:type="dxa"/>
            <w:gridSpan w:val="3"/>
          </w:tcPr>
          <w:p w14:paraId="6FFD2EB6" w14:textId="2A3B0652" w:rsidR="00782717" w:rsidRPr="00806CB8" w:rsidRDefault="00B145A9">
            <w:pPr>
              <w:pStyle w:val="Pa18"/>
              <w:rPr>
                <w:rFonts w:asciiTheme="minorHAnsi" w:hAnsiTheme="minorHAnsi" w:cstheme="minorHAnsi"/>
                <w:sz w:val="22"/>
                <w:szCs w:val="22"/>
              </w:rPr>
            </w:pPr>
            <w:r w:rsidRPr="00806C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Kritéria validity</w:t>
            </w:r>
          </w:p>
        </w:tc>
      </w:tr>
      <w:tr w:rsidR="00806CB8" w:rsidRPr="00806CB8" w14:paraId="5F5524E8" w14:textId="77777777" w:rsidTr="00D716CA">
        <w:trPr>
          <w:trHeight w:val="105"/>
        </w:trPr>
        <w:tc>
          <w:tcPr>
            <w:tcW w:w="3095" w:type="dxa"/>
          </w:tcPr>
          <w:p w14:paraId="1BDB1E9D" w14:textId="4D12CC41" w:rsidR="00782717" w:rsidRPr="00806CB8" w:rsidRDefault="00521C5B">
            <w:pPr>
              <w:pStyle w:val="Pa21"/>
              <w:spacing w:befor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6CB8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drawing>
                <wp:inline distT="0" distB="0" distL="0" distR="0" wp14:anchorId="6532CAC1" wp14:editId="46FDC49E">
                  <wp:extent cx="4332999" cy="249836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374" cy="26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4" w:type="dxa"/>
            <w:gridSpan w:val="2"/>
          </w:tcPr>
          <w:p w14:paraId="403228D4" w14:textId="5F37A697" w:rsidR="00782717" w:rsidRPr="00806CB8" w:rsidRDefault="00AF3A4E" w:rsidP="00D716CA">
            <w:pPr>
              <w:pStyle w:val="Pa21"/>
              <w:spacing w:before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06CB8">
              <w:rPr>
                <w:rFonts w:asciiTheme="minorHAnsi" w:hAnsiTheme="minorHAnsi" w:cstheme="minorHAnsi"/>
                <w:sz w:val="22"/>
                <w:szCs w:val="22"/>
              </w:rPr>
              <w:object w:dxaOrig="6990" w:dyaOrig="765" w14:anchorId="2B2677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9.25pt;height:16.5pt" o:ole="">
                  <v:imagedata r:id="rId9" o:title=""/>
                </v:shape>
                <o:OLEObject Type="Embed" ProgID="PBrush" ShapeID="_x0000_i1025" DrawAspect="Content" ObjectID="_1762007257" r:id="rId10"/>
              </w:object>
            </w:r>
          </w:p>
        </w:tc>
      </w:tr>
      <w:tr w:rsidR="00806CB8" w:rsidRPr="00806CB8" w14:paraId="1E9DFCAB" w14:textId="77777777" w:rsidTr="00D716CA">
        <w:trPr>
          <w:trHeight w:val="203"/>
        </w:trPr>
        <w:tc>
          <w:tcPr>
            <w:tcW w:w="9039" w:type="dxa"/>
            <w:gridSpan w:val="3"/>
          </w:tcPr>
          <w:p w14:paraId="6075B497" w14:textId="42574351" w:rsidR="008F00C1" w:rsidRPr="00806CB8" w:rsidRDefault="008F00C1" w:rsidP="008F00C1">
            <w:pPr>
              <w:rPr>
                <w:rFonts w:cstheme="minorHAnsi"/>
              </w:rPr>
            </w:pPr>
            <w:r w:rsidRPr="00806CB8">
              <w:rPr>
                <w:rFonts w:cstheme="minorHAnsi"/>
              </w:rPr>
              <w:t>V případě chybného výsledku testu se může jednat o použití nesprávné techniky a test by se měl opakovat po důkladném přezkoumání příbalové informace.</w:t>
            </w:r>
          </w:p>
        </w:tc>
      </w:tr>
      <w:tr w:rsidR="00806CB8" w:rsidRPr="00806CB8" w14:paraId="5C0544E5" w14:textId="77777777" w:rsidTr="00D716CA">
        <w:trPr>
          <w:trHeight w:val="96"/>
        </w:trPr>
        <w:tc>
          <w:tcPr>
            <w:tcW w:w="9039" w:type="dxa"/>
            <w:gridSpan w:val="3"/>
          </w:tcPr>
          <w:p w14:paraId="00775C4E" w14:textId="21314712" w:rsidR="00782717" w:rsidRPr="00806CB8" w:rsidRDefault="00B145A9">
            <w:pPr>
              <w:pStyle w:val="Pa1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6C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Vzorky</w:t>
            </w:r>
          </w:p>
          <w:p w14:paraId="2DF2F09B" w14:textId="254809AA" w:rsidR="001A5374" w:rsidRPr="00806CB8" w:rsidRDefault="001A5374" w:rsidP="001A5374">
            <w:pPr>
              <w:rPr>
                <w:rFonts w:cstheme="minorHAnsi"/>
              </w:rPr>
            </w:pPr>
            <w:r w:rsidRPr="00806CB8">
              <w:rPr>
                <w:rFonts w:cstheme="minorHAnsi"/>
                <w:lang w:eastAsia="cs-CZ"/>
              </w:rPr>
              <w:drawing>
                <wp:inline distT="0" distB="0" distL="0" distR="0" wp14:anchorId="57A77F1F" wp14:editId="0D094F73">
                  <wp:extent cx="1899139" cy="385231"/>
                  <wp:effectExtent l="0" t="0" r="635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232" cy="397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CB8" w:rsidRPr="00806CB8" w14:paraId="53D2625E" w14:textId="77777777" w:rsidTr="00D716CA">
        <w:trPr>
          <w:trHeight w:val="203"/>
        </w:trPr>
        <w:tc>
          <w:tcPr>
            <w:tcW w:w="9039" w:type="dxa"/>
            <w:gridSpan w:val="3"/>
          </w:tcPr>
          <w:p w14:paraId="5E613F9D" w14:textId="7EDB5DE6" w:rsidR="00782717" w:rsidRPr="00806CB8" w:rsidRDefault="00521C5B" w:rsidP="00921BE3">
            <w:pPr>
              <w:pStyle w:val="Pa21"/>
              <w:spacing w:before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06CB8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Pozn. překladatele: </w:t>
            </w:r>
            <w:r w:rsidR="00782717" w:rsidRPr="00806CB8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S</w:t>
            </w:r>
            <w:r w:rsidRPr="00806CB8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ample mean znamená</w:t>
            </w:r>
            <w:r w:rsidR="00782717" w:rsidRPr="00806CB8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806CB8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výběrový </w:t>
            </w:r>
            <w:r w:rsidR="008F00C1" w:rsidRPr="00806CB8">
              <w:rPr>
                <w:rStyle w:val="A11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průměr vzorku</w:t>
            </w:r>
            <w:r w:rsidR="00782717" w:rsidRPr="00806CB8">
              <w:rPr>
                <w:rStyle w:val="A11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</w:tr>
      <w:tr w:rsidR="00806CB8" w:rsidRPr="00806CB8" w14:paraId="381A9140" w14:textId="77777777" w:rsidTr="00D716CA">
        <w:trPr>
          <w:trHeight w:val="407"/>
        </w:trPr>
        <w:tc>
          <w:tcPr>
            <w:tcW w:w="9039" w:type="dxa"/>
            <w:gridSpan w:val="3"/>
          </w:tcPr>
          <w:p w14:paraId="4914A569" w14:textId="3431E9AA" w:rsidR="00B145A9" w:rsidRPr="00806CB8" w:rsidRDefault="00521C5B" w:rsidP="00806CB8">
            <w:pPr>
              <w:pStyle w:val="Pa14"/>
              <w:spacing w:before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06CB8">
              <w:rPr>
                <w:rFonts w:asciiTheme="minorHAnsi" w:hAnsiTheme="minorHAnsi" w:cstheme="minorHAnsi"/>
                <w:sz w:val="22"/>
                <w:szCs w:val="22"/>
              </w:rPr>
              <w:t xml:space="preserve">Přítomnost nebo nepřítomnost protilátek proti AI se určí tak, že </w:t>
            </w:r>
            <w:r w:rsidR="00055F6A" w:rsidRPr="00806CB8">
              <w:rPr>
                <w:rFonts w:asciiTheme="minorHAnsi" w:hAnsiTheme="minorHAnsi" w:cstheme="minorHAnsi"/>
                <w:sz w:val="22"/>
                <w:szCs w:val="22"/>
              </w:rPr>
              <w:t>se porovná</w:t>
            </w:r>
            <w:r w:rsidRPr="00806CB8">
              <w:rPr>
                <w:rFonts w:asciiTheme="minorHAnsi" w:hAnsiTheme="minorHAnsi" w:cstheme="minorHAnsi"/>
                <w:sz w:val="22"/>
                <w:szCs w:val="22"/>
              </w:rPr>
              <w:t xml:space="preserve"> hodnota A (650) neznámého</w:t>
            </w:r>
            <w:r w:rsidR="00055F6A" w:rsidRPr="00806CB8">
              <w:rPr>
                <w:rFonts w:asciiTheme="minorHAnsi" w:hAnsiTheme="minorHAnsi" w:cstheme="minorHAnsi"/>
                <w:sz w:val="22"/>
                <w:szCs w:val="22"/>
              </w:rPr>
              <w:t xml:space="preserve"> vzorku</w:t>
            </w:r>
            <w:r w:rsidRPr="00806C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5F6A" w:rsidRPr="00806CB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06CB8">
              <w:rPr>
                <w:rFonts w:asciiTheme="minorHAnsi" w:hAnsiTheme="minorHAnsi" w:cstheme="minorHAnsi"/>
                <w:sz w:val="22"/>
                <w:szCs w:val="22"/>
              </w:rPr>
              <w:t xml:space="preserve"> průměr</w:t>
            </w:r>
            <w:r w:rsidR="00055F6A" w:rsidRPr="00806CB8">
              <w:rPr>
                <w:rFonts w:asciiTheme="minorHAnsi" w:hAnsiTheme="minorHAnsi" w:cstheme="minorHAnsi"/>
                <w:sz w:val="22"/>
                <w:szCs w:val="22"/>
              </w:rPr>
              <w:t>em</w:t>
            </w:r>
            <w:r w:rsidRPr="00806CB8">
              <w:rPr>
                <w:rFonts w:asciiTheme="minorHAnsi" w:hAnsiTheme="minorHAnsi" w:cstheme="minorHAnsi"/>
                <w:sz w:val="22"/>
                <w:szCs w:val="22"/>
              </w:rPr>
              <w:t xml:space="preserve"> pozitivní kontrol</w:t>
            </w:r>
            <w:r w:rsidR="00055F6A" w:rsidRPr="00806CB8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782717" w:rsidRPr="00806CB8">
              <w:rPr>
                <w:rStyle w:val="A6"/>
                <w:rFonts w:asciiTheme="minorHAnsi" w:hAnsiTheme="minorHAnsi" w:cstheme="minorHAnsi"/>
                <w:color w:val="auto"/>
                <w:sz w:val="22"/>
                <w:szCs w:val="22"/>
              </w:rPr>
              <w:t>. Po</w:t>
            </w:r>
            <w:r w:rsidR="00B145A9" w:rsidRPr="00806CB8">
              <w:rPr>
                <w:rStyle w:val="A6"/>
                <w:rFonts w:asciiTheme="minorHAnsi" w:hAnsiTheme="minorHAnsi" w:cstheme="minorHAnsi"/>
                <w:color w:val="auto"/>
                <w:sz w:val="22"/>
                <w:szCs w:val="22"/>
              </w:rPr>
              <w:t>z</w:t>
            </w:r>
            <w:r w:rsidR="00782717" w:rsidRPr="00806CB8">
              <w:rPr>
                <w:rStyle w:val="A6"/>
                <w:rFonts w:asciiTheme="minorHAnsi" w:hAnsiTheme="minorHAnsi" w:cstheme="minorHAnsi"/>
                <w:color w:val="auto"/>
                <w:sz w:val="22"/>
                <w:szCs w:val="22"/>
              </w:rPr>
              <w:t>itiv</w:t>
            </w:r>
            <w:r w:rsidR="00B145A9" w:rsidRPr="00806CB8">
              <w:rPr>
                <w:rStyle w:val="A6"/>
                <w:rFonts w:asciiTheme="minorHAnsi" w:hAnsiTheme="minorHAnsi" w:cstheme="minorHAnsi"/>
                <w:color w:val="auto"/>
                <w:sz w:val="22"/>
                <w:szCs w:val="22"/>
              </w:rPr>
              <w:t>ní kontrola je standardizována a</w:t>
            </w:r>
            <w:r w:rsidR="00806CB8" w:rsidRPr="00806CB8">
              <w:rPr>
                <w:rStyle w:val="A6"/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B145A9" w:rsidRPr="00806CB8">
              <w:rPr>
                <w:rStyle w:val="A6"/>
                <w:rFonts w:asciiTheme="minorHAnsi" w:hAnsiTheme="minorHAnsi" w:cstheme="minorHAnsi"/>
                <w:color w:val="auto"/>
                <w:sz w:val="22"/>
                <w:szCs w:val="22"/>
              </w:rPr>
              <w:t>reprezentuje významnou hladinu protilátek proti AI v kuřecím séru.</w:t>
            </w:r>
            <w:r w:rsidR="00782717" w:rsidRPr="00806CB8">
              <w:rPr>
                <w:rStyle w:val="A6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145A9" w:rsidRPr="00806CB8">
              <w:rPr>
                <w:rStyle w:val="A6"/>
                <w:rFonts w:asciiTheme="minorHAnsi" w:hAnsiTheme="minorHAnsi" w:cstheme="minorHAnsi"/>
                <w:color w:val="auto"/>
                <w:sz w:val="22"/>
                <w:szCs w:val="22"/>
              </w:rPr>
              <w:t>R</w:t>
            </w:r>
            <w:r w:rsidR="00782717" w:rsidRPr="00806CB8">
              <w:rPr>
                <w:rStyle w:val="A6"/>
                <w:rFonts w:asciiTheme="minorHAnsi" w:hAnsiTheme="minorHAnsi" w:cstheme="minorHAnsi"/>
                <w:color w:val="auto"/>
                <w:sz w:val="22"/>
                <w:szCs w:val="22"/>
              </w:rPr>
              <w:t>elativ</w:t>
            </w:r>
            <w:r w:rsidR="00B145A9" w:rsidRPr="00806CB8">
              <w:rPr>
                <w:rStyle w:val="A6"/>
                <w:rFonts w:asciiTheme="minorHAnsi" w:hAnsiTheme="minorHAnsi" w:cstheme="minorHAnsi"/>
                <w:color w:val="auto"/>
                <w:sz w:val="22"/>
                <w:szCs w:val="22"/>
              </w:rPr>
              <w:t>ní hladin</w:t>
            </w:r>
            <w:r w:rsidR="00055F6A" w:rsidRPr="00806CB8">
              <w:rPr>
                <w:rStyle w:val="A6"/>
                <w:rFonts w:asciiTheme="minorHAnsi" w:hAnsiTheme="minorHAnsi" w:cstheme="minorHAnsi"/>
                <w:color w:val="auto"/>
                <w:sz w:val="22"/>
                <w:szCs w:val="22"/>
              </w:rPr>
              <w:t>u</w:t>
            </w:r>
            <w:r w:rsidR="00B145A9" w:rsidRPr="00806CB8">
              <w:rPr>
                <w:rStyle w:val="A6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protilátek ve vzorku </w:t>
            </w:r>
            <w:r w:rsidR="00055F6A" w:rsidRPr="00806CB8">
              <w:rPr>
                <w:rStyle w:val="A6"/>
                <w:rFonts w:asciiTheme="minorHAnsi" w:hAnsiTheme="minorHAnsi" w:cstheme="minorHAnsi"/>
                <w:color w:val="auto"/>
                <w:sz w:val="22"/>
                <w:szCs w:val="22"/>
              </w:rPr>
              <w:t>získáme</w:t>
            </w:r>
            <w:r w:rsidR="00B145A9" w:rsidRPr="00806CB8">
              <w:rPr>
                <w:rStyle w:val="A6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výpočtem poměru vzorku vůči pozitivní kontrole (</w:t>
            </w:r>
            <w:r w:rsidR="00782717" w:rsidRPr="00806CB8">
              <w:rPr>
                <w:rStyle w:val="A6"/>
                <w:rFonts w:asciiTheme="minorHAnsi" w:hAnsiTheme="minorHAnsi" w:cstheme="minorHAnsi"/>
                <w:color w:val="auto"/>
                <w:sz w:val="22"/>
                <w:szCs w:val="22"/>
              </w:rPr>
              <w:t>sample to positive (S/P) ratio</w:t>
            </w:r>
            <w:r w:rsidR="00B145A9" w:rsidRPr="00806CB8">
              <w:rPr>
                <w:rStyle w:val="A6"/>
                <w:rFonts w:asciiTheme="minorHAnsi" w:hAnsiTheme="minorHAnsi" w:cstheme="minorHAnsi"/>
                <w:color w:val="auto"/>
                <w:sz w:val="22"/>
                <w:szCs w:val="22"/>
              </w:rPr>
              <w:t>).</w:t>
            </w:r>
          </w:p>
        </w:tc>
      </w:tr>
      <w:tr w:rsidR="00806CB8" w:rsidRPr="00806CB8" w14:paraId="75D52D38" w14:textId="77777777" w:rsidTr="00652F03">
        <w:trPr>
          <w:trHeight w:val="103"/>
        </w:trPr>
        <w:tc>
          <w:tcPr>
            <w:tcW w:w="9039" w:type="dxa"/>
            <w:gridSpan w:val="3"/>
          </w:tcPr>
          <w:p w14:paraId="41BC74AF" w14:textId="5F37E8A9" w:rsidR="00D716CA" w:rsidRPr="00806CB8" w:rsidRDefault="00D716CA" w:rsidP="00D716CA">
            <w:pPr>
              <w:pStyle w:val="Pa9"/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806CB8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  <w:r w:rsidRPr="00806CB8">
              <w:rPr>
                <w:rFonts w:asciiTheme="minorHAnsi" w:hAnsiTheme="minorHAnsi" w:cstheme="minorHAnsi"/>
                <w:sz w:val="22"/>
                <w:szCs w:val="22"/>
              </w:rPr>
              <w:t xml:space="preserve"> Interpretace:</w:t>
            </w:r>
          </w:p>
        </w:tc>
      </w:tr>
      <w:tr w:rsidR="00806CB8" w:rsidRPr="00806CB8" w14:paraId="1A7B44D7" w14:textId="77777777" w:rsidTr="00D716CA">
        <w:trPr>
          <w:trHeight w:val="101"/>
        </w:trPr>
        <w:tc>
          <w:tcPr>
            <w:tcW w:w="3191" w:type="dxa"/>
            <w:gridSpan w:val="2"/>
          </w:tcPr>
          <w:p w14:paraId="0E34C0C5" w14:textId="769EE284" w:rsidR="00782717" w:rsidRPr="00806CB8" w:rsidRDefault="00782717">
            <w:pPr>
              <w:pStyle w:val="Pa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6CB8">
              <w:rPr>
                <w:rStyle w:val="A6"/>
                <w:rFonts w:asciiTheme="minorHAnsi" w:hAnsiTheme="minorHAnsi" w:cstheme="minorHAnsi"/>
                <w:color w:val="auto"/>
                <w:sz w:val="22"/>
                <w:szCs w:val="22"/>
              </w:rPr>
              <w:t>Negativ</w:t>
            </w:r>
            <w:r w:rsidR="00B145A9" w:rsidRPr="00806CB8">
              <w:rPr>
                <w:rStyle w:val="A6"/>
                <w:rFonts w:asciiTheme="minorHAnsi" w:hAnsiTheme="minorHAnsi" w:cstheme="minorHAnsi"/>
                <w:color w:val="auto"/>
                <w:sz w:val="22"/>
                <w:szCs w:val="22"/>
              </w:rPr>
              <w:t>ní</w:t>
            </w:r>
          </w:p>
        </w:tc>
        <w:tc>
          <w:tcPr>
            <w:tcW w:w="5848" w:type="dxa"/>
          </w:tcPr>
          <w:p w14:paraId="18D4101F" w14:textId="1E0075BB" w:rsidR="00782717" w:rsidRPr="00806CB8" w:rsidRDefault="00782717">
            <w:pPr>
              <w:pStyle w:val="Pa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6CB8">
              <w:rPr>
                <w:rStyle w:val="A6"/>
                <w:rFonts w:asciiTheme="minorHAnsi" w:hAnsiTheme="minorHAnsi" w:cstheme="minorHAnsi"/>
                <w:color w:val="auto"/>
                <w:sz w:val="22"/>
                <w:szCs w:val="22"/>
              </w:rPr>
              <w:t>Po</w:t>
            </w:r>
            <w:r w:rsidR="00B145A9" w:rsidRPr="00806CB8">
              <w:rPr>
                <w:rStyle w:val="A6"/>
                <w:rFonts w:asciiTheme="minorHAnsi" w:hAnsiTheme="minorHAnsi" w:cstheme="minorHAnsi"/>
                <w:color w:val="auto"/>
                <w:sz w:val="22"/>
                <w:szCs w:val="22"/>
              </w:rPr>
              <w:t>z</w:t>
            </w:r>
            <w:r w:rsidRPr="00806CB8">
              <w:rPr>
                <w:rStyle w:val="A6"/>
                <w:rFonts w:asciiTheme="minorHAnsi" w:hAnsiTheme="minorHAnsi" w:cstheme="minorHAnsi"/>
                <w:color w:val="auto"/>
                <w:sz w:val="22"/>
                <w:szCs w:val="22"/>
              </w:rPr>
              <w:t>itiv</w:t>
            </w:r>
            <w:r w:rsidR="00B145A9" w:rsidRPr="00806CB8">
              <w:rPr>
                <w:rStyle w:val="A6"/>
                <w:rFonts w:asciiTheme="minorHAnsi" w:hAnsiTheme="minorHAnsi" w:cstheme="minorHAnsi"/>
                <w:color w:val="auto"/>
                <w:sz w:val="22"/>
                <w:szCs w:val="22"/>
              </w:rPr>
              <w:t>ní</w:t>
            </w:r>
          </w:p>
        </w:tc>
      </w:tr>
      <w:tr w:rsidR="00806CB8" w:rsidRPr="00806CB8" w14:paraId="56F92B54" w14:textId="77777777" w:rsidTr="00D716CA">
        <w:trPr>
          <w:trHeight w:val="105"/>
        </w:trPr>
        <w:tc>
          <w:tcPr>
            <w:tcW w:w="3191" w:type="dxa"/>
            <w:gridSpan w:val="2"/>
          </w:tcPr>
          <w:p w14:paraId="060C9BD7" w14:textId="43BE113F" w:rsidR="00782717" w:rsidRPr="00806CB8" w:rsidRDefault="00782717">
            <w:pPr>
              <w:pStyle w:val="Pa21"/>
              <w:spacing w:befor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6CB8">
              <w:rPr>
                <w:rStyle w:val="A6"/>
                <w:rFonts w:asciiTheme="minorHAnsi" w:hAnsiTheme="minorHAnsi" w:cstheme="minorHAnsi"/>
                <w:color w:val="auto"/>
                <w:sz w:val="22"/>
                <w:szCs w:val="22"/>
              </w:rPr>
              <w:t>S/P ≤ 0</w:t>
            </w:r>
            <w:r w:rsidR="00D716CA" w:rsidRPr="00806CB8">
              <w:rPr>
                <w:rStyle w:val="A6"/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Pr="00806CB8">
              <w:rPr>
                <w:rStyle w:val="A6"/>
                <w:rFonts w:asciiTheme="minorHAnsi" w:hAnsiTheme="minorHAnsi" w:cstheme="minorHAnsi"/>
                <w:color w:val="auto"/>
                <w:sz w:val="22"/>
                <w:szCs w:val="22"/>
              </w:rPr>
              <w:t>50</w:t>
            </w:r>
          </w:p>
        </w:tc>
        <w:tc>
          <w:tcPr>
            <w:tcW w:w="5848" w:type="dxa"/>
          </w:tcPr>
          <w:p w14:paraId="2CC32F45" w14:textId="31BB6DD5" w:rsidR="00D716CA" w:rsidRPr="00806CB8" w:rsidRDefault="00782717" w:rsidP="00D716CA">
            <w:pPr>
              <w:pStyle w:val="Pa21"/>
              <w:spacing w:befor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6CB8">
              <w:rPr>
                <w:rStyle w:val="A6"/>
                <w:rFonts w:asciiTheme="minorHAnsi" w:hAnsiTheme="minorHAnsi" w:cstheme="minorHAnsi"/>
                <w:color w:val="auto"/>
                <w:sz w:val="22"/>
                <w:szCs w:val="22"/>
              </w:rPr>
              <w:t>S/P &gt; 0</w:t>
            </w:r>
            <w:r w:rsidR="00D716CA" w:rsidRPr="00806CB8">
              <w:rPr>
                <w:rStyle w:val="A6"/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Pr="00806CB8">
              <w:rPr>
                <w:rStyle w:val="A6"/>
                <w:rFonts w:asciiTheme="minorHAnsi" w:hAnsiTheme="minorHAnsi" w:cstheme="minorHAnsi"/>
                <w:color w:val="auto"/>
                <w:sz w:val="22"/>
                <w:szCs w:val="22"/>
              </w:rPr>
              <w:t>50</w:t>
            </w:r>
          </w:p>
        </w:tc>
      </w:tr>
    </w:tbl>
    <w:p w14:paraId="5976DBC0" w14:textId="62DCE590" w:rsidR="00055F6A" w:rsidRPr="00806CB8" w:rsidRDefault="00055F6A" w:rsidP="00055F6A">
      <w:pPr>
        <w:pStyle w:val="Pa3"/>
        <w:spacing w:before="80"/>
        <w:rPr>
          <w:rStyle w:val="A6"/>
          <w:rFonts w:asciiTheme="minorHAnsi" w:hAnsiTheme="minorHAnsi" w:cstheme="minorHAnsi"/>
          <w:color w:val="auto"/>
          <w:sz w:val="22"/>
          <w:szCs w:val="22"/>
        </w:rPr>
      </w:pPr>
      <w:r w:rsidRPr="00806CB8">
        <w:rPr>
          <w:rStyle w:val="A6"/>
          <w:rFonts w:asciiTheme="minorHAnsi" w:hAnsiTheme="minorHAnsi" w:cstheme="minorHAnsi"/>
          <w:color w:val="auto"/>
          <w:sz w:val="22"/>
          <w:szCs w:val="22"/>
        </w:rPr>
        <w:t>Vzorky pozitivní v ELISA testu by měly být</w:t>
      </w:r>
      <w:r w:rsidR="00CE5B88" w:rsidRPr="00806CB8">
        <w:rPr>
          <w:rStyle w:val="A6"/>
          <w:rFonts w:asciiTheme="minorHAnsi" w:hAnsiTheme="minorHAnsi" w:cstheme="minorHAnsi"/>
          <w:color w:val="auto"/>
          <w:sz w:val="22"/>
          <w:szCs w:val="22"/>
        </w:rPr>
        <w:t xml:space="preserve"> pro potvrzení vyšetřeny dalším serologickým testem jako je test precipitace na agarovém gelu (</w:t>
      </w:r>
      <w:r w:rsidRPr="00806CB8">
        <w:rPr>
          <w:rStyle w:val="A6"/>
          <w:rFonts w:asciiTheme="minorHAnsi" w:hAnsiTheme="minorHAnsi" w:cstheme="minorHAnsi"/>
          <w:color w:val="auto"/>
          <w:sz w:val="22"/>
          <w:szCs w:val="22"/>
        </w:rPr>
        <w:t>Agar Gel Precipitation Test (AGP).</w:t>
      </w:r>
    </w:p>
    <w:p w14:paraId="5B80BB50" w14:textId="77777777" w:rsidR="00D716CA" w:rsidRPr="00806CB8" w:rsidRDefault="00D716CA" w:rsidP="00055F6A">
      <w:pPr>
        <w:rPr>
          <w:rStyle w:val="A6"/>
          <w:rFonts w:cstheme="minorHAnsi"/>
          <w:b/>
          <w:bCs/>
          <w:color w:val="auto"/>
          <w:sz w:val="22"/>
          <w:szCs w:val="22"/>
        </w:rPr>
      </w:pPr>
    </w:p>
    <w:p w14:paraId="2F2A8AA5" w14:textId="548E0C22" w:rsidR="00055F6A" w:rsidRPr="00806CB8" w:rsidRDefault="00CE5B88" w:rsidP="00055F6A">
      <w:pPr>
        <w:rPr>
          <w:rStyle w:val="A6"/>
          <w:rFonts w:cstheme="minorHAnsi"/>
          <w:color w:val="auto"/>
          <w:sz w:val="22"/>
          <w:szCs w:val="22"/>
        </w:rPr>
      </w:pPr>
      <w:r w:rsidRPr="00806CB8">
        <w:rPr>
          <w:rStyle w:val="A6"/>
          <w:rFonts w:cstheme="minorHAnsi"/>
          <w:b/>
          <w:bCs/>
          <w:color w:val="auto"/>
          <w:sz w:val="22"/>
          <w:szCs w:val="22"/>
        </w:rPr>
        <w:t>Poznámka</w:t>
      </w:r>
      <w:r w:rsidR="00055F6A" w:rsidRPr="00806CB8">
        <w:rPr>
          <w:rStyle w:val="A6"/>
          <w:rFonts w:cstheme="minorHAnsi"/>
          <w:b/>
          <w:bCs/>
          <w:color w:val="auto"/>
          <w:sz w:val="22"/>
          <w:szCs w:val="22"/>
        </w:rPr>
        <w:t xml:space="preserve">: </w:t>
      </w:r>
      <w:r w:rsidR="001158CB" w:rsidRPr="00806CB8">
        <w:rPr>
          <w:rStyle w:val="A6"/>
          <w:rFonts w:cstheme="minorHAnsi"/>
          <w:bCs/>
          <w:color w:val="auto"/>
          <w:sz w:val="22"/>
          <w:szCs w:val="22"/>
        </w:rPr>
        <w:t>Společnost IDEXX nabízí nástroje a softwarové systémy, které provádí kalkulaci výsledků a</w:t>
      </w:r>
      <w:r w:rsidR="00806CB8" w:rsidRPr="00806CB8">
        <w:rPr>
          <w:rStyle w:val="A6"/>
          <w:rFonts w:cstheme="minorHAnsi"/>
          <w:bCs/>
          <w:color w:val="auto"/>
          <w:sz w:val="22"/>
          <w:szCs w:val="22"/>
        </w:rPr>
        <w:t> </w:t>
      </w:r>
      <w:r w:rsidR="001158CB" w:rsidRPr="00806CB8">
        <w:rPr>
          <w:rStyle w:val="A6"/>
          <w:rFonts w:cstheme="minorHAnsi"/>
          <w:bCs/>
          <w:color w:val="auto"/>
          <w:sz w:val="22"/>
          <w:szCs w:val="22"/>
        </w:rPr>
        <w:t>vytvářejí souhrnné přehledy dat</w:t>
      </w:r>
    </w:p>
    <w:p w14:paraId="2646570D" w14:textId="77777777" w:rsidR="00055F6A" w:rsidRPr="00806CB8" w:rsidRDefault="00D61AA2" w:rsidP="00055F6A">
      <w:pPr>
        <w:rPr>
          <w:rFonts w:cstheme="minorHAnsi"/>
        </w:rPr>
      </w:pPr>
      <w:r w:rsidRPr="00806CB8">
        <w:rPr>
          <w:rFonts w:cstheme="minorHAnsi"/>
        </w:rPr>
        <w:t>Technická podpora</w:t>
      </w:r>
      <w:r w:rsidR="00824BCB" w:rsidRPr="00806CB8">
        <w:rPr>
          <w:rFonts w:cstheme="minorHAnsi"/>
        </w:rPr>
        <w:t>:</w:t>
      </w:r>
    </w:p>
    <w:p w14:paraId="2B4AAFE4" w14:textId="68744499" w:rsidR="00824BCB" w:rsidRPr="00806CB8" w:rsidRDefault="00824BCB" w:rsidP="00055F6A">
      <w:pPr>
        <w:rPr>
          <w:rFonts w:cstheme="minorHAnsi"/>
        </w:rPr>
      </w:pPr>
      <w:r w:rsidRPr="00806CB8">
        <w:rPr>
          <w:rFonts w:cstheme="minorHAnsi"/>
        </w:rPr>
        <w:t xml:space="preserve">IDEXX USA Tel: +1 800 548 9997 </w:t>
      </w:r>
      <w:r w:rsidR="00D61AA2" w:rsidRPr="00806CB8">
        <w:rPr>
          <w:rFonts w:cstheme="minorHAnsi"/>
        </w:rPr>
        <w:t>nebo</w:t>
      </w:r>
      <w:r w:rsidRPr="00806CB8">
        <w:rPr>
          <w:rFonts w:cstheme="minorHAnsi"/>
        </w:rPr>
        <w:t xml:space="preserve"> +1 207 556 4895 IDEXX E</w:t>
      </w:r>
      <w:r w:rsidR="00D61AA2" w:rsidRPr="00806CB8">
        <w:rPr>
          <w:rFonts w:cstheme="minorHAnsi"/>
        </w:rPr>
        <w:t>vropa</w:t>
      </w:r>
      <w:r w:rsidRPr="00806CB8">
        <w:rPr>
          <w:rFonts w:cstheme="minorHAnsi"/>
        </w:rPr>
        <w:t xml:space="preserve"> Tel: +800 727 43399 </w:t>
      </w:r>
      <w:r w:rsidR="00D61AA2" w:rsidRPr="00806CB8">
        <w:rPr>
          <w:rFonts w:cstheme="minorHAnsi"/>
        </w:rPr>
        <w:t xml:space="preserve">Obraťte se na svého zástupce společnosti </w:t>
      </w:r>
      <w:r w:rsidRPr="00806CB8">
        <w:rPr>
          <w:rFonts w:cstheme="minorHAnsi"/>
        </w:rPr>
        <w:t>IDEXX</w:t>
      </w:r>
      <w:r w:rsidR="00D61AA2" w:rsidRPr="00806CB8">
        <w:rPr>
          <w:rFonts w:cstheme="minorHAnsi"/>
        </w:rPr>
        <w:t xml:space="preserve"> nebo distributora nebo navštivte naše webové stránky</w:t>
      </w:r>
      <w:r w:rsidRPr="00806CB8">
        <w:rPr>
          <w:rFonts w:cstheme="minorHAnsi"/>
        </w:rPr>
        <w:t xml:space="preserve">: idexx.com/contactlpd </w:t>
      </w:r>
    </w:p>
    <w:p w14:paraId="6B4A93FF" w14:textId="77777777" w:rsidR="00824BCB" w:rsidRPr="00806CB8" w:rsidRDefault="00824BCB" w:rsidP="00824BCB">
      <w:pPr>
        <w:rPr>
          <w:rFonts w:cstheme="minorHAnsi"/>
        </w:rPr>
      </w:pPr>
      <w:r w:rsidRPr="00806CB8">
        <w:rPr>
          <w:rFonts w:cstheme="minorHAnsi"/>
        </w:rPr>
        <w:t>U.S. Vet. License No. 313 Product Code: 5004.00</w:t>
      </w:r>
    </w:p>
    <w:p w14:paraId="271C8A22" w14:textId="5DA0E058" w:rsidR="00824BCB" w:rsidRPr="00806CB8" w:rsidRDefault="00824BCB" w:rsidP="00824BCB">
      <w:pPr>
        <w:rPr>
          <w:rFonts w:cstheme="minorHAnsi"/>
        </w:rPr>
      </w:pPr>
      <w:r w:rsidRPr="00806CB8">
        <w:rPr>
          <w:rFonts w:cstheme="minorHAnsi"/>
        </w:rPr>
        <w:t xml:space="preserve">IDEXX a Test With Confidence </w:t>
      </w:r>
      <w:r w:rsidR="00D61AA2" w:rsidRPr="00806CB8">
        <w:rPr>
          <w:rFonts w:cstheme="minorHAnsi"/>
        </w:rPr>
        <w:t>jsou ochranné známky a registrované ochranné známky společnosti</w:t>
      </w:r>
      <w:r w:rsidRPr="00806CB8">
        <w:rPr>
          <w:rFonts w:cstheme="minorHAnsi"/>
        </w:rPr>
        <w:t xml:space="preserve"> IDEXX Laboratories, Inc.</w:t>
      </w:r>
      <w:bookmarkStart w:id="0" w:name="_GoBack"/>
      <w:bookmarkEnd w:id="0"/>
      <w:r w:rsidR="00806CB8">
        <w:rPr>
          <w:rFonts w:cstheme="minorHAnsi"/>
        </w:rPr>
        <w:t>,</w:t>
      </w:r>
      <w:r w:rsidR="00D61AA2" w:rsidRPr="00806CB8">
        <w:rPr>
          <w:rFonts w:cstheme="minorHAnsi"/>
        </w:rPr>
        <w:t xml:space="preserve"> nebo jejích přidružených organizací ve Spojených státech a/nebo jiných zemích</w:t>
      </w:r>
    </w:p>
    <w:p w14:paraId="24F8E180" w14:textId="45CA8AE0" w:rsidR="008918AE" w:rsidRPr="00806CB8" w:rsidRDefault="00824BCB" w:rsidP="00824BCB">
      <w:pPr>
        <w:rPr>
          <w:rFonts w:cstheme="minorHAnsi"/>
        </w:rPr>
      </w:pPr>
      <w:r w:rsidRPr="00806CB8">
        <w:rPr>
          <w:rFonts w:cstheme="minorHAnsi"/>
        </w:rPr>
        <w:t>© 20</w:t>
      </w:r>
      <w:r w:rsidR="00AF3A4E" w:rsidRPr="00806CB8">
        <w:rPr>
          <w:rFonts w:cstheme="minorHAnsi"/>
        </w:rPr>
        <w:t>22</w:t>
      </w:r>
      <w:r w:rsidRPr="00806CB8">
        <w:rPr>
          <w:rFonts w:cstheme="minorHAnsi"/>
        </w:rPr>
        <w:t xml:space="preserve"> IDEXX Laboratories, Inc. </w:t>
      </w:r>
      <w:r w:rsidR="00D61AA2" w:rsidRPr="00806CB8">
        <w:rPr>
          <w:rFonts w:cstheme="minorHAnsi"/>
        </w:rPr>
        <w:t>Všechna práva vyhrazena</w:t>
      </w:r>
      <w:r w:rsidRPr="00806CB8">
        <w:rPr>
          <w:rFonts w:cstheme="minorHAnsi"/>
        </w:rPr>
        <w:t>.</w:t>
      </w:r>
    </w:p>
    <w:p w14:paraId="51381DA7" w14:textId="77777777" w:rsidR="00BB1BE4" w:rsidRPr="00806CB8" w:rsidRDefault="00BB1BE4" w:rsidP="00AF3A4E">
      <w:pPr>
        <w:spacing w:after="0"/>
        <w:jc w:val="center"/>
        <w:rPr>
          <w:rFonts w:cstheme="minorHAnsi"/>
          <w:b/>
        </w:rPr>
      </w:pPr>
    </w:p>
    <w:p w14:paraId="4188CD29" w14:textId="1BC0DF02" w:rsidR="00AF3A4E" w:rsidRPr="00806CB8" w:rsidRDefault="00AF3A4E" w:rsidP="00AF3A4E">
      <w:pPr>
        <w:spacing w:after="0"/>
        <w:jc w:val="center"/>
        <w:rPr>
          <w:rFonts w:cstheme="minorHAnsi"/>
        </w:rPr>
      </w:pPr>
      <w:r w:rsidRPr="00806CB8">
        <w:rPr>
          <w:rFonts w:cstheme="minorHAnsi"/>
          <w:b/>
        </w:rPr>
        <w:t>VAROVÁNÍ</w:t>
      </w:r>
    </w:p>
    <w:p w14:paraId="3833641A" w14:textId="77777777" w:rsidR="00AF3A4E" w:rsidRPr="00806CB8" w:rsidRDefault="00AF3A4E" w:rsidP="00AF3A4E">
      <w:pPr>
        <w:spacing w:after="0"/>
        <w:rPr>
          <w:rFonts w:cstheme="minorHAnsi"/>
        </w:rPr>
      </w:pPr>
    </w:p>
    <w:p w14:paraId="7F1F929F" w14:textId="0E084106" w:rsidR="000049DC" w:rsidRPr="00806CB8" w:rsidRDefault="000049DC" w:rsidP="00AF3A4E">
      <w:pPr>
        <w:spacing w:after="0"/>
        <w:rPr>
          <w:rFonts w:cstheme="minorHAnsi"/>
        </w:rPr>
      </w:pPr>
      <w:r w:rsidRPr="00806CB8">
        <w:rPr>
          <w:rFonts w:cstheme="minorHAnsi"/>
          <w:lang w:eastAsia="cs-CZ"/>
        </w:rPr>
        <w:drawing>
          <wp:inline distT="0" distB="0" distL="0" distR="0" wp14:anchorId="4148F79C" wp14:editId="0B77CD36">
            <wp:extent cx="5759450" cy="28638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41ADB" w14:textId="700D75A4" w:rsidR="00AF3A4E" w:rsidRPr="00806CB8" w:rsidRDefault="00AF3A4E" w:rsidP="00AF3A4E">
      <w:pPr>
        <w:spacing w:after="0"/>
        <w:rPr>
          <w:rFonts w:cstheme="minorHAnsi"/>
        </w:rPr>
      </w:pPr>
      <w:r w:rsidRPr="00806CB8">
        <w:rPr>
          <w:rFonts w:cstheme="minorHAnsi"/>
          <w:b/>
        </w:rPr>
        <w:t xml:space="preserve">Pozitivní kontrola/Konjugát – </w:t>
      </w:r>
      <w:r w:rsidR="000049DC" w:rsidRPr="00806CB8">
        <w:rPr>
          <w:rFonts w:cstheme="minorHAnsi"/>
        </w:rPr>
        <w:t>Může vyvolat alergickou kožní reakci. Škodlivý pro vodní organismy, s dlouhodobými účinky. Používejte ochranné rukavice. PŘI STYKU S KŮŽÍ: Omyjte velkým množstvím vody s mýdlem. Při podráždění kůže nebo vyrážce: Vyhledejte lékařskou pomoc/ošetření.</w:t>
      </w:r>
    </w:p>
    <w:p w14:paraId="1AD6FC22" w14:textId="77777777" w:rsidR="00AF3A4E" w:rsidRPr="00806CB8" w:rsidRDefault="00AF3A4E" w:rsidP="00AF3A4E">
      <w:pPr>
        <w:spacing w:after="0"/>
        <w:rPr>
          <w:rFonts w:cstheme="minorHAnsi"/>
        </w:rPr>
      </w:pPr>
    </w:p>
    <w:p w14:paraId="44935D26" w14:textId="77777777" w:rsidR="00AF3A4E" w:rsidRPr="00806CB8" w:rsidRDefault="00AF3A4E" w:rsidP="00AF3A4E">
      <w:pPr>
        <w:spacing w:after="0"/>
        <w:rPr>
          <w:rFonts w:cstheme="minorHAnsi"/>
        </w:rPr>
      </w:pPr>
      <w:r w:rsidRPr="00806CB8">
        <w:rPr>
          <w:rFonts w:cstheme="minorHAnsi"/>
          <w:lang w:eastAsia="cs-CZ"/>
        </w:rPr>
        <w:drawing>
          <wp:inline distT="0" distB="0" distL="0" distR="0" wp14:anchorId="63514479" wp14:editId="3FBCC693">
            <wp:extent cx="5759450" cy="334645"/>
            <wp:effectExtent l="0" t="0" r="0" b="825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94881" w14:textId="5F3A2C57" w:rsidR="00AF3A4E" w:rsidRPr="00806CB8" w:rsidRDefault="00AF3A4E" w:rsidP="00AF3A4E">
      <w:pPr>
        <w:spacing w:after="0"/>
        <w:rPr>
          <w:rFonts w:cstheme="minorHAnsi"/>
        </w:rPr>
      </w:pPr>
      <w:r w:rsidRPr="00806CB8">
        <w:rPr>
          <w:rFonts w:cstheme="minorHAnsi"/>
          <w:b/>
        </w:rPr>
        <w:t xml:space="preserve">Negativní kontrola/Ředící roztok - </w:t>
      </w:r>
      <w:r w:rsidRPr="00806CB8">
        <w:rPr>
          <w:rFonts w:cstheme="minorHAnsi"/>
        </w:rPr>
        <w:t>Může vyvolat alergickou kožní reakci. Škodlivý pro vodní organismy, s dlouhodobými účinky. Zamezte vdechování prachu/dýmu/plynu/mlhy/par/aerosolů. Používejte ochranné rukavice. PŘI STYKU S KŮŽÍ: Omyjte velkým množstvím vody s mýdlem. Při</w:t>
      </w:r>
      <w:r w:rsidR="00806CB8" w:rsidRPr="00806CB8">
        <w:rPr>
          <w:rFonts w:cstheme="minorHAnsi"/>
        </w:rPr>
        <w:t> </w:t>
      </w:r>
      <w:r w:rsidRPr="00806CB8">
        <w:rPr>
          <w:rFonts w:cstheme="minorHAnsi"/>
        </w:rPr>
        <w:t>podráždění kůže nebo vyrážce: Vyhledejte lékařskou pomoc/ošetření.</w:t>
      </w:r>
    </w:p>
    <w:p w14:paraId="0791D124" w14:textId="77777777" w:rsidR="00AF3A4E" w:rsidRPr="00806CB8" w:rsidRDefault="00AF3A4E" w:rsidP="00AF3A4E">
      <w:pPr>
        <w:rPr>
          <w:rFonts w:cstheme="minorHAnsi"/>
          <w:b/>
        </w:rPr>
      </w:pPr>
    </w:p>
    <w:p w14:paraId="001109FB" w14:textId="77777777" w:rsidR="00AF3A4E" w:rsidRPr="00806CB8" w:rsidRDefault="00AF3A4E" w:rsidP="00AF3A4E">
      <w:pPr>
        <w:rPr>
          <w:rFonts w:cstheme="minorHAnsi"/>
          <w:b/>
        </w:rPr>
      </w:pPr>
      <w:r w:rsidRPr="00806CB8">
        <w:rPr>
          <w:rFonts w:cstheme="minorHAnsi"/>
          <w:b/>
        </w:rPr>
        <w:t>Popis symbolů</w:t>
      </w:r>
    </w:p>
    <w:p w14:paraId="6A8EC198" w14:textId="77777777" w:rsidR="00AF3A4E" w:rsidRPr="00806CB8" w:rsidRDefault="00AF3A4E" w:rsidP="00AF3A4E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245"/>
      </w:tblGrid>
      <w:tr w:rsidR="00806CB8" w:rsidRPr="00806CB8" w14:paraId="7FDE5A32" w14:textId="77777777" w:rsidTr="003765C4">
        <w:tc>
          <w:tcPr>
            <w:tcW w:w="1980" w:type="dxa"/>
          </w:tcPr>
          <w:p w14:paraId="220383E5" w14:textId="77777777" w:rsidR="000D4356" w:rsidRPr="00806CB8" w:rsidRDefault="000D4356" w:rsidP="003765C4">
            <w:pPr>
              <w:rPr>
                <w:rFonts w:cs="TTE1965D00t00"/>
                <w:b/>
              </w:rPr>
            </w:pPr>
            <w:r w:rsidRPr="00806CB8">
              <w:rPr>
                <w:rFonts w:cs="TTE1965D00t00"/>
                <w:lang w:eastAsia="cs-CZ"/>
              </w:rPr>
              <w:lastRenderedPageBreak/>
              <w:drawing>
                <wp:inline distT="0" distB="0" distL="0" distR="0" wp14:anchorId="45BB7FA1" wp14:editId="451C2425">
                  <wp:extent cx="445135" cy="314960"/>
                  <wp:effectExtent l="0" t="0" r="0" b="8890"/>
                  <wp:docPr id="48" name="Obráze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7BE79F7C" w14:textId="77777777" w:rsidR="000D4356" w:rsidRPr="00806CB8" w:rsidRDefault="000D4356" w:rsidP="003765C4">
            <w:pPr>
              <w:rPr>
                <w:rFonts w:cs="TTE1965D00t00"/>
                <w:b/>
              </w:rPr>
            </w:pPr>
            <w:r w:rsidRPr="00806CB8">
              <w:rPr>
                <w:rFonts w:cs="TTE1965D00t00"/>
              </w:rPr>
              <w:t>Kód šarže</w:t>
            </w:r>
          </w:p>
        </w:tc>
      </w:tr>
      <w:tr w:rsidR="00806CB8" w:rsidRPr="00806CB8" w14:paraId="0B4063E3" w14:textId="77777777" w:rsidTr="003765C4">
        <w:tc>
          <w:tcPr>
            <w:tcW w:w="1980" w:type="dxa"/>
          </w:tcPr>
          <w:p w14:paraId="10371DA3" w14:textId="77777777" w:rsidR="000D4356" w:rsidRPr="00806CB8" w:rsidRDefault="000D4356" w:rsidP="003765C4">
            <w:pPr>
              <w:rPr>
                <w:rFonts w:cs="TTE1965D00t00"/>
                <w:b/>
              </w:rPr>
            </w:pPr>
            <w:r w:rsidRPr="00806CB8">
              <w:rPr>
                <w:rFonts w:cs="TTE1965D00t00"/>
                <w:lang w:eastAsia="cs-CZ"/>
              </w:rPr>
              <w:drawing>
                <wp:inline distT="0" distB="0" distL="0" distR="0" wp14:anchorId="63A3856B" wp14:editId="13423BE1">
                  <wp:extent cx="522605" cy="421640"/>
                  <wp:effectExtent l="0" t="0" r="0" b="0"/>
                  <wp:docPr id="49" name="Obráze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2D78B83A" w14:textId="77777777" w:rsidR="000D4356" w:rsidRPr="00806CB8" w:rsidRDefault="000D4356" w:rsidP="003765C4">
            <w:pPr>
              <w:rPr>
                <w:rFonts w:cs="TTE1965D00t00"/>
                <w:b/>
              </w:rPr>
            </w:pPr>
            <w:r w:rsidRPr="00806CB8">
              <w:rPr>
                <w:rFonts w:cs="TTE1965D00t00"/>
              </w:rPr>
              <w:t>Sériové číslo</w:t>
            </w:r>
          </w:p>
        </w:tc>
      </w:tr>
      <w:tr w:rsidR="00806CB8" w:rsidRPr="00806CB8" w14:paraId="78A044C9" w14:textId="77777777" w:rsidTr="003765C4">
        <w:tc>
          <w:tcPr>
            <w:tcW w:w="1980" w:type="dxa"/>
          </w:tcPr>
          <w:p w14:paraId="4044B4A3" w14:textId="77777777" w:rsidR="000D4356" w:rsidRPr="00806CB8" w:rsidRDefault="000D4356" w:rsidP="003765C4">
            <w:pPr>
              <w:rPr>
                <w:rFonts w:cs="TTE1965D00t00"/>
                <w:b/>
              </w:rPr>
            </w:pPr>
            <w:r w:rsidRPr="00806CB8">
              <w:rPr>
                <w:rFonts w:cs="TTE1965D00t00"/>
                <w:lang w:eastAsia="cs-CZ"/>
              </w:rPr>
              <w:drawing>
                <wp:inline distT="0" distB="0" distL="0" distR="0" wp14:anchorId="6EFFF0B1" wp14:editId="6BC19ADA">
                  <wp:extent cx="487045" cy="421640"/>
                  <wp:effectExtent l="0" t="0" r="8255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26D29B65" w14:textId="77777777" w:rsidR="000D4356" w:rsidRPr="00806CB8" w:rsidRDefault="000D4356" w:rsidP="003765C4">
            <w:pPr>
              <w:rPr>
                <w:rFonts w:cs="TTE1965D00t00"/>
                <w:b/>
              </w:rPr>
            </w:pPr>
            <w:r w:rsidRPr="00806CB8">
              <w:rPr>
                <w:rFonts w:cs="TTE1965D00t00"/>
              </w:rPr>
              <w:t>Katalogové číslo</w:t>
            </w:r>
          </w:p>
        </w:tc>
      </w:tr>
      <w:tr w:rsidR="00806CB8" w:rsidRPr="00806CB8" w14:paraId="6494C301" w14:textId="77777777" w:rsidTr="003765C4">
        <w:tc>
          <w:tcPr>
            <w:tcW w:w="1980" w:type="dxa"/>
          </w:tcPr>
          <w:p w14:paraId="377BBDB8" w14:textId="77777777" w:rsidR="000D4356" w:rsidRPr="00806CB8" w:rsidRDefault="000D4356" w:rsidP="003765C4">
            <w:pPr>
              <w:rPr>
                <w:rFonts w:cs="TTE1965D00t00"/>
                <w:b/>
              </w:rPr>
            </w:pPr>
            <w:r w:rsidRPr="00806CB8">
              <w:rPr>
                <w:rFonts w:cs="TTE1965D00t00"/>
                <w:lang w:eastAsia="cs-CZ"/>
              </w:rPr>
              <w:drawing>
                <wp:inline distT="0" distB="0" distL="0" distR="0" wp14:anchorId="7D5E9467" wp14:editId="30703352">
                  <wp:extent cx="563880" cy="409575"/>
                  <wp:effectExtent l="0" t="0" r="7620" b="9525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212A087F" w14:textId="77777777" w:rsidR="000D4356" w:rsidRPr="00806CB8" w:rsidRDefault="000D4356" w:rsidP="003765C4">
            <w:pPr>
              <w:rPr>
                <w:rFonts w:cs="TTE1965D00t00"/>
                <w:b/>
              </w:rPr>
            </w:pPr>
            <w:r w:rsidRPr="00806CB8">
              <w:rPr>
                <w:rFonts w:cs="TTE1965D00t00"/>
              </w:rPr>
              <w:t>Diagnostika in vitro</w:t>
            </w:r>
          </w:p>
        </w:tc>
      </w:tr>
      <w:tr w:rsidR="00806CB8" w:rsidRPr="00806CB8" w14:paraId="09355AA1" w14:textId="77777777" w:rsidTr="003765C4">
        <w:tc>
          <w:tcPr>
            <w:tcW w:w="1980" w:type="dxa"/>
          </w:tcPr>
          <w:p w14:paraId="3A09F985" w14:textId="77777777" w:rsidR="000D4356" w:rsidRPr="00806CB8" w:rsidRDefault="000D4356" w:rsidP="003765C4">
            <w:pPr>
              <w:rPr>
                <w:rFonts w:cs="TTE1965D00t00"/>
                <w:b/>
              </w:rPr>
            </w:pPr>
            <w:r w:rsidRPr="00806CB8">
              <w:rPr>
                <w:rFonts w:cs="TTE1965D00t00"/>
                <w:lang w:eastAsia="cs-CZ"/>
              </w:rPr>
              <w:drawing>
                <wp:inline distT="0" distB="0" distL="0" distR="0" wp14:anchorId="5B6DAD06" wp14:editId="1993B006">
                  <wp:extent cx="563880" cy="445135"/>
                  <wp:effectExtent l="0" t="0" r="762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2BB63C55" w14:textId="77777777" w:rsidR="000D4356" w:rsidRPr="00806CB8" w:rsidRDefault="000D4356" w:rsidP="003765C4">
            <w:pPr>
              <w:rPr>
                <w:rFonts w:cs="TTE1965D00t00"/>
                <w:b/>
              </w:rPr>
            </w:pPr>
            <w:r w:rsidRPr="00806CB8">
              <w:rPr>
                <w:rFonts w:cs="TTE1965D00t00"/>
              </w:rPr>
              <w:t>Autorizovaný zástupce v Evropském společenství</w:t>
            </w:r>
          </w:p>
        </w:tc>
      </w:tr>
      <w:tr w:rsidR="00806CB8" w:rsidRPr="00806CB8" w14:paraId="52CE134B" w14:textId="77777777" w:rsidTr="003765C4">
        <w:tc>
          <w:tcPr>
            <w:tcW w:w="1980" w:type="dxa"/>
          </w:tcPr>
          <w:p w14:paraId="5EE28C7B" w14:textId="77777777" w:rsidR="000D4356" w:rsidRPr="00806CB8" w:rsidRDefault="000D4356" w:rsidP="003765C4">
            <w:pPr>
              <w:rPr>
                <w:rFonts w:cs="TTE1965D00t00"/>
                <w:b/>
              </w:rPr>
            </w:pPr>
            <w:r w:rsidRPr="00806CB8">
              <w:rPr>
                <w:rFonts w:cs="TTE1965D00t00"/>
                <w:lang w:eastAsia="cs-CZ"/>
              </w:rPr>
              <w:drawing>
                <wp:inline distT="0" distB="0" distL="0" distR="0" wp14:anchorId="51D49EC9" wp14:editId="64DC5F3B">
                  <wp:extent cx="754380" cy="379730"/>
                  <wp:effectExtent l="0" t="0" r="7620" b="127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34343B27" w14:textId="77777777" w:rsidR="000D4356" w:rsidRPr="00806CB8" w:rsidRDefault="000D4356" w:rsidP="003765C4">
            <w:pPr>
              <w:rPr>
                <w:rFonts w:cs="TTE1965D00t00"/>
                <w:b/>
              </w:rPr>
            </w:pPr>
            <w:r w:rsidRPr="00806CB8">
              <w:rPr>
                <w:rFonts w:cs="TTE1965D00t00"/>
              </w:rPr>
              <w:t>Pozitivní kontrolní vzorek</w:t>
            </w:r>
          </w:p>
        </w:tc>
      </w:tr>
      <w:tr w:rsidR="00806CB8" w:rsidRPr="00806CB8" w14:paraId="6F161B88" w14:textId="77777777" w:rsidTr="003765C4">
        <w:tc>
          <w:tcPr>
            <w:tcW w:w="1980" w:type="dxa"/>
          </w:tcPr>
          <w:p w14:paraId="46C71311" w14:textId="77777777" w:rsidR="000D4356" w:rsidRPr="00806CB8" w:rsidRDefault="000D4356" w:rsidP="003765C4">
            <w:pPr>
              <w:rPr>
                <w:rFonts w:cs="TTE1965D00t00"/>
                <w:b/>
              </w:rPr>
            </w:pPr>
            <w:r w:rsidRPr="00806CB8">
              <w:rPr>
                <w:rFonts w:cs="TTE1965D00t00"/>
                <w:lang w:eastAsia="cs-CZ"/>
              </w:rPr>
              <w:drawing>
                <wp:inline distT="0" distB="0" distL="0" distR="0" wp14:anchorId="753E4EF2" wp14:editId="7267850F">
                  <wp:extent cx="789940" cy="297180"/>
                  <wp:effectExtent l="0" t="0" r="0" b="762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5E333F74" w14:textId="77777777" w:rsidR="000D4356" w:rsidRPr="00806CB8" w:rsidRDefault="000D4356" w:rsidP="003765C4">
            <w:pPr>
              <w:rPr>
                <w:rFonts w:cs="TTE1965D00t00"/>
                <w:b/>
              </w:rPr>
            </w:pPr>
            <w:r w:rsidRPr="00806CB8">
              <w:rPr>
                <w:rFonts w:cs="TTE1965D00t00"/>
              </w:rPr>
              <w:t>Negativní kontrolní vzorek</w:t>
            </w:r>
          </w:p>
        </w:tc>
      </w:tr>
      <w:tr w:rsidR="00806CB8" w:rsidRPr="00806CB8" w14:paraId="6BD3E3A4" w14:textId="77777777" w:rsidTr="003765C4">
        <w:tc>
          <w:tcPr>
            <w:tcW w:w="1980" w:type="dxa"/>
          </w:tcPr>
          <w:p w14:paraId="3E2B1ACE" w14:textId="77777777" w:rsidR="000D4356" w:rsidRPr="00806CB8" w:rsidRDefault="000D4356" w:rsidP="003765C4">
            <w:pPr>
              <w:rPr>
                <w:rFonts w:cs="TTE1965D00t00"/>
                <w:b/>
              </w:rPr>
            </w:pPr>
            <w:r w:rsidRPr="00806CB8">
              <w:rPr>
                <w:rFonts w:cs="TTE1965D00t00"/>
                <w:lang w:eastAsia="cs-CZ"/>
              </w:rPr>
              <w:drawing>
                <wp:inline distT="0" distB="0" distL="0" distR="0" wp14:anchorId="08688710" wp14:editId="2D1238F8">
                  <wp:extent cx="445135" cy="581660"/>
                  <wp:effectExtent l="0" t="0" r="0" b="889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16B027FB" w14:textId="77777777" w:rsidR="000D4356" w:rsidRPr="00806CB8" w:rsidRDefault="000D4356" w:rsidP="003765C4">
            <w:pPr>
              <w:rPr>
                <w:rFonts w:cs="TTE1965D00t00"/>
              </w:rPr>
            </w:pPr>
          </w:p>
          <w:p w14:paraId="7EFA852C" w14:textId="77777777" w:rsidR="000D4356" w:rsidRPr="00806CB8" w:rsidRDefault="000D4356" w:rsidP="003765C4">
            <w:pPr>
              <w:rPr>
                <w:rFonts w:cs="TTE1965D00t00"/>
                <w:b/>
              </w:rPr>
            </w:pPr>
            <w:r w:rsidRPr="00806CB8">
              <w:rPr>
                <w:rFonts w:cs="TTE1965D00t00"/>
              </w:rPr>
              <w:t>Použijte do</w:t>
            </w:r>
          </w:p>
        </w:tc>
      </w:tr>
      <w:tr w:rsidR="00806CB8" w:rsidRPr="00806CB8" w14:paraId="303C77AD" w14:textId="77777777" w:rsidTr="003765C4">
        <w:tc>
          <w:tcPr>
            <w:tcW w:w="1980" w:type="dxa"/>
          </w:tcPr>
          <w:p w14:paraId="3AD0F1C1" w14:textId="77777777" w:rsidR="000D4356" w:rsidRPr="00806CB8" w:rsidRDefault="000D4356" w:rsidP="003765C4">
            <w:pPr>
              <w:rPr>
                <w:rFonts w:cs="TTE1965D00t00"/>
              </w:rPr>
            </w:pPr>
            <w:r w:rsidRPr="00806CB8">
              <w:rPr>
                <w:rFonts w:cs="TTE1965D00t00"/>
                <w:lang w:eastAsia="cs-CZ"/>
              </w:rPr>
              <w:drawing>
                <wp:inline distT="0" distB="0" distL="0" distR="0" wp14:anchorId="2F2058DD" wp14:editId="06FDD6CD">
                  <wp:extent cx="487045" cy="487045"/>
                  <wp:effectExtent l="0" t="0" r="8255" b="8255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7CD75798" w14:textId="77777777" w:rsidR="000D4356" w:rsidRPr="00806CB8" w:rsidRDefault="000D4356" w:rsidP="003765C4">
            <w:pPr>
              <w:rPr>
                <w:rFonts w:cs="TTE1965D00t00"/>
              </w:rPr>
            </w:pPr>
          </w:p>
          <w:p w14:paraId="6C48644B" w14:textId="77777777" w:rsidR="000D4356" w:rsidRPr="00806CB8" w:rsidRDefault="000D4356" w:rsidP="003765C4">
            <w:pPr>
              <w:rPr>
                <w:rFonts w:cs="TTE1965D00t00"/>
              </w:rPr>
            </w:pPr>
            <w:r w:rsidRPr="00806CB8">
              <w:rPr>
                <w:rFonts w:cs="TTE1965D00t00"/>
              </w:rPr>
              <w:t>Datum výroby</w:t>
            </w:r>
          </w:p>
        </w:tc>
      </w:tr>
      <w:tr w:rsidR="00806CB8" w:rsidRPr="00806CB8" w14:paraId="2B573BDB" w14:textId="77777777" w:rsidTr="003765C4">
        <w:tc>
          <w:tcPr>
            <w:tcW w:w="1980" w:type="dxa"/>
          </w:tcPr>
          <w:p w14:paraId="1AC7E704" w14:textId="77777777" w:rsidR="000D4356" w:rsidRPr="00806CB8" w:rsidRDefault="000D4356" w:rsidP="003765C4">
            <w:pPr>
              <w:rPr>
                <w:rFonts w:cs="TTE1965D00t00"/>
              </w:rPr>
            </w:pPr>
            <w:r w:rsidRPr="00806CB8">
              <w:rPr>
                <w:rFonts w:cs="TTE1965D00t00"/>
                <w:lang w:eastAsia="cs-CZ"/>
              </w:rPr>
              <w:drawing>
                <wp:inline distT="0" distB="0" distL="0" distR="0" wp14:anchorId="53263902" wp14:editId="7C65E6F4">
                  <wp:extent cx="487045" cy="611505"/>
                  <wp:effectExtent l="0" t="0" r="8255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01F63CA7" w14:textId="77777777" w:rsidR="000D4356" w:rsidRPr="00806CB8" w:rsidRDefault="000D4356" w:rsidP="003765C4">
            <w:pPr>
              <w:rPr>
                <w:rFonts w:cs="TTE1965D00t00"/>
              </w:rPr>
            </w:pPr>
          </w:p>
          <w:p w14:paraId="5E818EFC" w14:textId="77777777" w:rsidR="000D4356" w:rsidRPr="00806CB8" w:rsidRDefault="000D4356" w:rsidP="003765C4">
            <w:pPr>
              <w:rPr>
                <w:rFonts w:cs="TTE1965D00t00"/>
              </w:rPr>
            </w:pPr>
            <w:r w:rsidRPr="00806CB8">
              <w:rPr>
                <w:rFonts w:cs="TTE1965D00t00"/>
              </w:rPr>
              <w:t>Výrobce</w:t>
            </w:r>
          </w:p>
        </w:tc>
      </w:tr>
      <w:tr w:rsidR="00806CB8" w:rsidRPr="00806CB8" w14:paraId="5F955677" w14:textId="77777777" w:rsidTr="003765C4">
        <w:tc>
          <w:tcPr>
            <w:tcW w:w="1980" w:type="dxa"/>
          </w:tcPr>
          <w:p w14:paraId="4CA01707" w14:textId="77777777" w:rsidR="000D4356" w:rsidRPr="00806CB8" w:rsidRDefault="000D4356" w:rsidP="003765C4">
            <w:pPr>
              <w:rPr>
                <w:rFonts w:cs="TTE1965D00t00"/>
              </w:rPr>
            </w:pPr>
            <w:r w:rsidRPr="00806CB8">
              <w:rPr>
                <w:rFonts w:cs="TTE1965D00t00"/>
                <w:lang w:eastAsia="cs-CZ"/>
              </w:rPr>
              <w:drawing>
                <wp:inline distT="0" distB="0" distL="0" distR="0" wp14:anchorId="6C5A07B0" wp14:editId="54E5DE40">
                  <wp:extent cx="445135" cy="647065"/>
                  <wp:effectExtent l="0" t="0" r="0" b="635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34A0328C" w14:textId="77777777" w:rsidR="000D4356" w:rsidRPr="00806CB8" w:rsidRDefault="000D4356" w:rsidP="003765C4">
            <w:pPr>
              <w:rPr>
                <w:rFonts w:cs="TTE1965D00t00"/>
              </w:rPr>
            </w:pPr>
          </w:p>
          <w:p w14:paraId="00BFF7E2" w14:textId="77777777" w:rsidR="000D4356" w:rsidRPr="00806CB8" w:rsidRDefault="000D4356" w:rsidP="003765C4">
            <w:pPr>
              <w:rPr>
                <w:rFonts w:cs="TTE1965D00t00"/>
              </w:rPr>
            </w:pPr>
            <w:r w:rsidRPr="00806CB8">
              <w:rPr>
                <w:rFonts w:cs="TTE1965D00t00"/>
              </w:rPr>
              <w:t>Teplotní omezení</w:t>
            </w:r>
          </w:p>
        </w:tc>
      </w:tr>
      <w:tr w:rsidR="00806CB8" w:rsidRPr="00806CB8" w14:paraId="4A917552" w14:textId="77777777" w:rsidTr="003765C4">
        <w:tc>
          <w:tcPr>
            <w:tcW w:w="1980" w:type="dxa"/>
          </w:tcPr>
          <w:p w14:paraId="7F230A5D" w14:textId="77777777" w:rsidR="000D4356" w:rsidRPr="00806CB8" w:rsidRDefault="000D4356" w:rsidP="003765C4">
            <w:pPr>
              <w:rPr>
                <w:rFonts w:cs="TTE1965D00t00"/>
              </w:rPr>
            </w:pPr>
            <w:r w:rsidRPr="00806CB8">
              <w:rPr>
                <w:rFonts w:cs="TTE1965D00t00"/>
                <w:lang w:eastAsia="cs-CZ"/>
              </w:rPr>
              <w:drawing>
                <wp:inline distT="0" distB="0" distL="0" distR="0" wp14:anchorId="118C2C12" wp14:editId="49837AD1">
                  <wp:extent cx="599440" cy="647065"/>
                  <wp:effectExtent l="0" t="0" r="0" b="635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7E51961B" w14:textId="77777777" w:rsidR="000D4356" w:rsidRPr="00806CB8" w:rsidRDefault="000D4356" w:rsidP="003765C4">
            <w:pPr>
              <w:rPr>
                <w:rFonts w:cs="TTE1965D00t00"/>
              </w:rPr>
            </w:pPr>
          </w:p>
          <w:p w14:paraId="1AF8819F" w14:textId="77777777" w:rsidR="000D4356" w:rsidRPr="00806CB8" w:rsidRDefault="000D4356" w:rsidP="003765C4">
            <w:pPr>
              <w:rPr>
                <w:rFonts w:cs="TTE1965D00t00"/>
              </w:rPr>
            </w:pPr>
            <w:r w:rsidRPr="00806CB8">
              <w:rPr>
                <w:rFonts w:cs="TTE1965D00t00"/>
              </w:rPr>
              <w:t>Čtěte návod na použití</w:t>
            </w:r>
          </w:p>
        </w:tc>
      </w:tr>
      <w:tr w:rsidR="00806CB8" w:rsidRPr="00806CB8" w14:paraId="4B924706" w14:textId="77777777" w:rsidTr="003765C4">
        <w:tc>
          <w:tcPr>
            <w:tcW w:w="1980" w:type="dxa"/>
          </w:tcPr>
          <w:p w14:paraId="494EAC58" w14:textId="77777777" w:rsidR="000D4356" w:rsidRPr="00806CB8" w:rsidRDefault="000D4356" w:rsidP="003765C4">
            <w:pPr>
              <w:rPr>
                <w:rFonts w:cs="TTE1965D00t00"/>
              </w:rPr>
            </w:pPr>
            <w:r w:rsidRPr="00806CB8">
              <w:rPr>
                <w:rFonts w:cs="Swiss721BT-Bold"/>
                <w:b/>
                <w:bCs/>
                <w:sz w:val="24"/>
                <w:szCs w:val="24"/>
                <w:lang w:eastAsia="cs-CZ"/>
              </w:rPr>
              <w:drawing>
                <wp:inline distT="0" distB="0" distL="0" distR="0" wp14:anchorId="540B7A51" wp14:editId="57605FD3">
                  <wp:extent cx="332740" cy="302895"/>
                  <wp:effectExtent l="0" t="0" r="0" b="1905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6A3698D6" w14:textId="77777777" w:rsidR="000D4356" w:rsidRPr="00806CB8" w:rsidRDefault="000D4356" w:rsidP="003765C4">
            <w:pPr>
              <w:rPr>
                <w:rFonts w:cs="TTE1965D00t00"/>
              </w:rPr>
            </w:pPr>
            <w:r w:rsidRPr="00806CB8">
              <w:rPr>
                <w:rFonts w:cs="Swiss721BT-Bold"/>
                <w:bCs/>
              </w:rPr>
              <w:t>Větší změna v návodu na použití</w:t>
            </w:r>
          </w:p>
        </w:tc>
      </w:tr>
    </w:tbl>
    <w:p w14:paraId="654AC4F1" w14:textId="77777777" w:rsidR="00AF3A4E" w:rsidRPr="00806CB8" w:rsidRDefault="00AF3A4E" w:rsidP="00AF3A4E">
      <w:pPr>
        <w:spacing w:after="0"/>
        <w:jc w:val="right"/>
        <w:rPr>
          <w:rFonts w:cstheme="minorHAnsi"/>
          <w:i/>
        </w:rPr>
      </w:pPr>
      <w:r w:rsidRPr="00806CB8">
        <w:rPr>
          <w:rFonts w:cstheme="minorHAnsi"/>
          <w:i/>
        </w:rPr>
        <w:t>Výrobce</w:t>
      </w:r>
    </w:p>
    <w:p w14:paraId="00724206" w14:textId="77777777" w:rsidR="00AF3A4E" w:rsidRPr="00806CB8" w:rsidRDefault="00AF3A4E" w:rsidP="00AF3A4E">
      <w:pPr>
        <w:spacing w:after="0"/>
        <w:jc w:val="right"/>
        <w:rPr>
          <w:rFonts w:cstheme="minorHAnsi"/>
        </w:rPr>
      </w:pPr>
      <w:r w:rsidRPr="00806CB8">
        <w:rPr>
          <w:rFonts w:cstheme="minorHAnsi"/>
        </w:rPr>
        <w:t>IDEXX Laboratories, Inc.</w:t>
      </w:r>
    </w:p>
    <w:p w14:paraId="3A5B85F2" w14:textId="77777777" w:rsidR="00AF3A4E" w:rsidRPr="00806CB8" w:rsidRDefault="00AF3A4E" w:rsidP="00AF3A4E">
      <w:pPr>
        <w:spacing w:after="0"/>
        <w:jc w:val="right"/>
        <w:rPr>
          <w:rFonts w:cstheme="minorHAnsi"/>
        </w:rPr>
      </w:pPr>
      <w:r w:rsidRPr="00806CB8">
        <w:rPr>
          <w:rFonts w:cstheme="minorHAnsi"/>
        </w:rPr>
        <w:t>One IDEXX Drive</w:t>
      </w:r>
    </w:p>
    <w:p w14:paraId="642E5D5E" w14:textId="77777777" w:rsidR="00AF3A4E" w:rsidRPr="00806CB8" w:rsidRDefault="00AF3A4E" w:rsidP="00AF3A4E">
      <w:pPr>
        <w:spacing w:after="0"/>
        <w:jc w:val="right"/>
        <w:rPr>
          <w:rFonts w:cstheme="minorHAnsi"/>
        </w:rPr>
      </w:pPr>
      <w:r w:rsidRPr="00806CB8">
        <w:rPr>
          <w:rFonts w:cstheme="minorHAnsi"/>
        </w:rPr>
        <w:t>Westbrook, Maine 04092</w:t>
      </w:r>
    </w:p>
    <w:p w14:paraId="61C0DD40" w14:textId="77777777" w:rsidR="00AF3A4E" w:rsidRPr="00806CB8" w:rsidRDefault="00AF3A4E" w:rsidP="00AF3A4E">
      <w:pPr>
        <w:spacing w:after="0"/>
        <w:jc w:val="right"/>
        <w:rPr>
          <w:rFonts w:cstheme="minorHAnsi"/>
        </w:rPr>
      </w:pPr>
      <w:r w:rsidRPr="00806CB8">
        <w:rPr>
          <w:rFonts w:cstheme="minorHAnsi"/>
        </w:rPr>
        <w:t>USA</w:t>
      </w:r>
    </w:p>
    <w:p w14:paraId="3EF4D4FD" w14:textId="77777777" w:rsidR="00AF3A4E" w:rsidRPr="00806CB8" w:rsidRDefault="00AF3A4E" w:rsidP="00AF3A4E">
      <w:pPr>
        <w:spacing w:after="0"/>
        <w:jc w:val="right"/>
        <w:rPr>
          <w:rFonts w:cstheme="minorHAnsi"/>
        </w:rPr>
      </w:pPr>
    </w:p>
    <w:p w14:paraId="519BC799" w14:textId="77777777" w:rsidR="00AF3A4E" w:rsidRPr="00806CB8" w:rsidRDefault="00AF3A4E" w:rsidP="00AF3A4E">
      <w:pPr>
        <w:spacing w:after="0"/>
        <w:jc w:val="right"/>
        <w:rPr>
          <w:rFonts w:cstheme="minorHAnsi"/>
          <w:i/>
        </w:rPr>
      </w:pPr>
      <w:r w:rsidRPr="00806CB8">
        <w:rPr>
          <w:rFonts w:cstheme="minorHAnsi"/>
          <w:i/>
        </w:rPr>
        <w:t>Zástupce pro EU</w:t>
      </w:r>
    </w:p>
    <w:p w14:paraId="604522AE" w14:textId="77777777" w:rsidR="00AF3A4E" w:rsidRPr="00806CB8" w:rsidRDefault="00AF3A4E" w:rsidP="00AF3A4E">
      <w:pPr>
        <w:spacing w:after="0"/>
        <w:jc w:val="right"/>
        <w:rPr>
          <w:rFonts w:cstheme="minorHAnsi"/>
        </w:rPr>
      </w:pPr>
      <w:r w:rsidRPr="00806CB8">
        <w:rPr>
          <w:rFonts w:cstheme="minorHAnsi"/>
        </w:rPr>
        <w:t>IDEXX Europe B.V.</w:t>
      </w:r>
    </w:p>
    <w:p w14:paraId="57504ED7" w14:textId="77777777" w:rsidR="00AF3A4E" w:rsidRPr="00806CB8" w:rsidRDefault="00AF3A4E" w:rsidP="00AF3A4E">
      <w:pPr>
        <w:spacing w:after="0"/>
        <w:jc w:val="right"/>
        <w:rPr>
          <w:rFonts w:cstheme="minorHAnsi"/>
        </w:rPr>
      </w:pPr>
      <w:r w:rsidRPr="00806CB8">
        <w:rPr>
          <w:rFonts w:cstheme="minorHAnsi"/>
        </w:rPr>
        <w:t>P.O. Box 1334</w:t>
      </w:r>
    </w:p>
    <w:p w14:paraId="3EED81F2" w14:textId="77777777" w:rsidR="00AF3A4E" w:rsidRPr="00806CB8" w:rsidRDefault="00AF3A4E" w:rsidP="00AF3A4E">
      <w:pPr>
        <w:spacing w:after="0"/>
        <w:jc w:val="right"/>
        <w:rPr>
          <w:rFonts w:cstheme="minorHAnsi"/>
        </w:rPr>
      </w:pPr>
      <w:r w:rsidRPr="00806CB8">
        <w:rPr>
          <w:rFonts w:cstheme="minorHAnsi"/>
        </w:rPr>
        <w:t>2130 EK Hoofddorp</w:t>
      </w:r>
    </w:p>
    <w:p w14:paraId="389EF3B6" w14:textId="77777777" w:rsidR="00AF3A4E" w:rsidRPr="00806CB8" w:rsidRDefault="00AF3A4E" w:rsidP="00AF3A4E">
      <w:pPr>
        <w:spacing w:after="0"/>
        <w:jc w:val="right"/>
        <w:rPr>
          <w:rFonts w:cstheme="minorHAnsi"/>
        </w:rPr>
      </w:pPr>
      <w:r w:rsidRPr="00806CB8">
        <w:rPr>
          <w:rFonts w:cstheme="minorHAnsi"/>
        </w:rPr>
        <w:t>Nizozemsko</w:t>
      </w:r>
    </w:p>
    <w:p w14:paraId="44F85BF1" w14:textId="77777777" w:rsidR="00AF3A4E" w:rsidRPr="00806CB8" w:rsidRDefault="00AF3A4E" w:rsidP="00AF3A4E">
      <w:pPr>
        <w:spacing w:after="0"/>
        <w:jc w:val="right"/>
        <w:rPr>
          <w:rFonts w:cstheme="minorHAnsi"/>
        </w:rPr>
      </w:pPr>
      <w:r w:rsidRPr="00806CB8">
        <w:rPr>
          <w:rFonts w:cstheme="minorHAnsi"/>
        </w:rPr>
        <w:t>idexx.com</w:t>
      </w:r>
    </w:p>
    <w:p w14:paraId="42AEA8A6" w14:textId="4A6A3027" w:rsidR="00AF3A4E" w:rsidRPr="00806CB8" w:rsidRDefault="00AF3A4E" w:rsidP="00921BE3">
      <w:pPr>
        <w:spacing w:after="0"/>
        <w:jc w:val="right"/>
        <w:rPr>
          <w:rFonts w:cstheme="minorHAnsi"/>
        </w:rPr>
      </w:pPr>
      <w:r w:rsidRPr="00806CB8">
        <w:rPr>
          <w:rFonts w:cstheme="minorHAnsi"/>
        </w:rPr>
        <w:t>IDEXX</w:t>
      </w:r>
    </w:p>
    <w:sectPr w:rsidR="00AF3A4E" w:rsidRPr="00806CB8">
      <w:head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097AD" w14:textId="77777777" w:rsidR="00FA6A7D" w:rsidRDefault="00FA6A7D" w:rsidP="00447198">
      <w:pPr>
        <w:spacing w:after="0" w:line="240" w:lineRule="auto"/>
      </w:pPr>
      <w:r>
        <w:separator/>
      </w:r>
    </w:p>
  </w:endnote>
  <w:endnote w:type="continuationSeparator" w:id="0">
    <w:p w14:paraId="026EF007" w14:textId="77777777" w:rsidR="00FA6A7D" w:rsidRDefault="00FA6A7D" w:rsidP="00447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wiss 72 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20837" w14:textId="77777777" w:rsidR="00FA6A7D" w:rsidRDefault="00FA6A7D" w:rsidP="00447198">
      <w:pPr>
        <w:spacing w:after="0" w:line="240" w:lineRule="auto"/>
      </w:pPr>
      <w:r>
        <w:separator/>
      </w:r>
    </w:p>
  </w:footnote>
  <w:footnote w:type="continuationSeparator" w:id="0">
    <w:p w14:paraId="0BDF727D" w14:textId="77777777" w:rsidR="00FA6A7D" w:rsidRDefault="00FA6A7D" w:rsidP="00447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5216E" w14:textId="65C70E00" w:rsidR="00B54509" w:rsidRDefault="00806CB8" w:rsidP="00B54509">
    <w:pPr>
      <w:jc w:val="both"/>
      <w:rPr>
        <w:b/>
        <w:bCs/>
      </w:rPr>
    </w:pPr>
    <w:r>
      <w:rPr>
        <w:bCs/>
      </w:rPr>
      <w:t xml:space="preserve">Text příbalové informace </w:t>
    </w:r>
    <w:r w:rsidR="00B54509" w:rsidRPr="00AD42B7">
      <w:rPr>
        <w:bCs/>
      </w:rPr>
      <w:t>součást dokumentace schválené rozhodnutím sp.</w:t>
    </w:r>
    <w:r>
      <w:rPr>
        <w:bCs/>
      </w:rPr>
      <w:t> </w:t>
    </w:r>
    <w:r w:rsidR="00B54509" w:rsidRPr="00AD42B7">
      <w:rPr>
        <w:bCs/>
      </w:rPr>
      <w:t>zn.</w:t>
    </w:r>
    <w:r>
      <w:rPr>
        <w:bCs/>
      </w:rPr>
      <w:t> </w:t>
    </w:r>
    <w:sdt>
      <w:sdtPr>
        <w:id w:val="485062483"/>
        <w:placeholder>
          <w:docPart w:val="D6E60710FAAC4177B17EFFF39F19DCCF"/>
        </w:placeholder>
        <w:text/>
      </w:sdtPr>
      <w:sdtEndPr/>
      <w:sdtContent>
        <w:r w:rsidR="006E25B0" w:rsidRPr="006E25B0">
          <w:t>USKVBL/2979/2023/POD</w:t>
        </w:r>
      </w:sdtContent>
    </w:sdt>
    <w:r w:rsidR="000A4578">
      <w:t>,</w:t>
    </w:r>
    <w:r w:rsidR="00B54509"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D6E60710FAAC4177B17EFFF39F19DCCF"/>
        </w:placeholder>
        <w:text/>
      </w:sdtPr>
      <w:sdtEndPr/>
      <w:sdtContent>
        <w:r w:rsidR="006E25B0" w:rsidRPr="00D73B80">
          <w:rPr>
            <w:bCs/>
          </w:rPr>
          <w:t>USKVBL/14790/2023/REG-Gro</w:t>
        </w:r>
      </w:sdtContent>
    </w:sdt>
    <w:r w:rsidR="00B54509"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8A449788F6B545399841FA914DA04D11"/>
        </w:placeholder>
        <w:date w:fullDate="2023-11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E25B0">
          <w:rPr>
            <w:bCs/>
          </w:rPr>
          <w:t>16.11.2023</w:t>
        </w:r>
      </w:sdtContent>
    </w:sdt>
    <w:r w:rsidR="00B54509" w:rsidRPr="00AD42B7">
      <w:rPr>
        <w:bCs/>
      </w:rPr>
      <w:t xml:space="preserve"> o </w:t>
    </w:r>
    <w:sdt>
      <w:sdtPr>
        <w:id w:val="1062983426"/>
        <w:placeholder>
          <w:docPart w:val="1E954A298F844DEF8708E1D376F13AB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6E25B0">
          <w:t>prodloužení platnosti rozhodnutí o schválení veterinárního přípravku</w:t>
        </w:r>
      </w:sdtContent>
    </w:sdt>
    <w:r w:rsidR="00B54509" w:rsidRPr="00AD42B7">
      <w:rPr>
        <w:bCs/>
      </w:rPr>
      <w:t xml:space="preserve"> </w:t>
    </w:r>
    <w:sdt>
      <w:sdtPr>
        <w:id w:val="-773553566"/>
        <w:placeholder>
          <w:docPart w:val="B3D1A7245F174DAFB54030236FA280DF"/>
        </w:placeholder>
        <w:text/>
      </w:sdtPr>
      <w:sdtEndPr/>
      <w:sdtContent>
        <w:r w:rsidR="006E25B0">
          <w:t>IDEXX AI</w:t>
        </w:r>
      </w:sdtContent>
    </w:sdt>
  </w:p>
  <w:p w14:paraId="3B48879D" w14:textId="77777777" w:rsidR="00B54509" w:rsidRDefault="00B545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B490A"/>
    <w:multiLevelType w:val="hybridMultilevel"/>
    <w:tmpl w:val="8B18B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A4D5A"/>
    <w:multiLevelType w:val="hybridMultilevel"/>
    <w:tmpl w:val="82903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539A2"/>
    <w:multiLevelType w:val="hybridMultilevel"/>
    <w:tmpl w:val="99921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D44FC"/>
    <w:multiLevelType w:val="hybridMultilevel"/>
    <w:tmpl w:val="543AC5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94"/>
    <w:rsid w:val="000049DC"/>
    <w:rsid w:val="000431C9"/>
    <w:rsid w:val="00055F6A"/>
    <w:rsid w:val="000A4578"/>
    <w:rsid w:val="000C1513"/>
    <w:rsid w:val="000D4356"/>
    <w:rsid w:val="001158CB"/>
    <w:rsid w:val="00122E9D"/>
    <w:rsid w:val="00144290"/>
    <w:rsid w:val="001A5374"/>
    <w:rsid w:val="002C4FF9"/>
    <w:rsid w:val="003D0E9C"/>
    <w:rsid w:val="00447198"/>
    <w:rsid w:val="00485446"/>
    <w:rsid w:val="004A7D09"/>
    <w:rsid w:val="004B7E23"/>
    <w:rsid w:val="0051229D"/>
    <w:rsid w:val="00521C5B"/>
    <w:rsid w:val="00531B3C"/>
    <w:rsid w:val="005A00DE"/>
    <w:rsid w:val="005D3C73"/>
    <w:rsid w:val="005F7360"/>
    <w:rsid w:val="00676763"/>
    <w:rsid w:val="006E25B0"/>
    <w:rsid w:val="007360D3"/>
    <w:rsid w:val="00782717"/>
    <w:rsid w:val="00806CB8"/>
    <w:rsid w:val="00824BCB"/>
    <w:rsid w:val="008918AE"/>
    <w:rsid w:val="008B10F0"/>
    <w:rsid w:val="008C3270"/>
    <w:rsid w:val="008D1213"/>
    <w:rsid w:val="008E4C2D"/>
    <w:rsid w:val="008F00C1"/>
    <w:rsid w:val="00921BE3"/>
    <w:rsid w:val="0098735D"/>
    <w:rsid w:val="009A37E3"/>
    <w:rsid w:val="009A6246"/>
    <w:rsid w:val="009B401D"/>
    <w:rsid w:val="009B79C0"/>
    <w:rsid w:val="00A72A41"/>
    <w:rsid w:val="00AE6B93"/>
    <w:rsid w:val="00AF3A4E"/>
    <w:rsid w:val="00B145A9"/>
    <w:rsid w:val="00B32786"/>
    <w:rsid w:val="00B54509"/>
    <w:rsid w:val="00BB1BE4"/>
    <w:rsid w:val="00BB4D4F"/>
    <w:rsid w:val="00C11896"/>
    <w:rsid w:val="00CE5B88"/>
    <w:rsid w:val="00D02431"/>
    <w:rsid w:val="00D052F0"/>
    <w:rsid w:val="00D61AA2"/>
    <w:rsid w:val="00D716CA"/>
    <w:rsid w:val="00D76E23"/>
    <w:rsid w:val="00DB7CA6"/>
    <w:rsid w:val="00DE306F"/>
    <w:rsid w:val="00E81B2B"/>
    <w:rsid w:val="00E85932"/>
    <w:rsid w:val="00EE5A94"/>
    <w:rsid w:val="00F04A1F"/>
    <w:rsid w:val="00F75698"/>
    <w:rsid w:val="00FA6A7D"/>
    <w:rsid w:val="00FD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66C70"/>
  <w15:docId w15:val="{DAF1F96B-1613-4F1D-8528-7FC96D3D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9">
    <w:name w:val="Pa9"/>
    <w:basedOn w:val="Normln"/>
    <w:next w:val="Normln"/>
    <w:uiPriority w:val="99"/>
    <w:rsid w:val="00782717"/>
    <w:pPr>
      <w:autoSpaceDE w:val="0"/>
      <w:autoSpaceDN w:val="0"/>
      <w:adjustRightInd w:val="0"/>
      <w:spacing w:after="0" w:line="161" w:lineRule="atLeast"/>
    </w:pPr>
    <w:rPr>
      <w:rFonts w:ascii="Swiss 72 1 BT" w:hAnsi="Swiss 72 1 BT"/>
      <w:sz w:val="24"/>
      <w:szCs w:val="24"/>
    </w:rPr>
  </w:style>
  <w:style w:type="character" w:customStyle="1" w:styleId="A6">
    <w:name w:val="A6"/>
    <w:uiPriority w:val="99"/>
    <w:rsid w:val="00782717"/>
    <w:rPr>
      <w:rFonts w:cs="Swiss 72 1 BT"/>
      <w:color w:val="000000"/>
      <w:sz w:val="17"/>
      <w:szCs w:val="17"/>
    </w:rPr>
  </w:style>
  <w:style w:type="paragraph" w:customStyle="1" w:styleId="Pa20">
    <w:name w:val="Pa20"/>
    <w:basedOn w:val="Normln"/>
    <w:next w:val="Normln"/>
    <w:uiPriority w:val="99"/>
    <w:rsid w:val="00782717"/>
    <w:pPr>
      <w:autoSpaceDE w:val="0"/>
      <w:autoSpaceDN w:val="0"/>
      <w:adjustRightInd w:val="0"/>
      <w:spacing w:after="0" w:line="171" w:lineRule="atLeast"/>
    </w:pPr>
    <w:rPr>
      <w:rFonts w:ascii="Swiss 72 1 BT" w:hAnsi="Swiss 72 1 BT"/>
      <w:sz w:val="24"/>
      <w:szCs w:val="24"/>
    </w:rPr>
  </w:style>
  <w:style w:type="paragraph" w:customStyle="1" w:styleId="Pa18">
    <w:name w:val="Pa18"/>
    <w:basedOn w:val="Normln"/>
    <w:next w:val="Normln"/>
    <w:uiPriority w:val="99"/>
    <w:rsid w:val="00782717"/>
    <w:pPr>
      <w:autoSpaceDE w:val="0"/>
      <w:autoSpaceDN w:val="0"/>
      <w:adjustRightInd w:val="0"/>
      <w:spacing w:after="0" w:line="161" w:lineRule="atLeast"/>
    </w:pPr>
    <w:rPr>
      <w:rFonts w:ascii="Swiss 72 1 BT" w:hAnsi="Swiss 72 1 BT"/>
      <w:sz w:val="24"/>
      <w:szCs w:val="24"/>
    </w:rPr>
  </w:style>
  <w:style w:type="paragraph" w:customStyle="1" w:styleId="Pa21">
    <w:name w:val="Pa21"/>
    <w:basedOn w:val="Normln"/>
    <w:next w:val="Normln"/>
    <w:uiPriority w:val="99"/>
    <w:rsid w:val="00782717"/>
    <w:pPr>
      <w:autoSpaceDE w:val="0"/>
      <w:autoSpaceDN w:val="0"/>
      <w:adjustRightInd w:val="0"/>
      <w:spacing w:after="0" w:line="241" w:lineRule="atLeast"/>
    </w:pPr>
    <w:rPr>
      <w:rFonts w:ascii="Swiss 72 1 BT" w:hAnsi="Swiss 72 1 BT"/>
      <w:sz w:val="24"/>
      <w:szCs w:val="24"/>
    </w:rPr>
  </w:style>
  <w:style w:type="character" w:customStyle="1" w:styleId="A9">
    <w:name w:val="A9"/>
    <w:uiPriority w:val="99"/>
    <w:rsid w:val="00782717"/>
    <w:rPr>
      <w:rFonts w:cs="Swiss 72 1 BT"/>
      <w:color w:val="000000"/>
      <w:sz w:val="17"/>
      <w:szCs w:val="17"/>
    </w:rPr>
  </w:style>
  <w:style w:type="character" w:customStyle="1" w:styleId="A10">
    <w:name w:val="A10"/>
    <w:uiPriority w:val="99"/>
    <w:rsid w:val="00782717"/>
    <w:rPr>
      <w:rFonts w:cs="Swiss 72 1 BT"/>
      <w:strike/>
      <w:color w:val="000000"/>
      <w:sz w:val="17"/>
      <w:szCs w:val="17"/>
    </w:rPr>
  </w:style>
  <w:style w:type="character" w:customStyle="1" w:styleId="A11">
    <w:name w:val="A11"/>
    <w:uiPriority w:val="99"/>
    <w:rsid w:val="00782717"/>
    <w:rPr>
      <w:rFonts w:cs="Swiss 72 1 BT"/>
      <w:color w:val="000000"/>
      <w:sz w:val="17"/>
      <w:szCs w:val="17"/>
      <w:u w:val="single"/>
    </w:rPr>
  </w:style>
  <w:style w:type="paragraph" w:customStyle="1" w:styleId="Pa22">
    <w:name w:val="Pa22"/>
    <w:basedOn w:val="Normln"/>
    <w:next w:val="Normln"/>
    <w:uiPriority w:val="99"/>
    <w:rsid w:val="00782717"/>
    <w:pPr>
      <w:autoSpaceDE w:val="0"/>
      <w:autoSpaceDN w:val="0"/>
      <w:adjustRightInd w:val="0"/>
      <w:spacing w:after="0" w:line="241" w:lineRule="atLeast"/>
    </w:pPr>
    <w:rPr>
      <w:rFonts w:ascii="Swiss 72 1 BT" w:hAnsi="Swiss 72 1 BT"/>
      <w:sz w:val="24"/>
      <w:szCs w:val="24"/>
    </w:rPr>
  </w:style>
  <w:style w:type="character" w:customStyle="1" w:styleId="A12">
    <w:name w:val="A12"/>
    <w:uiPriority w:val="99"/>
    <w:rsid w:val="00782717"/>
    <w:rPr>
      <w:rFonts w:cs="Swiss 72 1 BT"/>
      <w:strike/>
      <w:color w:val="000000"/>
      <w:sz w:val="17"/>
      <w:szCs w:val="17"/>
    </w:rPr>
  </w:style>
  <w:style w:type="character" w:customStyle="1" w:styleId="A13">
    <w:name w:val="A13"/>
    <w:uiPriority w:val="99"/>
    <w:rsid w:val="00782717"/>
    <w:rPr>
      <w:rFonts w:cs="Swiss 72 1 BT"/>
      <w:color w:val="000000"/>
      <w:sz w:val="17"/>
      <w:szCs w:val="17"/>
    </w:rPr>
  </w:style>
  <w:style w:type="character" w:customStyle="1" w:styleId="A14">
    <w:name w:val="A14"/>
    <w:uiPriority w:val="99"/>
    <w:rsid w:val="00782717"/>
    <w:rPr>
      <w:rFonts w:cs="Swiss 72 1 BT"/>
      <w:strike/>
      <w:color w:val="000000"/>
      <w:sz w:val="17"/>
      <w:szCs w:val="17"/>
    </w:rPr>
  </w:style>
  <w:style w:type="paragraph" w:customStyle="1" w:styleId="Pa23">
    <w:name w:val="Pa23"/>
    <w:basedOn w:val="Normln"/>
    <w:next w:val="Normln"/>
    <w:uiPriority w:val="99"/>
    <w:rsid w:val="00782717"/>
    <w:pPr>
      <w:autoSpaceDE w:val="0"/>
      <w:autoSpaceDN w:val="0"/>
      <w:adjustRightInd w:val="0"/>
      <w:spacing w:after="0" w:line="241" w:lineRule="atLeast"/>
    </w:pPr>
    <w:rPr>
      <w:rFonts w:ascii="Swiss 72 1 BT" w:hAnsi="Swiss 72 1 BT"/>
      <w:sz w:val="24"/>
      <w:szCs w:val="24"/>
    </w:rPr>
  </w:style>
  <w:style w:type="paragraph" w:customStyle="1" w:styleId="Pa14">
    <w:name w:val="Pa14"/>
    <w:basedOn w:val="Normln"/>
    <w:next w:val="Normln"/>
    <w:uiPriority w:val="99"/>
    <w:rsid w:val="00782717"/>
    <w:pPr>
      <w:autoSpaceDE w:val="0"/>
      <w:autoSpaceDN w:val="0"/>
      <w:adjustRightInd w:val="0"/>
      <w:spacing w:after="0" w:line="241" w:lineRule="atLeast"/>
    </w:pPr>
    <w:rPr>
      <w:rFonts w:ascii="Swiss 72 1 BT" w:hAnsi="Swiss 72 1 BT"/>
      <w:sz w:val="24"/>
      <w:szCs w:val="24"/>
    </w:rPr>
  </w:style>
  <w:style w:type="paragraph" w:customStyle="1" w:styleId="Pa24">
    <w:name w:val="Pa24"/>
    <w:basedOn w:val="Normln"/>
    <w:next w:val="Normln"/>
    <w:uiPriority w:val="99"/>
    <w:rsid w:val="00782717"/>
    <w:pPr>
      <w:autoSpaceDE w:val="0"/>
      <w:autoSpaceDN w:val="0"/>
      <w:adjustRightInd w:val="0"/>
      <w:spacing w:after="0" w:line="161" w:lineRule="atLeast"/>
    </w:pPr>
    <w:rPr>
      <w:rFonts w:ascii="Swiss 72 1 BT" w:hAnsi="Swiss 72 1 BT"/>
      <w:sz w:val="24"/>
      <w:szCs w:val="24"/>
    </w:rPr>
  </w:style>
  <w:style w:type="paragraph" w:customStyle="1" w:styleId="Pa3">
    <w:name w:val="Pa3"/>
    <w:basedOn w:val="Normln"/>
    <w:next w:val="Normln"/>
    <w:uiPriority w:val="99"/>
    <w:rsid w:val="00782717"/>
    <w:pPr>
      <w:autoSpaceDE w:val="0"/>
      <w:autoSpaceDN w:val="0"/>
      <w:adjustRightInd w:val="0"/>
      <w:spacing w:after="0" w:line="241" w:lineRule="atLeast"/>
    </w:pPr>
    <w:rPr>
      <w:rFonts w:ascii="Swiss 72 1 BT" w:hAnsi="Swiss 72 1 BT"/>
      <w:sz w:val="24"/>
      <w:szCs w:val="24"/>
    </w:rPr>
  </w:style>
  <w:style w:type="paragraph" w:customStyle="1" w:styleId="Pa25">
    <w:name w:val="Pa25"/>
    <w:basedOn w:val="Normln"/>
    <w:next w:val="Normln"/>
    <w:uiPriority w:val="99"/>
    <w:rsid w:val="00782717"/>
    <w:pPr>
      <w:autoSpaceDE w:val="0"/>
      <w:autoSpaceDN w:val="0"/>
      <w:adjustRightInd w:val="0"/>
      <w:spacing w:after="0" w:line="161" w:lineRule="atLeast"/>
    </w:pPr>
    <w:rPr>
      <w:rFonts w:ascii="Swiss 72 1 BT" w:hAnsi="Swiss 72 1 BT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873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6B9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B93"/>
    <w:rPr>
      <w:rFonts w:ascii="Lucida Grande" w:hAnsi="Lucida Grande" w:cs="Lucida Grande"/>
      <w:sz w:val="18"/>
      <w:szCs w:val="18"/>
    </w:rPr>
  </w:style>
  <w:style w:type="table" w:styleId="Mkatabulky">
    <w:name w:val="Table Grid"/>
    <w:basedOn w:val="Normlntabulka"/>
    <w:uiPriority w:val="59"/>
    <w:rsid w:val="000D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47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7198"/>
  </w:style>
  <w:style w:type="paragraph" w:styleId="Zpat">
    <w:name w:val="footer"/>
    <w:basedOn w:val="Normln"/>
    <w:link w:val="ZpatChar"/>
    <w:uiPriority w:val="99"/>
    <w:unhideWhenUsed/>
    <w:rsid w:val="00447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7198"/>
  </w:style>
  <w:style w:type="character" w:styleId="Zstupntext">
    <w:name w:val="Placeholder Text"/>
    <w:rsid w:val="00B545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1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e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12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E60710FAAC4177B17EFFF39F19DC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DF6B3C-59C4-4BCC-AE73-F0A23B35E755}"/>
      </w:docPartPr>
      <w:docPartBody>
        <w:p w:rsidR="00634831" w:rsidRDefault="0033393B" w:rsidP="0033393B">
          <w:pPr>
            <w:pStyle w:val="D6E60710FAAC4177B17EFFF39F19DCC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A449788F6B545399841FA914DA04D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64C9D6-A16F-468C-93A9-1C45A513D99A}"/>
      </w:docPartPr>
      <w:docPartBody>
        <w:p w:rsidR="00634831" w:rsidRDefault="0033393B" w:rsidP="0033393B">
          <w:pPr>
            <w:pStyle w:val="8A449788F6B545399841FA914DA04D11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1E954A298F844DEF8708E1D376F13A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9F63AE-9445-4449-B85C-966E65F98C17}"/>
      </w:docPartPr>
      <w:docPartBody>
        <w:p w:rsidR="00634831" w:rsidRDefault="0033393B" w:rsidP="0033393B">
          <w:pPr>
            <w:pStyle w:val="1E954A298F844DEF8708E1D376F13AB8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B3D1A7245F174DAFB54030236FA280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90B0DB-373B-46D9-9CCD-6179E0C3D214}"/>
      </w:docPartPr>
      <w:docPartBody>
        <w:p w:rsidR="00634831" w:rsidRDefault="0033393B" w:rsidP="0033393B">
          <w:pPr>
            <w:pStyle w:val="B3D1A7245F174DAFB54030236FA280D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wiss 72 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3B"/>
    <w:rsid w:val="00095BFC"/>
    <w:rsid w:val="001A2C28"/>
    <w:rsid w:val="0033393B"/>
    <w:rsid w:val="00634831"/>
    <w:rsid w:val="00777B3F"/>
    <w:rsid w:val="00FA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3393B"/>
    <w:rPr>
      <w:color w:val="808080"/>
    </w:rPr>
  </w:style>
  <w:style w:type="paragraph" w:customStyle="1" w:styleId="D6E60710FAAC4177B17EFFF39F19DCCF">
    <w:name w:val="D6E60710FAAC4177B17EFFF39F19DCCF"/>
    <w:rsid w:val="0033393B"/>
  </w:style>
  <w:style w:type="paragraph" w:customStyle="1" w:styleId="8A449788F6B545399841FA914DA04D11">
    <w:name w:val="8A449788F6B545399841FA914DA04D11"/>
    <w:rsid w:val="0033393B"/>
  </w:style>
  <w:style w:type="paragraph" w:customStyle="1" w:styleId="1E954A298F844DEF8708E1D376F13AB8">
    <w:name w:val="1E954A298F844DEF8708E1D376F13AB8"/>
    <w:rsid w:val="0033393B"/>
  </w:style>
  <w:style w:type="paragraph" w:customStyle="1" w:styleId="B3D1A7245F174DAFB54030236FA280DF">
    <w:name w:val="B3D1A7245F174DAFB54030236FA280DF"/>
    <w:rsid w:val="003339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1245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Svobodová</dc:creator>
  <cp:keywords/>
  <dc:description/>
  <cp:lastModifiedBy>Nepejchalová Leona</cp:lastModifiedBy>
  <cp:revision>5</cp:revision>
  <cp:lastPrinted>2023-11-20T16:41:00Z</cp:lastPrinted>
  <dcterms:created xsi:type="dcterms:W3CDTF">2023-11-08T11:08:00Z</dcterms:created>
  <dcterms:modified xsi:type="dcterms:W3CDTF">2023-11-20T16:41:00Z</dcterms:modified>
</cp:coreProperties>
</file>