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jc w:val="center"/>
        <w:rPr>
          <w:sz w:val="24"/>
          <w:szCs w:val="24"/>
        </w:rPr>
      </w:pPr>
      <w:r w:rsidRPr="000D2B3A">
        <w:rPr>
          <w:b/>
          <w:sz w:val="24"/>
        </w:rPr>
        <w:t>B. PŘÍBALOVÁ INFORMACE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jc w:val="center"/>
        <w:rPr>
          <w:sz w:val="24"/>
          <w:szCs w:val="24"/>
        </w:rPr>
      </w:pPr>
      <w:r w:rsidRPr="000D2B3A">
        <w:br w:type="page"/>
      </w:r>
      <w:r w:rsidRPr="000D2B3A">
        <w:rPr>
          <w:b/>
          <w:sz w:val="24"/>
        </w:rPr>
        <w:lastRenderedPageBreak/>
        <w:t>PŘÍBALOVÁ INFORMACE: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jc w:val="center"/>
        <w:rPr>
          <w:b/>
          <w:sz w:val="24"/>
          <w:szCs w:val="24"/>
        </w:rPr>
      </w:pPr>
      <w:bookmarkStart w:id="0" w:name="_Hlk517439728"/>
      <w:proofErr w:type="spellStart"/>
      <w:r w:rsidRPr="000D2B3A">
        <w:rPr>
          <w:b/>
          <w:sz w:val="24"/>
        </w:rPr>
        <w:t>Alfadexx</w:t>
      </w:r>
      <w:proofErr w:type="spellEnd"/>
      <w:r w:rsidRPr="000D2B3A">
        <w:rPr>
          <w:b/>
          <w:sz w:val="24"/>
        </w:rPr>
        <w:t xml:space="preserve"> 2 mg/ml injekční roztok pro koně, skot, kozy, prasata, psy a kočky</w:t>
      </w:r>
    </w:p>
    <w:bookmarkEnd w:id="0"/>
    <w:p w:rsidR="000D2B3A" w:rsidRPr="000D2B3A" w:rsidRDefault="000D2B3A" w:rsidP="000D2B3A">
      <w:pPr>
        <w:tabs>
          <w:tab w:val="clear" w:pos="567"/>
        </w:tabs>
        <w:spacing w:line="240" w:lineRule="auto"/>
        <w:jc w:val="center"/>
        <w:rPr>
          <w:b/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ind w:left="567" w:hanging="567"/>
        <w:rPr>
          <w:b/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ind w:left="567" w:hanging="567"/>
        <w:rPr>
          <w:b/>
          <w:sz w:val="24"/>
          <w:szCs w:val="24"/>
        </w:rPr>
      </w:pPr>
      <w:r w:rsidRPr="000D2B3A">
        <w:rPr>
          <w:b/>
          <w:sz w:val="24"/>
          <w:highlight w:val="lightGray"/>
        </w:rPr>
        <w:t>1.</w:t>
      </w:r>
      <w:r w:rsidRPr="000D2B3A">
        <w:rPr>
          <w:b/>
          <w:sz w:val="24"/>
        </w:rPr>
        <w:tab/>
        <w:t>JMÉNO A ADRESA DRŽITELE ROZHODNUTÍ O REGISTRACI A DRŽITELE POVOLENÍ K VÝROBĚ ODPOVĚDNÉHO ZA UVOLNĚNÍ ŠARŽE, POKUD SE NESHODUJE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iCs/>
          <w:sz w:val="24"/>
          <w:szCs w:val="24"/>
        </w:rPr>
      </w:pPr>
      <w:r w:rsidRPr="000D2B3A">
        <w:rPr>
          <w:sz w:val="24"/>
          <w:u w:val="single"/>
        </w:rPr>
        <w:t>Držitel rozhodnutí o registraci</w:t>
      </w:r>
      <w:r w:rsidRPr="000D2B3A">
        <w:rPr>
          <w:sz w:val="24"/>
        </w:rPr>
        <w:t>:</w:t>
      </w:r>
    </w:p>
    <w:p w:rsidR="000D2B3A" w:rsidRPr="000D2B3A" w:rsidRDefault="000D2B3A" w:rsidP="000D2B3A">
      <w:proofErr w:type="spellStart"/>
      <w:r w:rsidRPr="000D2B3A">
        <w:t>Alfasan</w:t>
      </w:r>
      <w:proofErr w:type="spellEnd"/>
      <w:r w:rsidRPr="000D2B3A">
        <w:t xml:space="preserve"> </w:t>
      </w:r>
      <w:proofErr w:type="spellStart"/>
      <w:r w:rsidRPr="000D2B3A">
        <w:t>Nederland</w:t>
      </w:r>
      <w:proofErr w:type="spellEnd"/>
      <w:r w:rsidRPr="000D2B3A">
        <w:t xml:space="preserve"> B.V.</w:t>
      </w:r>
    </w:p>
    <w:p w:rsidR="000D2B3A" w:rsidRPr="000D2B3A" w:rsidRDefault="000D2B3A" w:rsidP="000D2B3A">
      <w:proofErr w:type="spellStart"/>
      <w:r w:rsidRPr="000D2B3A">
        <w:t>Kuipersweg</w:t>
      </w:r>
      <w:proofErr w:type="spellEnd"/>
      <w:r w:rsidRPr="000D2B3A">
        <w:t xml:space="preserve"> 9</w:t>
      </w:r>
    </w:p>
    <w:p w:rsidR="000D2B3A" w:rsidRPr="000D2B3A" w:rsidRDefault="000D2B3A" w:rsidP="000D2B3A">
      <w:r w:rsidRPr="000D2B3A">
        <w:t xml:space="preserve">3449 JA </w:t>
      </w:r>
      <w:proofErr w:type="spellStart"/>
      <w:r w:rsidRPr="000D2B3A">
        <w:t>Woerden</w:t>
      </w:r>
      <w:proofErr w:type="spellEnd"/>
    </w:p>
    <w:p w:rsidR="000D2B3A" w:rsidRPr="000D2B3A" w:rsidRDefault="000D2B3A" w:rsidP="000D2B3A">
      <w:pPr>
        <w:spacing w:line="240" w:lineRule="auto"/>
        <w:rPr>
          <w:bCs/>
          <w:sz w:val="24"/>
          <w:szCs w:val="24"/>
        </w:rPr>
      </w:pPr>
      <w:r w:rsidRPr="000D2B3A">
        <w:rPr>
          <w:sz w:val="24"/>
        </w:rPr>
        <w:t>Nizozemsko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bCs/>
          <w:sz w:val="24"/>
          <w:szCs w:val="24"/>
        </w:rPr>
      </w:pPr>
      <w:r w:rsidRPr="000D2B3A">
        <w:rPr>
          <w:sz w:val="24"/>
          <w:u w:val="single"/>
        </w:rPr>
        <w:t>Výrobce odpovědný za uvolnění šarže</w:t>
      </w:r>
      <w:r w:rsidRPr="000D2B3A">
        <w:rPr>
          <w:sz w:val="24"/>
        </w:rPr>
        <w:t>: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bCs/>
          <w:sz w:val="24"/>
          <w:szCs w:val="24"/>
        </w:rPr>
      </w:pPr>
      <w:proofErr w:type="spellStart"/>
      <w:r w:rsidRPr="000D2B3A">
        <w:rPr>
          <w:sz w:val="24"/>
        </w:rPr>
        <w:t>Produlab</w:t>
      </w:r>
      <w:proofErr w:type="spellEnd"/>
      <w:r w:rsidRPr="000D2B3A">
        <w:rPr>
          <w:sz w:val="24"/>
        </w:rPr>
        <w:t xml:space="preserve"> </w:t>
      </w:r>
      <w:proofErr w:type="spellStart"/>
      <w:r w:rsidRPr="000D2B3A">
        <w:rPr>
          <w:sz w:val="24"/>
        </w:rPr>
        <w:t>Pharma</w:t>
      </w:r>
      <w:proofErr w:type="spellEnd"/>
      <w:r w:rsidRPr="000D2B3A">
        <w:rPr>
          <w:sz w:val="24"/>
        </w:rPr>
        <w:t xml:space="preserve"> B.V.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bCs/>
          <w:sz w:val="24"/>
          <w:szCs w:val="24"/>
        </w:rPr>
      </w:pPr>
      <w:proofErr w:type="spellStart"/>
      <w:r w:rsidRPr="000D2B3A">
        <w:rPr>
          <w:sz w:val="24"/>
        </w:rPr>
        <w:t>Forellenweg</w:t>
      </w:r>
      <w:proofErr w:type="spellEnd"/>
      <w:r w:rsidRPr="000D2B3A">
        <w:rPr>
          <w:sz w:val="24"/>
        </w:rPr>
        <w:t xml:space="preserve"> 16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bCs/>
          <w:sz w:val="24"/>
          <w:szCs w:val="24"/>
        </w:rPr>
      </w:pPr>
      <w:r w:rsidRPr="000D2B3A">
        <w:rPr>
          <w:sz w:val="24"/>
        </w:rPr>
        <w:t xml:space="preserve">4941 SJ </w:t>
      </w:r>
      <w:proofErr w:type="spellStart"/>
      <w:r w:rsidRPr="000D2B3A">
        <w:rPr>
          <w:sz w:val="24"/>
        </w:rPr>
        <w:t>Raamsdonksveer</w:t>
      </w:r>
      <w:proofErr w:type="spellEnd"/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bCs/>
          <w:sz w:val="24"/>
          <w:szCs w:val="24"/>
        </w:rPr>
      </w:pPr>
      <w:r w:rsidRPr="000D2B3A">
        <w:rPr>
          <w:sz w:val="24"/>
        </w:rPr>
        <w:t>Nizozemsko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bCs/>
          <w:sz w:val="24"/>
          <w:szCs w:val="24"/>
        </w:rPr>
      </w:pPr>
    </w:p>
    <w:p w:rsidR="000D2B3A" w:rsidRPr="000D2B3A" w:rsidRDefault="0003577D" w:rsidP="000D2B3A">
      <w:pPr>
        <w:tabs>
          <w:tab w:val="clear" w:pos="567"/>
        </w:tabs>
        <w:spacing w:line="240" w:lineRule="auto"/>
        <w:rPr>
          <w:bCs/>
          <w:sz w:val="24"/>
          <w:szCs w:val="24"/>
        </w:rPr>
      </w:pPr>
      <w:r>
        <w:rPr>
          <w:sz w:val="24"/>
        </w:rPr>
        <w:t>n</w:t>
      </w:r>
      <w:r w:rsidR="000D2B3A" w:rsidRPr="000D2B3A">
        <w:rPr>
          <w:sz w:val="24"/>
        </w:rPr>
        <w:t>ebo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bCs/>
          <w:sz w:val="24"/>
          <w:szCs w:val="24"/>
        </w:rPr>
      </w:pPr>
    </w:p>
    <w:p w:rsidR="000D2B3A" w:rsidRPr="000D2B3A" w:rsidRDefault="000D2B3A" w:rsidP="000D2B3A">
      <w:proofErr w:type="spellStart"/>
      <w:r w:rsidRPr="000D2B3A">
        <w:t>Alfasan</w:t>
      </w:r>
      <w:proofErr w:type="spellEnd"/>
      <w:r w:rsidRPr="000D2B3A">
        <w:t xml:space="preserve"> </w:t>
      </w:r>
      <w:proofErr w:type="spellStart"/>
      <w:r w:rsidRPr="000D2B3A">
        <w:t>Nederland</w:t>
      </w:r>
      <w:proofErr w:type="spellEnd"/>
      <w:r w:rsidRPr="000D2B3A">
        <w:t xml:space="preserve"> B.V.</w:t>
      </w:r>
    </w:p>
    <w:p w:rsidR="000D2B3A" w:rsidRPr="000D2B3A" w:rsidRDefault="000D2B3A" w:rsidP="000D2B3A">
      <w:proofErr w:type="spellStart"/>
      <w:r w:rsidRPr="000D2B3A">
        <w:t>Kuipersweg</w:t>
      </w:r>
      <w:proofErr w:type="spellEnd"/>
      <w:r w:rsidRPr="000D2B3A">
        <w:t xml:space="preserve"> 9</w:t>
      </w:r>
    </w:p>
    <w:p w:rsidR="000D2B3A" w:rsidRPr="000D2B3A" w:rsidRDefault="000D2B3A" w:rsidP="000D2B3A">
      <w:r w:rsidRPr="000D2B3A">
        <w:t xml:space="preserve">3449 JA </w:t>
      </w:r>
      <w:proofErr w:type="spellStart"/>
      <w:r w:rsidRPr="000D2B3A">
        <w:t>Woerden</w:t>
      </w:r>
      <w:proofErr w:type="spellEnd"/>
    </w:p>
    <w:p w:rsidR="000D2B3A" w:rsidRPr="000D2B3A" w:rsidRDefault="000D2B3A" w:rsidP="000D2B3A">
      <w:pPr>
        <w:spacing w:line="240" w:lineRule="auto"/>
        <w:rPr>
          <w:bCs/>
          <w:sz w:val="24"/>
          <w:szCs w:val="24"/>
        </w:rPr>
      </w:pPr>
      <w:r w:rsidRPr="000D2B3A">
        <w:rPr>
          <w:sz w:val="24"/>
        </w:rPr>
        <w:t>Nizozemsko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b/>
          <w:sz w:val="24"/>
          <w:highlight w:val="lightGray"/>
        </w:rPr>
        <w:t>2.</w:t>
      </w:r>
      <w:r w:rsidRPr="000D2B3A">
        <w:rPr>
          <w:b/>
          <w:sz w:val="24"/>
        </w:rPr>
        <w:tab/>
        <w:t>NÁZEV VETERINÁRNÍHO LÉČIVÉHO PŘÍPRAVKU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Default="000D2B3A" w:rsidP="000D2B3A">
      <w:pPr>
        <w:spacing w:after="220" w:line="240" w:lineRule="auto"/>
        <w:contextualSpacing/>
        <w:rPr>
          <w:sz w:val="24"/>
        </w:rPr>
      </w:pPr>
      <w:proofErr w:type="spellStart"/>
      <w:r w:rsidRPr="000D2B3A">
        <w:rPr>
          <w:sz w:val="24"/>
        </w:rPr>
        <w:t>Alfadexx</w:t>
      </w:r>
      <w:proofErr w:type="spellEnd"/>
      <w:r w:rsidRPr="000D2B3A">
        <w:rPr>
          <w:sz w:val="24"/>
        </w:rPr>
        <w:t xml:space="preserve"> 2 mg/ml injekční roztok pro koně, skot, kozy, prasata, psy a kočky </w:t>
      </w:r>
      <w:proofErr w:type="spellStart"/>
      <w:r w:rsidRPr="000D2B3A">
        <w:rPr>
          <w:sz w:val="24"/>
        </w:rPr>
        <w:t>dexamethasonum</w:t>
      </w:r>
      <w:proofErr w:type="spellEnd"/>
      <w:r w:rsidRPr="000D2B3A">
        <w:rPr>
          <w:sz w:val="24"/>
        </w:rPr>
        <w:t xml:space="preserve"> (jako fosforečnan sodný).</w:t>
      </w:r>
    </w:p>
    <w:p w:rsidR="0003577D" w:rsidRPr="000D2B3A" w:rsidRDefault="0003577D" w:rsidP="000D2B3A">
      <w:pPr>
        <w:spacing w:after="220" w:line="240" w:lineRule="auto"/>
        <w:contextualSpacing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ind w:left="567" w:hanging="567"/>
        <w:rPr>
          <w:b/>
          <w:sz w:val="24"/>
          <w:szCs w:val="24"/>
        </w:rPr>
      </w:pPr>
      <w:r w:rsidRPr="000D2B3A">
        <w:rPr>
          <w:b/>
          <w:sz w:val="24"/>
          <w:highlight w:val="lightGray"/>
        </w:rPr>
        <w:t>3.</w:t>
      </w:r>
      <w:r w:rsidRPr="000D2B3A">
        <w:rPr>
          <w:b/>
          <w:sz w:val="24"/>
        </w:rPr>
        <w:tab/>
        <w:t>OBSAH LÉČIVÝCH A OSTATNÍCH LÁTEK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iCs/>
          <w:sz w:val="24"/>
          <w:szCs w:val="24"/>
        </w:rPr>
      </w:pPr>
    </w:p>
    <w:p w:rsidR="000D2B3A" w:rsidRPr="000D2B3A" w:rsidRDefault="000D2B3A" w:rsidP="000D2B3A">
      <w:pPr>
        <w:keepNext/>
        <w:spacing w:line="240" w:lineRule="auto"/>
        <w:outlineLvl w:val="3"/>
        <w:rPr>
          <w:sz w:val="24"/>
          <w:szCs w:val="24"/>
        </w:rPr>
      </w:pPr>
      <w:r w:rsidRPr="000D2B3A">
        <w:rPr>
          <w:sz w:val="24"/>
        </w:rPr>
        <w:t xml:space="preserve">1 ml obsahuje: </w:t>
      </w: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outlineLvl w:val="4"/>
        <w:rPr>
          <w:b/>
          <w:noProof/>
          <w:sz w:val="24"/>
          <w:szCs w:val="24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outlineLvl w:val="4"/>
        <w:rPr>
          <w:b/>
          <w:noProof/>
          <w:sz w:val="24"/>
          <w:szCs w:val="24"/>
        </w:rPr>
      </w:pPr>
      <w:r w:rsidRPr="000D2B3A">
        <w:rPr>
          <w:b/>
          <w:sz w:val="24"/>
        </w:rPr>
        <w:t>Léčivá látka:</w:t>
      </w: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</w:rPr>
      </w:pPr>
      <w:proofErr w:type="spellStart"/>
      <w:r w:rsidRPr="000D2B3A">
        <w:rPr>
          <w:sz w:val="24"/>
        </w:rPr>
        <w:t>Dexamethasonum</w:t>
      </w:r>
      <w:proofErr w:type="spellEnd"/>
      <w:r w:rsidRPr="000D2B3A">
        <w:rPr>
          <w:sz w:val="24"/>
        </w:rPr>
        <w:t xml:space="preserve"> </w:t>
      </w:r>
      <w:r w:rsidRPr="000D2B3A">
        <w:rPr>
          <w:sz w:val="24"/>
        </w:rPr>
        <w:tab/>
      </w:r>
      <w:r w:rsidRPr="000D2B3A">
        <w:rPr>
          <w:sz w:val="24"/>
        </w:rPr>
        <w:tab/>
      </w:r>
      <w:r w:rsidRPr="000D2B3A">
        <w:rPr>
          <w:sz w:val="24"/>
        </w:rPr>
        <w:tab/>
      </w:r>
      <w:r w:rsidRPr="000D2B3A">
        <w:rPr>
          <w:sz w:val="24"/>
        </w:rPr>
        <w:tab/>
      </w:r>
      <w:r w:rsidRPr="000D2B3A">
        <w:rPr>
          <w:sz w:val="24"/>
        </w:rPr>
        <w:tab/>
        <w:t>2 mg</w:t>
      </w: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</w:rPr>
      </w:pPr>
      <w:r w:rsidRPr="000D2B3A">
        <w:rPr>
          <w:sz w:val="24"/>
        </w:rPr>
        <w:t>(</w:t>
      </w:r>
      <w:r w:rsidR="00915E39">
        <w:rPr>
          <w:sz w:val="24"/>
        </w:rPr>
        <w:t>jako</w:t>
      </w:r>
      <w:r w:rsidR="00915E39" w:rsidRPr="000D2B3A">
        <w:rPr>
          <w:sz w:val="24"/>
        </w:rPr>
        <w:t xml:space="preserve"> </w:t>
      </w:r>
      <w:proofErr w:type="spellStart"/>
      <w:r w:rsidRPr="000D2B3A">
        <w:rPr>
          <w:sz w:val="24"/>
        </w:rPr>
        <w:t>dexamethasoni</w:t>
      </w:r>
      <w:proofErr w:type="spellEnd"/>
      <w:r w:rsidRPr="000D2B3A">
        <w:rPr>
          <w:sz w:val="24"/>
        </w:rPr>
        <w:t xml:space="preserve"> natrii </w:t>
      </w:r>
      <w:proofErr w:type="spellStart"/>
      <w:r w:rsidRPr="000D2B3A">
        <w:rPr>
          <w:sz w:val="24"/>
        </w:rPr>
        <w:t>phosphas</w:t>
      </w:r>
      <w:proofErr w:type="spellEnd"/>
      <w:r w:rsidRPr="000D2B3A">
        <w:rPr>
          <w:sz w:val="24"/>
        </w:rPr>
        <w:t>)</w:t>
      </w:r>
      <w:r w:rsidRPr="000D2B3A">
        <w:rPr>
          <w:sz w:val="24"/>
        </w:rPr>
        <w:tab/>
        <w:t>2,63 mg</w:t>
      </w:r>
      <w:r w:rsidRPr="000D2B3A">
        <w:rPr>
          <w:sz w:val="24"/>
        </w:rPr>
        <w:tab/>
        <w:t xml:space="preserve"> </w:t>
      </w:r>
      <w:r w:rsidRPr="000D2B3A">
        <w:rPr>
          <w:sz w:val="24"/>
        </w:rPr>
        <w:tab/>
      </w: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outlineLvl w:val="4"/>
        <w:rPr>
          <w:b/>
          <w:noProof/>
          <w:sz w:val="24"/>
          <w:szCs w:val="24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outlineLvl w:val="4"/>
        <w:rPr>
          <w:b/>
          <w:noProof/>
          <w:sz w:val="24"/>
          <w:szCs w:val="24"/>
        </w:rPr>
      </w:pPr>
      <w:r w:rsidRPr="000D2B3A">
        <w:rPr>
          <w:b/>
          <w:sz w:val="24"/>
        </w:rPr>
        <w:t xml:space="preserve">Pomocné látky: </w:t>
      </w: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</w:rPr>
      </w:pPr>
      <w:proofErr w:type="spellStart"/>
      <w:r w:rsidRPr="000D2B3A">
        <w:rPr>
          <w:sz w:val="24"/>
        </w:rPr>
        <w:t>Benzylalkohol</w:t>
      </w:r>
      <w:proofErr w:type="spellEnd"/>
      <w:r w:rsidRPr="000D2B3A">
        <w:rPr>
          <w:sz w:val="24"/>
        </w:rPr>
        <w:t xml:space="preserve"> (E</w:t>
      </w:r>
      <w:r w:rsidR="00915E39">
        <w:rPr>
          <w:sz w:val="24"/>
        </w:rPr>
        <w:t xml:space="preserve"> </w:t>
      </w:r>
      <w:r w:rsidRPr="000D2B3A">
        <w:rPr>
          <w:sz w:val="24"/>
        </w:rPr>
        <w:t>1519)</w:t>
      </w:r>
      <w:r w:rsidRPr="000D2B3A">
        <w:rPr>
          <w:sz w:val="24"/>
        </w:rPr>
        <w:tab/>
      </w:r>
      <w:r w:rsidRPr="000D2B3A">
        <w:rPr>
          <w:sz w:val="24"/>
        </w:rPr>
        <w:tab/>
      </w:r>
      <w:r w:rsidRPr="000D2B3A">
        <w:rPr>
          <w:sz w:val="24"/>
        </w:rPr>
        <w:tab/>
        <w:t>15,6 mg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sz w:val="24"/>
        </w:rPr>
        <w:t>Injekční roztok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sz w:val="24"/>
        </w:rPr>
        <w:t>Čirý bezbarvý až mírně nahnědlý vodný roztok.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rFonts w:eastAsia="Cambria"/>
          <w:sz w:val="24"/>
          <w:szCs w:val="24"/>
          <w:lang w:eastAsia="ja-JP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rPr>
          <w:b/>
          <w:sz w:val="24"/>
          <w:szCs w:val="24"/>
        </w:rPr>
      </w:pPr>
      <w:r w:rsidRPr="000D2B3A">
        <w:rPr>
          <w:b/>
          <w:sz w:val="24"/>
          <w:highlight w:val="lightGray"/>
        </w:rPr>
        <w:t>4.</w:t>
      </w:r>
      <w:r w:rsidRPr="000D2B3A">
        <w:rPr>
          <w:b/>
          <w:sz w:val="24"/>
        </w:rPr>
        <w:tab/>
        <w:t>INDIKACE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  <w:u w:val="single"/>
        </w:rPr>
      </w:pPr>
      <w:r w:rsidRPr="000D2B3A">
        <w:rPr>
          <w:sz w:val="24"/>
          <w:u w:val="single"/>
        </w:rPr>
        <w:t xml:space="preserve">Koně, skot, kozy, prasata, psi a kočky: </w:t>
      </w: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</w:rPr>
      </w:pPr>
      <w:r w:rsidRPr="000D2B3A">
        <w:rPr>
          <w:sz w:val="24"/>
        </w:rPr>
        <w:t xml:space="preserve">Léčba zánětů a alergických stavů. </w:t>
      </w: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  <w:u w:val="single"/>
        </w:rPr>
      </w:pPr>
    </w:p>
    <w:p w:rsidR="000D2B3A" w:rsidRPr="000D2B3A" w:rsidRDefault="000D2B3A" w:rsidP="009C07C9">
      <w:pPr>
        <w:keepNext/>
        <w:spacing w:after="220" w:line="240" w:lineRule="auto"/>
        <w:contextualSpacing/>
        <w:rPr>
          <w:sz w:val="24"/>
          <w:szCs w:val="24"/>
          <w:u w:val="single"/>
        </w:rPr>
      </w:pPr>
      <w:r w:rsidRPr="000D2B3A">
        <w:rPr>
          <w:sz w:val="24"/>
          <w:u w:val="single"/>
        </w:rPr>
        <w:lastRenderedPageBreak/>
        <w:t>Koně:</w:t>
      </w: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</w:rPr>
      </w:pPr>
      <w:r w:rsidRPr="000D2B3A">
        <w:rPr>
          <w:sz w:val="24"/>
        </w:rPr>
        <w:t xml:space="preserve">Léčba artritidy, bursitidy nebo </w:t>
      </w:r>
      <w:proofErr w:type="spellStart"/>
      <w:r w:rsidRPr="000D2B3A">
        <w:rPr>
          <w:sz w:val="24"/>
        </w:rPr>
        <w:t>tenosynovitidy</w:t>
      </w:r>
      <w:proofErr w:type="spellEnd"/>
      <w:r w:rsidRPr="000D2B3A">
        <w:rPr>
          <w:sz w:val="24"/>
        </w:rPr>
        <w:t xml:space="preserve">. </w:t>
      </w: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  <w:u w:val="single"/>
        </w:rPr>
      </w:pP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  <w:u w:val="single"/>
        </w:rPr>
      </w:pPr>
      <w:r w:rsidRPr="000D2B3A">
        <w:rPr>
          <w:sz w:val="24"/>
          <w:u w:val="single"/>
        </w:rPr>
        <w:t>Skot:</w:t>
      </w: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</w:rPr>
      </w:pPr>
      <w:r w:rsidRPr="000D2B3A">
        <w:rPr>
          <w:sz w:val="24"/>
        </w:rPr>
        <w:t xml:space="preserve">Léčba primární ketózy (acetonemie). </w:t>
      </w: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</w:rPr>
      </w:pPr>
      <w:r w:rsidRPr="000D2B3A">
        <w:rPr>
          <w:sz w:val="24"/>
        </w:rPr>
        <w:t xml:space="preserve">Indukce porodu. </w:t>
      </w: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  <w:u w:val="single"/>
        </w:rPr>
      </w:pP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  <w:u w:val="single"/>
        </w:rPr>
      </w:pPr>
      <w:r w:rsidRPr="000D2B3A">
        <w:rPr>
          <w:sz w:val="24"/>
          <w:u w:val="single"/>
        </w:rPr>
        <w:t xml:space="preserve">Kozy: </w:t>
      </w: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sz w:val="24"/>
        </w:rPr>
        <w:t>Léčba primární ketózy (acetonemie).</w:t>
      </w: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rPr>
          <w:sz w:val="24"/>
          <w:szCs w:val="24"/>
          <w:u w:val="single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rPr>
          <w:b/>
          <w:sz w:val="24"/>
          <w:szCs w:val="24"/>
        </w:rPr>
      </w:pPr>
      <w:r w:rsidRPr="000D2B3A">
        <w:rPr>
          <w:b/>
          <w:sz w:val="24"/>
          <w:highlight w:val="lightGray"/>
        </w:rPr>
        <w:t>5.</w:t>
      </w:r>
      <w:r w:rsidRPr="000D2B3A">
        <w:rPr>
          <w:b/>
          <w:sz w:val="24"/>
        </w:rPr>
        <w:tab/>
        <w:t>KONTRAINDIKACE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S výjimkou </w:t>
      </w:r>
      <w:r w:rsidR="009338CB">
        <w:rPr>
          <w:sz w:val="24"/>
        </w:rPr>
        <w:t>naléhavých</w:t>
      </w:r>
      <w:r w:rsidR="009338CB" w:rsidRPr="000D2B3A">
        <w:rPr>
          <w:sz w:val="24"/>
        </w:rPr>
        <w:t xml:space="preserve"> </w:t>
      </w:r>
      <w:r w:rsidRPr="000D2B3A">
        <w:rPr>
          <w:sz w:val="24"/>
        </w:rPr>
        <w:t xml:space="preserve">situací nepoužívat u zvířat, která mají diabetes </w:t>
      </w:r>
      <w:proofErr w:type="spellStart"/>
      <w:r w:rsidRPr="000D2B3A">
        <w:rPr>
          <w:sz w:val="24"/>
        </w:rPr>
        <w:t>mellitus</w:t>
      </w:r>
      <w:proofErr w:type="spellEnd"/>
      <w:r w:rsidRPr="000D2B3A">
        <w:rPr>
          <w:sz w:val="24"/>
        </w:rPr>
        <w:t xml:space="preserve">, renální insuficienci, srdeční insuficienci, </w:t>
      </w:r>
      <w:proofErr w:type="spellStart"/>
      <w:r w:rsidRPr="000D2B3A">
        <w:rPr>
          <w:sz w:val="24"/>
        </w:rPr>
        <w:t>hyperadrenokorticismus</w:t>
      </w:r>
      <w:proofErr w:type="spellEnd"/>
      <w:r w:rsidRPr="000D2B3A">
        <w:rPr>
          <w:sz w:val="24"/>
        </w:rPr>
        <w:t xml:space="preserve"> nebo osteoporózu.</w:t>
      </w: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>Nepoužívat u virových infekcí během viremického stádia ani u systémových mykotických infekcí.</w:t>
      </w:r>
    </w:p>
    <w:p w:rsidR="009338CB" w:rsidRPr="0028395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Nepoužívat u zvířat, která mají gastrointestinální nebo korneální vředy či </w:t>
      </w:r>
      <w:proofErr w:type="spellStart"/>
      <w:r w:rsidRPr="000D2B3A">
        <w:rPr>
          <w:sz w:val="24"/>
        </w:rPr>
        <w:t>demodikózu</w:t>
      </w:r>
      <w:proofErr w:type="spellEnd"/>
      <w:r w:rsidRPr="000D2B3A">
        <w:rPr>
          <w:sz w:val="24"/>
        </w:rPr>
        <w:t>.</w:t>
      </w:r>
      <w:r w:rsidR="009338CB">
        <w:rPr>
          <w:sz w:val="24"/>
        </w:rPr>
        <w:t xml:space="preserve"> Nepodávat </w:t>
      </w:r>
      <w:proofErr w:type="spellStart"/>
      <w:r w:rsidR="009338CB">
        <w:rPr>
          <w:sz w:val="24"/>
        </w:rPr>
        <w:t>intraartikulárně</w:t>
      </w:r>
      <w:proofErr w:type="spellEnd"/>
      <w:r w:rsidR="009338CB">
        <w:rPr>
          <w:sz w:val="24"/>
        </w:rPr>
        <w:t xml:space="preserve">, </w:t>
      </w:r>
      <w:r w:rsidR="009338CB" w:rsidRPr="00B732E0">
        <w:rPr>
          <w:sz w:val="24"/>
          <w:szCs w:val="24"/>
        </w:rPr>
        <w:t xml:space="preserve">jestliže jsou prokázány </w:t>
      </w:r>
      <w:r w:rsidR="009338CB">
        <w:rPr>
          <w:sz w:val="24"/>
        </w:rPr>
        <w:t xml:space="preserve">fraktury, bakteriální infekce kloubů a aseptické nekrózy kosti. </w:t>
      </w: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>Nepoužívat v případech známé přecitlivělosti na léčivou látku, na kortikosteroidy a na některou z pomocných látek.</w:t>
      </w:r>
    </w:p>
    <w:p w:rsid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</w:rPr>
      </w:pPr>
      <w:r w:rsidRPr="000D2B3A">
        <w:rPr>
          <w:sz w:val="24"/>
        </w:rPr>
        <w:t>Viz také část o použití během březosti a laktace.</w:t>
      </w:r>
    </w:p>
    <w:p w:rsidR="0003577D" w:rsidRPr="000D2B3A" w:rsidRDefault="0003577D" w:rsidP="000D2B3A">
      <w:pPr>
        <w:spacing w:after="220" w:line="240" w:lineRule="auto"/>
        <w:ind w:right="-557"/>
        <w:contextualSpacing/>
        <w:rPr>
          <w:sz w:val="24"/>
          <w:szCs w:val="24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b/>
          <w:sz w:val="24"/>
          <w:highlight w:val="lightGray"/>
        </w:rPr>
        <w:t>6.</w:t>
      </w:r>
      <w:r w:rsidRPr="000D2B3A">
        <w:rPr>
          <w:b/>
          <w:sz w:val="24"/>
        </w:rPr>
        <w:tab/>
        <w:t>NEŽÁDOUCÍ ÚČINKY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Kortikosteroidy s protizánětlivými účinky, jako je </w:t>
      </w:r>
      <w:proofErr w:type="spellStart"/>
      <w:r w:rsidRPr="000D2B3A">
        <w:rPr>
          <w:sz w:val="24"/>
        </w:rPr>
        <w:t>dexamethason</w:t>
      </w:r>
      <w:proofErr w:type="spellEnd"/>
      <w:r w:rsidRPr="000D2B3A">
        <w:rPr>
          <w:sz w:val="24"/>
        </w:rPr>
        <w:t>, vyvolávají řadu nežádoucích účinků. Zatímco jednotlivé vysoké dávky jsou obecně dobře snášeny, při dlouhodobém užívání a při podávání esterů s dlouhou dobou účinku mohou vyvolat závažné nežádoucí účinky. Dávkování při střednědobém až dlouhodobém užívání by proto mělo být obecně omezeno na minimum nezbytné ke kontrole příznaků.</w:t>
      </w: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Steroidy samy o sobě mohou během léčby vyvolat </w:t>
      </w:r>
      <w:proofErr w:type="spellStart"/>
      <w:r w:rsidRPr="000D2B3A">
        <w:rPr>
          <w:sz w:val="24"/>
        </w:rPr>
        <w:t>iatrogenní</w:t>
      </w:r>
      <w:proofErr w:type="spellEnd"/>
      <w:r w:rsidRPr="000D2B3A">
        <w:rPr>
          <w:sz w:val="24"/>
        </w:rPr>
        <w:t xml:space="preserve"> </w:t>
      </w:r>
      <w:proofErr w:type="spellStart"/>
      <w:r w:rsidRPr="000D2B3A">
        <w:rPr>
          <w:sz w:val="24"/>
        </w:rPr>
        <w:t>hyperadrenokorticismus</w:t>
      </w:r>
      <w:proofErr w:type="spellEnd"/>
      <w:r w:rsidRPr="000D2B3A">
        <w:rPr>
          <w:sz w:val="24"/>
        </w:rPr>
        <w:t xml:space="preserve"> (</w:t>
      </w:r>
      <w:proofErr w:type="spellStart"/>
      <w:r w:rsidRPr="000D2B3A">
        <w:rPr>
          <w:sz w:val="24"/>
        </w:rPr>
        <w:t>Cushingovu</w:t>
      </w:r>
      <w:proofErr w:type="spellEnd"/>
      <w:r w:rsidRPr="000D2B3A">
        <w:rPr>
          <w:sz w:val="24"/>
        </w:rPr>
        <w:t xml:space="preserve"> nemoc) včetně významných změn metabolismu tuků, sacharidů, </w:t>
      </w:r>
      <w:r w:rsidR="009338CB">
        <w:rPr>
          <w:sz w:val="24"/>
        </w:rPr>
        <w:t>bílkovin</w:t>
      </w:r>
      <w:r w:rsidR="009338CB" w:rsidRPr="000D2B3A">
        <w:rPr>
          <w:sz w:val="24"/>
        </w:rPr>
        <w:t xml:space="preserve"> </w:t>
      </w:r>
      <w:r w:rsidR="00997B0A" w:rsidRPr="000D2B3A">
        <w:rPr>
          <w:sz w:val="24"/>
        </w:rPr>
        <w:t>a</w:t>
      </w:r>
      <w:r w:rsidR="00997B0A">
        <w:rPr>
          <w:sz w:val="24"/>
        </w:rPr>
        <w:t> </w:t>
      </w:r>
      <w:r w:rsidRPr="000D2B3A">
        <w:rPr>
          <w:sz w:val="24"/>
        </w:rPr>
        <w:t xml:space="preserve">minerálů, což může vést k redistribuci tělesného tuku, svalové slabosti a úbytku svalové hmoty a osteoporóze. </w:t>
      </w: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>Během terapie účinné dávky potlačují osu hypotalamus-hypofýza-nadledvin</w:t>
      </w:r>
      <w:r w:rsidR="00C24899">
        <w:rPr>
          <w:sz w:val="24"/>
        </w:rPr>
        <w:t>y</w:t>
      </w:r>
      <w:r w:rsidRPr="000D2B3A">
        <w:rPr>
          <w:sz w:val="24"/>
        </w:rPr>
        <w:t xml:space="preserve">. Po ukončení léčby se mohou objevit příznaky adrenální insuficience vedoucí k </w:t>
      </w:r>
      <w:proofErr w:type="spellStart"/>
      <w:r w:rsidRPr="000D2B3A">
        <w:rPr>
          <w:sz w:val="24"/>
        </w:rPr>
        <w:t>adrenokortikální</w:t>
      </w:r>
      <w:proofErr w:type="spellEnd"/>
      <w:r w:rsidRPr="000D2B3A">
        <w:rPr>
          <w:sz w:val="24"/>
        </w:rPr>
        <w:t xml:space="preserve"> atrofii, což může způsobit, že zvíře nebude schopno adekvátně řešit stresové situace. Měly by se proto zvážit způsoby, jak minimalizovat problémy s nedostatečností nadledvin po ukončení léčby, např. dávkování shodné s dobou vrcholu endogenního kortizolu (tj. ráno u psů a večer </w:t>
      </w:r>
      <w:r w:rsidR="00997B0A" w:rsidRPr="000D2B3A">
        <w:rPr>
          <w:sz w:val="24"/>
        </w:rPr>
        <w:t>u</w:t>
      </w:r>
      <w:r w:rsidR="00997B0A">
        <w:rPr>
          <w:sz w:val="24"/>
        </w:rPr>
        <w:t> </w:t>
      </w:r>
      <w:r w:rsidRPr="000D2B3A">
        <w:rPr>
          <w:sz w:val="24"/>
        </w:rPr>
        <w:t>koček) a postupné snižování dávky.</w:t>
      </w: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Systémově podávané kortikosteroidy mohou vyvolat polyurii, polydipsii a polyfagii především v úvodní fázi léčby. Některé kortikosteroidy mohou při dlouhodobém používání vyvolat retenci sodíku a vody a </w:t>
      </w:r>
      <w:proofErr w:type="spellStart"/>
      <w:r w:rsidRPr="000D2B3A">
        <w:rPr>
          <w:sz w:val="24"/>
        </w:rPr>
        <w:t>hypokalémii</w:t>
      </w:r>
      <w:proofErr w:type="spellEnd"/>
      <w:r w:rsidRPr="000D2B3A">
        <w:rPr>
          <w:sz w:val="24"/>
        </w:rPr>
        <w:t>. Systémové kortikosteroidy mohou vyvolat ukládání vápníku v kůži (</w:t>
      </w:r>
      <w:proofErr w:type="spellStart"/>
      <w:r w:rsidRPr="000D2B3A">
        <w:rPr>
          <w:sz w:val="24"/>
        </w:rPr>
        <w:t>calcinosis</w:t>
      </w:r>
      <w:proofErr w:type="spellEnd"/>
      <w:r w:rsidRPr="000D2B3A">
        <w:rPr>
          <w:sz w:val="24"/>
        </w:rPr>
        <w:t xml:space="preserve"> </w:t>
      </w:r>
      <w:proofErr w:type="spellStart"/>
      <w:r w:rsidRPr="000D2B3A">
        <w:rPr>
          <w:sz w:val="24"/>
        </w:rPr>
        <w:t>cutis</w:t>
      </w:r>
      <w:proofErr w:type="spellEnd"/>
      <w:r w:rsidRPr="000D2B3A">
        <w:rPr>
          <w:sz w:val="24"/>
        </w:rPr>
        <w:t>) a způsobovat atrofii kůže.</w:t>
      </w: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Kortikosteroidy mohou zpomalovat hojení ran a jejich imunosupresivní účinek může oslabit odolnost k infekcím nebo probíhající infekce zhoršovat. V přítomnosti bakteriální infekce je obvykle při použití steroidů vyžadováno krytí antibakteriálními přípravky. V přítomnosti </w:t>
      </w:r>
      <w:r w:rsidR="006D044B">
        <w:rPr>
          <w:sz w:val="24"/>
        </w:rPr>
        <w:t xml:space="preserve">virových </w:t>
      </w:r>
      <w:r w:rsidRPr="000D2B3A">
        <w:rPr>
          <w:sz w:val="24"/>
        </w:rPr>
        <w:t>infekcí mohou steroidy zhoršit nebo urychlit progresi onemocnění.</w:t>
      </w:r>
    </w:p>
    <w:p w:rsidR="000D2B3A" w:rsidRPr="000D2B3A" w:rsidRDefault="000D2B3A" w:rsidP="000D2B3A">
      <w:pPr>
        <w:spacing w:after="220" w:line="240" w:lineRule="auto"/>
        <w:ind w:right="-557"/>
        <w:contextualSpacing/>
        <w:rPr>
          <w:sz w:val="24"/>
          <w:szCs w:val="24"/>
        </w:rPr>
      </w:pP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bookmarkStart w:id="1" w:name="_Hlk4492083"/>
      <w:r w:rsidRPr="000D2B3A">
        <w:rPr>
          <w:sz w:val="24"/>
        </w:rPr>
        <w:t xml:space="preserve">U zvířat léčených kortikosteroidy byly </w:t>
      </w:r>
      <w:bookmarkEnd w:id="1"/>
      <w:r w:rsidRPr="000D2B3A">
        <w:rPr>
          <w:sz w:val="24"/>
        </w:rPr>
        <w:t>hlášeny gastrointestinální ulcerace a u pacientů, kterým byly podávány nesteroidní protizánětlivé léky (NSAID), a u zvířat s traumatem míchy mohou steroidy gastrointestinální ulcerace zhoršovat.</w:t>
      </w: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>Použití steroidů může způsobovat zvětšení jater (hepatomegalie) a zvýšení koncentrace jaterních enzymů v krevním séru.</w:t>
      </w: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>Steroidy mohou souviset se změnami chování psů a koček (občasná deprese u psů a koček, agresivita u psů).</w:t>
      </w: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>Užívání kortikosteroidů může vyvolat změny biochemických a hematologických parametrů krve. Může dojít k přechodné hyperglykémii.</w:t>
      </w: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Indukce porodu kortikosteroidy může být spojena se sníženou životaschopností telat, zvýšeným výskytem zadržených placent a možnou následnou metritidou nebo </w:t>
      </w:r>
      <w:proofErr w:type="spellStart"/>
      <w:r w:rsidRPr="000D2B3A">
        <w:rPr>
          <w:sz w:val="24"/>
        </w:rPr>
        <w:t>subfertilitou</w:t>
      </w:r>
      <w:proofErr w:type="spellEnd"/>
      <w:r w:rsidRPr="000D2B3A">
        <w:rPr>
          <w:sz w:val="24"/>
        </w:rPr>
        <w:t xml:space="preserve"> skotu.</w:t>
      </w: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Užívání kortikosteroidů může zvýšit riziko akutní pankreatitidy. Mezi další možné nežádoucí účinky spojené s užíváním kortikosteroidů patří </w:t>
      </w:r>
      <w:proofErr w:type="spellStart"/>
      <w:r w:rsidRPr="000D2B3A">
        <w:rPr>
          <w:sz w:val="24"/>
        </w:rPr>
        <w:t>laminitida</w:t>
      </w:r>
      <w:proofErr w:type="spellEnd"/>
      <w:r w:rsidRPr="000D2B3A">
        <w:rPr>
          <w:sz w:val="24"/>
        </w:rPr>
        <w:t xml:space="preserve"> a snížení dojivosti.</w:t>
      </w: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>Ve velmi vzácných případech se mohou objevit reakce z přecitlivělosti.</w:t>
      </w:r>
    </w:p>
    <w:p w:rsidR="000D2B3A" w:rsidRPr="000D2B3A" w:rsidRDefault="000D2B3A" w:rsidP="00997B0A">
      <w:pPr>
        <w:spacing w:after="220" w:line="240" w:lineRule="auto"/>
        <w:ind w:right="-1"/>
        <w:contextualSpacing/>
        <w:rPr>
          <w:sz w:val="24"/>
          <w:szCs w:val="24"/>
        </w:rPr>
      </w:pPr>
    </w:p>
    <w:p w:rsidR="000D2B3A" w:rsidRPr="000D2B3A" w:rsidRDefault="000D2B3A" w:rsidP="00997B0A">
      <w:pPr>
        <w:spacing w:after="220" w:line="240" w:lineRule="auto"/>
        <w:ind w:right="-1"/>
        <w:contextualSpacing/>
        <w:rPr>
          <w:sz w:val="24"/>
          <w:szCs w:val="24"/>
        </w:rPr>
      </w:pPr>
      <w:r w:rsidRPr="000D2B3A">
        <w:rPr>
          <w:sz w:val="24"/>
        </w:rPr>
        <w:t>Četnost nežádoucích účinků je charakterizována podle následujících pravidel:</w:t>
      </w:r>
    </w:p>
    <w:p w:rsidR="000D2B3A" w:rsidRPr="000D2B3A" w:rsidRDefault="000D2B3A" w:rsidP="00997B0A">
      <w:pPr>
        <w:spacing w:after="220" w:line="240" w:lineRule="auto"/>
        <w:ind w:right="-1"/>
        <w:contextualSpacing/>
        <w:rPr>
          <w:sz w:val="24"/>
          <w:szCs w:val="24"/>
        </w:rPr>
      </w:pPr>
      <w:r w:rsidRPr="000D2B3A">
        <w:rPr>
          <w:sz w:val="24"/>
        </w:rPr>
        <w:t>- velmi časté (nežádoucí účinek(</w:t>
      </w:r>
      <w:proofErr w:type="spellStart"/>
      <w:r w:rsidRPr="000D2B3A">
        <w:rPr>
          <w:sz w:val="24"/>
        </w:rPr>
        <w:t>nky</w:t>
      </w:r>
      <w:proofErr w:type="spellEnd"/>
      <w:r w:rsidRPr="000D2B3A">
        <w:rPr>
          <w:sz w:val="24"/>
        </w:rPr>
        <w:t>) se projevil(y) u více než 1 z 10 ošetřených zvířat),</w:t>
      </w:r>
    </w:p>
    <w:p w:rsidR="000D2B3A" w:rsidRPr="000D2B3A" w:rsidRDefault="000D2B3A" w:rsidP="00997B0A">
      <w:pPr>
        <w:spacing w:after="220" w:line="240" w:lineRule="auto"/>
        <w:ind w:right="-1"/>
        <w:contextualSpacing/>
        <w:rPr>
          <w:sz w:val="24"/>
          <w:szCs w:val="24"/>
        </w:rPr>
      </w:pPr>
      <w:r w:rsidRPr="000D2B3A">
        <w:rPr>
          <w:sz w:val="24"/>
        </w:rPr>
        <w:t>- časté (u více než 1, ale méně než 10 ze 100 ošetřených zvířat),</w:t>
      </w:r>
    </w:p>
    <w:p w:rsidR="000D2B3A" w:rsidRPr="000D2B3A" w:rsidRDefault="000D2B3A" w:rsidP="00997B0A">
      <w:pPr>
        <w:spacing w:after="220" w:line="240" w:lineRule="auto"/>
        <w:ind w:right="-1"/>
        <w:contextualSpacing/>
        <w:rPr>
          <w:sz w:val="24"/>
          <w:szCs w:val="24"/>
        </w:rPr>
      </w:pPr>
      <w:r w:rsidRPr="000D2B3A">
        <w:rPr>
          <w:sz w:val="24"/>
        </w:rPr>
        <w:t>- neobvyklé (u více než 1, ale méně než 10 z 1 000 ošetřených zvířat),</w:t>
      </w:r>
    </w:p>
    <w:p w:rsidR="000D2B3A" w:rsidRPr="000D2B3A" w:rsidRDefault="000D2B3A" w:rsidP="00997B0A">
      <w:pPr>
        <w:spacing w:after="220" w:line="240" w:lineRule="auto"/>
        <w:ind w:right="-1"/>
        <w:contextualSpacing/>
        <w:rPr>
          <w:sz w:val="24"/>
          <w:szCs w:val="24"/>
        </w:rPr>
      </w:pPr>
      <w:r w:rsidRPr="000D2B3A">
        <w:rPr>
          <w:sz w:val="24"/>
        </w:rPr>
        <w:t>- vzácné (u více než 1, ale méně než 10 z 10 000 ošetřených zvířat),</w:t>
      </w:r>
    </w:p>
    <w:p w:rsidR="000D2B3A" w:rsidRPr="000D2B3A" w:rsidRDefault="000D2B3A" w:rsidP="00997B0A">
      <w:pPr>
        <w:spacing w:after="220" w:line="240" w:lineRule="auto"/>
        <w:ind w:right="-1"/>
        <w:contextualSpacing/>
        <w:rPr>
          <w:sz w:val="24"/>
          <w:szCs w:val="24"/>
        </w:rPr>
      </w:pPr>
      <w:r w:rsidRPr="000D2B3A">
        <w:rPr>
          <w:sz w:val="24"/>
        </w:rPr>
        <w:t>- velmi vzácné (u méně než 1 z 10 000 ošetřených zvířat, včetně ojedinělých hlášení).</w:t>
      </w:r>
    </w:p>
    <w:p w:rsidR="000D2B3A" w:rsidRPr="000D2B3A" w:rsidRDefault="000D2B3A" w:rsidP="00997B0A">
      <w:pPr>
        <w:spacing w:after="220" w:line="240" w:lineRule="auto"/>
        <w:ind w:right="-1"/>
        <w:contextualSpacing/>
        <w:rPr>
          <w:sz w:val="24"/>
          <w:szCs w:val="24"/>
        </w:rPr>
      </w:pPr>
    </w:p>
    <w:p w:rsidR="000D2B3A" w:rsidRPr="000D2B3A" w:rsidRDefault="000D2B3A" w:rsidP="009C07C9">
      <w:pPr>
        <w:tabs>
          <w:tab w:val="clear" w:pos="567"/>
        </w:tabs>
        <w:spacing w:line="240" w:lineRule="auto"/>
        <w:ind w:right="-1"/>
        <w:jc w:val="both"/>
        <w:rPr>
          <w:sz w:val="24"/>
          <w:szCs w:val="24"/>
        </w:rPr>
      </w:pPr>
      <w:r w:rsidRPr="000D2B3A">
        <w:rPr>
          <w:sz w:val="24"/>
        </w:rPr>
        <w:t>Jestliže zaznamenáte kterýkoliv z nežádoucích účinků</w:t>
      </w:r>
      <w:r w:rsidR="00661062">
        <w:rPr>
          <w:sz w:val="24"/>
        </w:rPr>
        <w:t>,</w:t>
      </w:r>
      <w:r w:rsidRPr="000D2B3A">
        <w:rPr>
          <w:sz w:val="24"/>
        </w:rPr>
        <w:t xml:space="preserve"> a to i takové, které nejsou uvedeny </w:t>
      </w:r>
      <w:r w:rsidR="00997B0A" w:rsidRPr="000D2B3A">
        <w:rPr>
          <w:sz w:val="24"/>
        </w:rPr>
        <w:t>v</w:t>
      </w:r>
      <w:r w:rsidR="00997B0A">
        <w:rPr>
          <w:sz w:val="24"/>
        </w:rPr>
        <w:t> </w:t>
      </w:r>
      <w:r w:rsidRPr="000D2B3A">
        <w:rPr>
          <w:sz w:val="24"/>
        </w:rPr>
        <w:t>této příbalové informaci, nebo si myslíte, že léčivo nefunguje, oznamte to, prosím, vašemu veterinárnímu lékaři.</w:t>
      </w:r>
    </w:p>
    <w:p w:rsidR="000D2B3A" w:rsidRDefault="000D2B3A" w:rsidP="00997B0A">
      <w:pPr>
        <w:tabs>
          <w:tab w:val="clear" w:pos="567"/>
        </w:tabs>
        <w:spacing w:line="240" w:lineRule="auto"/>
        <w:ind w:right="-1"/>
        <w:rPr>
          <w:sz w:val="24"/>
        </w:rPr>
      </w:pPr>
      <w:r w:rsidRPr="000D2B3A">
        <w:rPr>
          <w:sz w:val="24"/>
        </w:rPr>
        <w:t xml:space="preserve">Můžete také hlásit prostřednictvím </w:t>
      </w:r>
      <w:r w:rsidR="006D044B">
        <w:rPr>
          <w:sz w:val="24"/>
        </w:rPr>
        <w:t>celostátního</w:t>
      </w:r>
      <w:r w:rsidR="006D044B" w:rsidRPr="000D2B3A">
        <w:rPr>
          <w:sz w:val="24"/>
        </w:rPr>
        <w:t xml:space="preserve"> </w:t>
      </w:r>
      <w:r w:rsidRPr="000D2B3A">
        <w:rPr>
          <w:sz w:val="24"/>
        </w:rPr>
        <w:t>systému hlášení nežádoucích účinků</w:t>
      </w:r>
      <w:r w:rsidR="006D044B">
        <w:rPr>
          <w:sz w:val="24"/>
        </w:rPr>
        <w:t xml:space="preserve">: </w:t>
      </w:r>
    </w:p>
    <w:p w:rsidR="006D044B" w:rsidRPr="006D044B" w:rsidRDefault="006D044B" w:rsidP="00997B0A">
      <w:pPr>
        <w:tabs>
          <w:tab w:val="clear" w:pos="567"/>
        </w:tabs>
        <w:spacing w:line="240" w:lineRule="auto"/>
        <w:ind w:right="-1"/>
        <w:rPr>
          <w:sz w:val="24"/>
          <w:szCs w:val="24"/>
        </w:rPr>
      </w:pPr>
      <w:r w:rsidRPr="006D044B">
        <w:rPr>
          <w:sz w:val="24"/>
          <w:szCs w:val="24"/>
        </w:rPr>
        <w:t xml:space="preserve">Nežádoucí účinky můžete hlásit prostřednictvím formuláře na webových stránkách ÚSKVBL elektronicky, nebo také přímo na adresu: </w:t>
      </w:r>
    </w:p>
    <w:p w:rsidR="006D044B" w:rsidRPr="006D044B" w:rsidRDefault="006D044B" w:rsidP="00997B0A">
      <w:pPr>
        <w:tabs>
          <w:tab w:val="clear" w:pos="567"/>
        </w:tabs>
        <w:spacing w:line="240" w:lineRule="auto"/>
        <w:ind w:right="-1"/>
        <w:rPr>
          <w:sz w:val="24"/>
          <w:szCs w:val="24"/>
        </w:rPr>
      </w:pPr>
      <w:r w:rsidRPr="006D044B">
        <w:rPr>
          <w:sz w:val="24"/>
          <w:szCs w:val="24"/>
        </w:rPr>
        <w:t xml:space="preserve">Ústav pro státní kontrolu veterinárních biopreparátů a léčiv </w:t>
      </w:r>
    </w:p>
    <w:p w:rsidR="006D044B" w:rsidRPr="006D044B" w:rsidRDefault="006D044B" w:rsidP="006D044B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6D044B">
        <w:rPr>
          <w:sz w:val="24"/>
          <w:szCs w:val="24"/>
        </w:rPr>
        <w:t xml:space="preserve">Hudcova </w:t>
      </w:r>
      <w:proofErr w:type="gramStart"/>
      <w:r w:rsidRPr="006D044B">
        <w:rPr>
          <w:sz w:val="24"/>
          <w:szCs w:val="24"/>
        </w:rPr>
        <w:t>56a</w:t>
      </w:r>
      <w:proofErr w:type="gramEnd"/>
    </w:p>
    <w:p w:rsidR="006D044B" w:rsidRPr="006D044B" w:rsidRDefault="006D044B" w:rsidP="006D044B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6D044B">
        <w:rPr>
          <w:sz w:val="24"/>
          <w:szCs w:val="24"/>
        </w:rPr>
        <w:t>621 00 Brno</w:t>
      </w:r>
    </w:p>
    <w:p w:rsidR="006D044B" w:rsidRPr="006D044B" w:rsidRDefault="006D044B" w:rsidP="006D044B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6D044B">
        <w:rPr>
          <w:sz w:val="24"/>
          <w:szCs w:val="24"/>
        </w:rPr>
        <w:t xml:space="preserve">Mail: </w:t>
      </w:r>
      <w:hyperlink r:id="rId7" w:history="1">
        <w:r w:rsidRPr="006D044B">
          <w:rPr>
            <w:rStyle w:val="Hypertextovodkaz"/>
            <w:sz w:val="24"/>
            <w:szCs w:val="24"/>
          </w:rPr>
          <w:t>adr@uskvbl.cz</w:t>
        </w:r>
      </w:hyperlink>
    </w:p>
    <w:p w:rsidR="006D044B" w:rsidRPr="006D044B" w:rsidRDefault="006D044B" w:rsidP="006D044B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6D044B">
        <w:rPr>
          <w:sz w:val="24"/>
          <w:szCs w:val="24"/>
        </w:rPr>
        <w:t xml:space="preserve">Webové stránky: </w:t>
      </w:r>
      <w:hyperlink r:id="rId8" w:history="1">
        <w:r w:rsidRPr="006D044B">
          <w:rPr>
            <w:rStyle w:val="Hypertextovodkaz"/>
            <w:sz w:val="24"/>
            <w:szCs w:val="24"/>
          </w:rPr>
          <w:t>http://www.uskvbl.cz/cs/farmakovigilance</w:t>
        </w:r>
      </w:hyperlink>
      <w:r w:rsidRPr="006D044B">
        <w:rPr>
          <w:sz w:val="24"/>
          <w:szCs w:val="24"/>
        </w:rPr>
        <w:t>&gt;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b/>
          <w:sz w:val="24"/>
          <w:highlight w:val="lightGray"/>
        </w:rPr>
        <w:t>7.</w:t>
      </w:r>
      <w:r w:rsidRPr="000D2B3A">
        <w:rPr>
          <w:b/>
          <w:sz w:val="24"/>
        </w:rPr>
        <w:tab/>
        <w:t>CÍLOVÝ DRUH ZVÍŘAT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rFonts w:eastAsia="Cambria"/>
          <w:sz w:val="24"/>
          <w:szCs w:val="24"/>
        </w:rPr>
      </w:pPr>
      <w:r w:rsidRPr="000D2B3A">
        <w:rPr>
          <w:rFonts w:eastAsia="Cambria"/>
          <w:sz w:val="24"/>
          <w:szCs w:val="24"/>
        </w:rPr>
        <w:t>Koně, skot, kozy, prasata, psi a kočky.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rFonts w:ascii="Cambria" w:eastAsia="Cambria" w:hAnsi="Cambria"/>
          <w:sz w:val="24"/>
          <w:szCs w:val="24"/>
        </w:rPr>
      </w:pPr>
      <w:r w:rsidRPr="000D2B3A">
        <w:rPr>
          <w:rFonts w:ascii="Cambria" w:eastAsia="Cambria" w:hAnsi="Cambria"/>
          <w:noProof/>
          <w:sz w:val="24"/>
          <w:szCs w:val="24"/>
          <w:lang w:eastAsia="cs-CZ"/>
        </w:rPr>
        <w:drawing>
          <wp:inline distT="0" distB="0" distL="0" distR="0">
            <wp:extent cx="933450" cy="714375"/>
            <wp:effectExtent l="0" t="0" r="0" b="9525"/>
            <wp:docPr id="12" name="Obrázek 12" descr="horse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se_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B3A">
        <w:rPr>
          <w:rFonts w:ascii="Cambria" w:eastAsia="Cambria" w:hAnsi="Cambria"/>
          <w:noProof/>
          <w:sz w:val="24"/>
          <w:szCs w:val="24"/>
          <w:lang w:eastAsia="cs-CZ"/>
        </w:rPr>
        <w:drawing>
          <wp:inline distT="0" distB="0" distL="0" distR="0">
            <wp:extent cx="723900" cy="476250"/>
            <wp:effectExtent l="0" t="0" r="0" b="0"/>
            <wp:docPr id="11" name="Obrázek 11" descr="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o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B3A">
        <w:rPr>
          <w:rFonts w:ascii="Cambria" w:eastAsia="Cambria" w:hAnsi="Cambria"/>
          <w:noProof/>
          <w:sz w:val="24"/>
          <w:szCs w:val="24"/>
          <w:lang w:eastAsia="cs-CZ"/>
        </w:rPr>
        <w:drawing>
          <wp:inline distT="0" distB="0" distL="0" distR="0">
            <wp:extent cx="571500" cy="476250"/>
            <wp:effectExtent l="0" t="0" r="0" b="0"/>
            <wp:docPr id="10" name="Obrázek 10" descr="G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Goa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B3A">
        <w:rPr>
          <w:rFonts w:ascii="Cambria" w:eastAsia="Cambria" w:hAnsi="Cambria"/>
          <w:noProof/>
          <w:sz w:val="24"/>
          <w:szCs w:val="24"/>
          <w:lang w:eastAsia="cs-CZ"/>
        </w:rPr>
        <w:drawing>
          <wp:inline distT="0" distB="0" distL="0" distR="0">
            <wp:extent cx="733425" cy="381000"/>
            <wp:effectExtent l="0" t="0" r="9525" b="0"/>
            <wp:docPr id="9" name="Obrázek 9" descr="http://www.ema.europa.eu/ema/images/pictograms/pig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http://www.ema.europa.eu/ema/images/pictograms/pig_t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B3A">
        <w:rPr>
          <w:rFonts w:ascii="Cambria" w:eastAsia="Cambria" w:hAnsi="Cambria"/>
          <w:noProof/>
          <w:sz w:val="24"/>
          <w:szCs w:val="24"/>
          <w:lang w:eastAsia="cs-CZ"/>
        </w:rPr>
        <w:drawing>
          <wp:inline distT="0" distB="0" distL="0" distR="0">
            <wp:extent cx="600075" cy="428625"/>
            <wp:effectExtent l="0" t="0" r="9525" b="9525"/>
            <wp:docPr id="8" name="Obrázek 8" descr="dog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g_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B3A">
        <w:rPr>
          <w:rFonts w:ascii="Cambria" w:eastAsia="Cambria" w:hAnsi="Cambria"/>
          <w:noProof/>
          <w:sz w:val="24"/>
          <w:szCs w:val="24"/>
          <w:lang w:eastAsia="cs-CZ"/>
        </w:rPr>
        <w:drawing>
          <wp:inline distT="0" distB="0" distL="0" distR="0">
            <wp:extent cx="304800" cy="371475"/>
            <wp:effectExtent l="0" t="0" r="0" b="9525"/>
            <wp:docPr id="7" name="Obrázek 7" descr="cat_Sitting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t_Sitting_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rFonts w:eastAsia="Cambria"/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:rsidR="000D2B3A" w:rsidRPr="000D2B3A" w:rsidRDefault="000D2B3A" w:rsidP="00D1365E">
      <w:pPr>
        <w:keepNext/>
        <w:tabs>
          <w:tab w:val="clear" w:pos="567"/>
        </w:tabs>
        <w:spacing w:line="240" w:lineRule="auto"/>
        <w:rPr>
          <w:b/>
          <w:szCs w:val="22"/>
        </w:rPr>
      </w:pPr>
      <w:r w:rsidRPr="000D2B3A">
        <w:rPr>
          <w:b/>
          <w:highlight w:val="lightGray"/>
        </w:rPr>
        <w:t>8.</w:t>
      </w:r>
      <w:r w:rsidRPr="000D2B3A">
        <w:rPr>
          <w:b/>
        </w:rPr>
        <w:tab/>
        <w:t>DÁVKOVÁNÍ PRO KAŽDÝ DRUH, CESTA(Y) A ZPŮSOB PODÁNÍ</w:t>
      </w:r>
    </w:p>
    <w:p w:rsidR="000D2B3A" w:rsidRPr="000D2B3A" w:rsidRDefault="000D2B3A">
      <w:pPr>
        <w:keepNext/>
        <w:tabs>
          <w:tab w:val="clear" w:pos="567"/>
        </w:tabs>
        <w:spacing w:line="240" w:lineRule="auto"/>
        <w:rPr>
          <w:szCs w:val="22"/>
        </w:rPr>
      </w:pPr>
    </w:p>
    <w:p w:rsidR="000D2B3A" w:rsidRPr="000D2B3A" w:rsidRDefault="000D2B3A" w:rsidP="009C07C9">
      <w:pPr>
        <w:keepNext/>
        <w:spacing w:line="240" w:lineRule="auto"/>
        <w:rPr>
          <w:noProof/>
          <w:sz w:val="24"/>
          <w:szCs w:val="24"/>
          <w:u w:val="single"/>
        </w:rPr>
      </w:pPr>
      <w:r w:rsidRPr="000D2B3A">
        <w:rPr>
          <w:sz w:val="24"/>
          <w:u w:val="single"/>
        </w:rPr>
        <w:t>Koně</w:t>
      </w:r>
    </w:p>
    <w:p w:rsidR="000D2B3A" w:rsidRPr="000D2B3A" w:rsidRDefault="000D2B3A" w:rsidP="000D2B3A">
      <w:pPr>
        <w:spacing w:line="240" w:lineRule="auto"/>
        <w:rPr>
          <w:noProof/>
          <w:sz w:val="24"/>
          <w:szCs w:val="24"/>
        </w:rPr>
      </w:pPr>
      <w:r w:rsidRPr="000D2B3A">
        <w:rPr>
          <w:sz w:val="24"/>
        </w:rPr>
        <w:t xml:space="preserve">Intravenózní, intramuskulární, </w:t>
      </w:r>
      <w:proofErr w:type="spellStart"/>
      <w:r w:rsidRPr="000D2B3A">
        <w:rPr>
          <w:sz w:val="24"/>
        </w:rPr>
        <w:t>intraartikulární</w:t>
      </w:r>
      <w:proofErr w:type="spellEnd"/>
      <w:r w:rsidRPr="000D2B3A">
        <w:rPr>
          <w:sz w:val="24"/>
        </w:rPr>
        <w:t xml:space="preserve"> a </w:t>
      </w:r>
      <w:proofErr w:type="spellStart"/>
      <w:r w:rsidRPr="000D2B3A">
        <w:rPr>
          <w:sz w:val="24"/>
        </w:rPr>
        <w:t>periartikulární</w:t>
      </w:r>
      <w:proofErr w:type="spellEnd"/>
      <w:r w:rsidRPr="000D2B3A">
        <w:rPr>
          <w:sz w:val="24"/>
        </w:rPr>
        <w:t xml:space="preserve"> podání.</w:t>
      </w:r>
    </w:p>
    <w:p w:rsidR="000D2B3A" w:rsidRPr="000D2B3A" w:rsidRDefault="000D2B3A" w:rsidP="000D2B3A">
      <w:pPr>
        <w:spacing w:line="240" w:lineRule="auto"/>
        <w:rPr>
          <w:noProof/>
          <w:sz w:val="24"/>
          <w:szCs w:val="24"/>
        </w:rPr>
      </w:pPr>
    </w:p>
    <w:p w:rsidR="000D2B3A" w:rsidRPr="000D2B3A" w:rsidRDefault="000D2B3A" w:rsidP="000D2B3A">
      <w:pPr>
        <w:spacing w:line="240" w:lineRule="auto"/>
        <w:rPr>
          <w:noProof/>
          <w:sz w:val="24"/>
          <w:szCs w:val="24"/>
          <w:u w:val="single"/>
        </w:rPr>
      </w:pPr>
      <w:r w:rsidRPr="000D2B3A">
        <w:rPr>
          <w:sz w:val="24"/>
          <w:u w:val="single"/>
        </w:rPr>
        <w:t>Psi a kočky</w:t>
      </w:r>
    </w:p>
    <w:p w:rsidR="000D2B3A" w:rsidRPr="000D2B3A" w:rsidRDefault="000D2B3A" w:rsidP="000D2B3A">
      <w:pPr>
        <w:spacing w:line="240" w:lineRule="auto"/>
        <w:rPr>
          <w:noProof/>
          <w:sz w:val="24"/>
          <w:szCs w:val="24"/>
        </w:rPr>
      </w:pPr>
      <w:r w:rsidRPr="000D2B3A">
        <w:rPr>
          <w:sz w:val="24"/>
        </w:rPr>
        <w:t>Intravenózní, intramuskulární a subkutánní podání.</w:t>
      </w:r>
    </w:p>
    <w:p w:rsidR="000D2B3A" w:rsidRPr="000D2B3A" w:rsidRDefault="000D2B3A" w:rsidP="000D2B3A">
      <w:pPr>
        <w:spacing w:line="240" w:lineRule="auto"/>
        <w:rPr>
          <w:noProof/>
          <w:sz w:val="24"/>
          <w:szCs w:val="24"/>
        </w:rPr>
      </w:pPr>
    </w:p>
    <w:p w:rsidR="000D2B3A" w:rsidRPr="000D2B3A" w:rsidRDefault="000D2B3A" w:rsidP="000D2B3A">
      <w:pPr>
        <w:spacing w:line="240" w:lineRule="auto"/>
        <w:rPr>
          <w:noProof/>
          <w:sz w:val="24"/>
          <w:szCs w:val="24"/>
          <w:u w:val="single"/>
        </w:rPr>
      </w:pPr>
      <w:r w:rsidRPr="000D2B3A">
        <w:rPr>
          <w:sz w:val="24"/>
          <w:u w:val="single"/>
        </w:rPr>
        <w:t>Skot, kozy a prasata</w:t>
      </w:r>
    </w:p>
    <w:p w:rsidR="000D2B3A" w:rsidRPr="000D2B3A" w:rsidRDefault="000D2B3A" w:rsidP="000D2B3A">
      <w:pPr>
        <w:spacing w:line="240" w:lineRule="auto"/>
        <w:rPr>
          <w:noProof/>
          <w:sz w:val="24"/>
          <w:szCs w:val="24"/>
        </w:rPr>
      </w:pPr>
      <w:r w:rsidRPr="000D2B3A">
        <w:rPr>
          <w:sz w:val="24"/>
        </w:rPr>
        <w:t>Intravenózní a intramuskulární podání.</w:t>
      </w:r>
    </w:p>
    <w:p w:rsidR="000D2B3A" w:rsidRPr="000D2B3A" w:rsidRDefault="000D2B3A" w:rsidP="000D2B3A">
      <w:pPr>
        <w:spacing w:line="240" w:lineRule="auto"/>
        <w:rPr>
          <w:noProof/>
        </w:rPr>
      </w:pPr>
    </w:p>
    <w:p w:rsidR="000D2B3A" w:rsidRPr="000D2B3A" w:rsidRDefault="000D2B3A" w:rsidP="000D2B3A">
      <w:pPr>
        <w:spacing w:line="240" w:lineRule="auto"/>
        <w:rPr>
          <w:szCs w:val="24"/>
        </w:rPr>
      </w:pPr>
      <w:r w:rsidRPr="000D2B3A">
        <w:rPr>
          <w:sz w:val="24"/>
          <w:u w:val="single"/>
        </w:rPr>
        <w:t>K léčbě zánětlivých nebo alergických stavů</w:t>
      </w:r>
      <w:r w:rsidRPr="000D2B3A">
        <w:rPr>
          <w:sz w:val="24"/>
        </w:rPr>
        <w:t xml:space="preserve"> se doporučují následující průměrné dávky. Skutečná použitá dávka by se však měla řídit závažností příznaků a délkou jejich trvání.</w:t>
      </w:r>
    </w:p>
    <w:p w:rsidR="000D2B3A" w:rsidRPr="000D2B3A" w:rsidRDefault="000D2B3A" w:rsidP="000D2B3A">
      <w:pPr>
        <w:spacing w:line="240" w:lineRule="auto"/>
        <w:rPr>
          <w:noProof/>
        </w:rPr>
      </w:pPr>
    </w:p>
    <w:p w:rsidR="000D2B3A" w:rsidRPr="000D2B3A" w:rsidRDefault="000D2B3A" w:rsidP="000D2B3A">
      <w:pPr>
        <w:spacing w:line="240" w:lineRule="auto"/>
        <w:rPr>
          <w:b/>
          <w:noProof/>
          <w:sz w:val="24"/>
          <w:szCs w:val="24"/>
        </w:rPr>
      </w:pPr>
      <w:r w:rsidRPr="000D2B3A">
        <w:rPr>
          <w:b/>
          <w:sz w:val="24"/>
        </w:rPr>
        <w:t xml:space="preserve">Druh </w:t>
      </w:r>
      <w:r w:rsidRPr="000D2B3A">
        <w:rPr>
          <w:b/>
          <w:sz w:val="24"/>
        </w:rPr>
        <w:tab/>
      </w:r>
      <w:r w:rsidRPr="000D2B3A">
        <w:rPr>
          <w:b/>
          <w:sz w:val="24"/>
        </w:rPr>
        <w:tab/>
      </w:r>
      <w:r w:rsidRPr="000D2B3A">
        <w:rPr>
          <w:b/>
          <w:sz w:val="24"/>
        </w:rPr>
        <w:tab/>
      </w:r>
      <w:r w:rsidRPr="000D2B3A">
        <w:rPr>
          <w:b/>
          <w:sz w:val="24"/>
        </w:rPr>
        <w:tab/>
        <w:t>Dávkování</w:t>
      </w:r>
    </w:p>
    <w:p w:rsidR="000D2B3A" w:rsidRPr="000D2B3A" w:rsidRDefault="000D2B3A" w:rsidP="000D2B3A">
      <w:pPr>
        <w:spacing w:line="240" w:lineRule="auto"/>
        <w:rPr>
          <w:noProof/>
          <w:sz w:val="24"/>
          <w:szCs w:val="24"/>
        </w:rPr>
      </w:pPr>
      <w:r w:rsidRPr="000D2B3A">
        <w:rPr>
          <w:sz w:val="24"/>
        </w:rPr>
        <w:t xml:space="preserve">Koně, skot, kozy, prasata </w:t>
      </w:r>
      <w:r w:rsidR="009338CB">
        <w:rPr>
          <w:sz w:val="24"/>
        </w:rPr>
        <w:t xml:space="preserve">    </w:t>
      </w:r>
      <w:r w:rsidRPr="000D2B3A">
        <w:rPr>
          <w:sz w:val="24"/>
        </w:rPr>
        <w:t xml:space="preserve">0,06 mg </w:t>
      </w:r>
      <w:proofErr w:type="spellStart"/>
      <w:r w:rsidRPr="000D2B3A">
        <w:rPr>
          <w:sz w:val="24"/>
        </w:rPr>
        <w:t>dexamethasonu</w:t>
      </w:r>
      <w:proofErr w:type="spellEnd"/>
      <w:r w:rsidRPr="000D2B3A">
        <w:rPr>
          <w:sz w:val="24"/>
        </w:rPr>
        <w:t>/kg ž.hm. (1,5 ml přípravku/50 kg ž.hm.)</w:t>
      </w:r>
    </w:p>
    <w:p w:rsidR="000D2B3A" w:rsidRPr="000D2B3A" w:rsidRDefault="000D2B3A" w:rsidP="000D2B3A">
      <w:pPr>
        <w:spacing w:line="240" w:lineRule="auto"/>
        <w:rPr>
          <w:noProof/>
          <w:sz w:val="24"/>
          <w:szCs w:val="24"/>
        </w:rPr>
      </w:pPr>
      <w:r w:rsidRPr="000D2B3A">
        <w:rPr>
          <w:sz w:val="24"/>
        </w:rPr>
        <w:t xml:space="preserve">Psi, kočky </w:t>
      </w:r>
      <w:r w:rsidRPr="000D2B3A">
        <w:rPr>
          <w:sz w:val="24"/>
        </w:rPr>
        <w:tab/>
      </w:r>
      <w:r w:rsidRPr="000D2B3A">
        <w:rPr>
          <w:sz w:val="24"/>
        </w:rPr>
        <w:tab/>
      </w:r>
      <w:r w:rsidR="009338CB">
        <w:rPr>
          <w:sz w:val="24"/>
        </w:rPr>
        <w:t xml:space="preserve">          </w:t>
      </w:r>
      <w:r w:rsidRPr="000D2B3A">
        <w:rPr>
          <w:sz w:val="24"/>
        </w:rPr>
        <w:t xml:space="preserve">0,1 mg </w:t>
      </w:r>
      <w:proofErr w:type="spellStart"/>
      <w:r w:rsidRPr="000D2B3A">
        <w:rPr>
          <w:sz w:val="24"/>
        </w:rPr>
        <w:t>dexamethasonu</w:t>
      </w:r>
      <w:proofErr w:type="spellEnd"/>
      <w:r w:rsidRPr="000D2B3A">
        <w:rPr>
          <w:sz w:val="24"/>
        </w:rPr>
        <w:t>/kg ž.hm. (0,5 ml přípravku/10 kg ž.hm.)</w:t>
      </w:r>
    </w:p>
    <w:p w:rsidR="000D2B3A" w:rsidRPr="000D2B3A" w:rsidRDefault="000D2B3A" w:rsidP="000D2B3A">
      <w:pPr>
        <w:spacing w:line="240" w:lineRule="auto"/>
        <w:rPr>
          <w:noProof/>
          <w:sz w:val="24"/>
          <w:szCs w:val="24"/>
        </w:rPr>
      </w:pPr>
    </w:p>
    <w:p w:rsidR="000D2B3A" w:rsidRPr="000D2B3A" w:rsidRDefault="000D2B3A" w:rsidP="009C07C9">
      <w:pPr>
        <w:spacing w:after="220" w:line="240" w:lineRule="auto"/>
        <w:contextualSpacing/>
        <w:jc w:val="both"/>
        <w:rPr>
          <w:sz w:val="24"/>
          <w:szCs w:val="24"/>
        </w:rPr>
      </w:pPr>
      <w:r w:rsidRPr="000D2B3A">
        <w:rPr>
          <w:sz w:val="24"/>
          <w:u w:val="single"/>
        </w:rPr>
        <w:t xml:space="preserve">Léčba primární ketózy u skotu </w:t>
      </w:r>
      <w:bookmarkStart w:id="2" w:name="_Hlk525826804"/>
      <w:r w:rsidRPr="000D2B3A">
        <w:rPr>
          <w:sz w:val="24"/>
        </w:rPr>
        <w:t xml:space="preserve">dávka 0,02–0,04 mg </w:t>
      </w:r>
      <w:proofErr w:type="spellStart"/>
      <w:r w:rsidRPr="000D2B3A">
        <w:rPr>
          <w:sz w:val="24"/>
        </w:rPr>
        <w:t>dexamethasonu</w:t>
      </w:r>
      <w:proofErr w:type="spellEnd"/>
      <w:r w:rsidRPr="000D2B3A">
        <w:rPr>
          <w:sz w:val="24"/>
        </w:rPr>
        <w:t xml:space="preserve">/kg ž.hm. (skot: 5–10 ml přípravku na 500 kg ž.hm.; kozy: 0,65–1,3 ml přípravku na 65 kg ž.hm.) </w:t>
      </w:r>
      <w:r w:rsidR="0071065C">
        <w:rPr>
          <w:sz w:val="24"/>
        </w:rPr>
        <w:t xml:space="preserve">jednorázové </w:t>
      </w:r>
      <w:r w:rsidRPr="000D2B3A">
        <w:rPr>
          <w:sz w:val="24"/>
        </w:rPr>
        <w:t xml:space="preserve">intramuskulární </w:t>
      </w:r>
      <w:r w:rsidR="0071065C">
        <w:rPr>
          <w:sz w:val="24"/>
        </w:rPr>
        <w:t xml:space="preserve">podání </w:t>
      </w:r>
      <w:r w:rsidRPr="000D2B3A">
        <w:rPr>
          <w:sz w:val="24"/>
        </w:rPr>
        <w:t xml:space="preserve">v závislosti na velikosti zvířete a délce trvání příznaků. Vyšší dávky (tj. 0,04 mg/kg) jsou třeba u zvířat, u kterých příznaky trvaly delší dobu nebo u kterých došlo k relapsu po léčbě. </w:t>
      </w:r>
    </w:p>
    <w:p w:rsidR="000D2B3A" w:rsidRPr="000D2B3A" w:rsidRDefault="000D2B3A" w:rsidP="009C07C9">
      <w:pPr>
        <w:spacing w:after="220" w:line="240" w:lineRule="auto"/>
        <w:contextualSpacing/>
        <w:jc w:val="both"/>
        <w:rPr>
          <w:sz w:val="24"/>
          <w:szCs w:val="24"/>
        </w:rPr>
      </w:pPr>
    </w:p>
    <w:bookmarkEnd w:id="2"/>
    <w:p w:rsidR="000D2B3A" w:rsidRPr="000D2B3A" w:rsidRDefault="000D2B3A" w:rsidP="009C07C9">
      <w:pPr>
        <w:spacing w:after="220" w:line="240" w:lineRule="auto"/>
        <w:contextualSpacing/>
        <w:jc w:val="both"/>
        <w:rPr>
          <w:sz w:val="24"/>
          <w:szCs w:val="24"/>
        </w:rPr>
      </w:pPr>
      <w:r w:rsidRPr="000D2B3A">
        <w:rPr>
          <w:sz w:val="24"/>
          <w:u w:val="single"/>
        </w:rPr>
        <w:t>K indukci porodu u skotu</w:t>
      </w:r>
      <w:r w:rsidRPr="000D2B3A">
        <w:rPr>
          <w:sz w:val="24"/>
        </w:rPr>
        <w:t xml:space="preserve"> – k zabránění nadměrné velikosti plodu a otoku mléčné žlázy.</w:t>
      </w:r>
      <w:bookmarkStart w:id="3" w:name="_Hlk517164437"/>
      <w:r w:rsidR="0071065C">
        <w:rPr>
          <w:sz w:val="24"/>
        </w:rPr>
        <w:t xml:space="preserve"> </w:t>
      </w:r>
      <w:r w:rsidRPr="000D2B3A">
        <w:rPr>
          <w:sz w:val="24"/>
        </w:rPr>
        <w:t xml:space="preserve">Jednorázové intramuskulární injekční podání 0,04 mg </w:t>
      </w:r>
      <w:proofErr w:type="spellStart"/>
      <w:r w:rsidRPr="000D2B3A">
        <w:rPr>
          <w:sz w:val="24"/>
        </w:rPr>
        <w:t>dexamethasonu</w:t>
      </w:r>
      <w:proofErr w:type="spellEnd"/>
      <w:r w:rsidRPr="000D2B3A">
        <w:rPr>
          <w:sz w:val="24"/>
        </w:rPr>
        <w:t>/kg ž.hm. (což odpovídá 10 ml přípravku pro krávu o hmotnosti 500 kg) po 260. dni březosti.</w:t>
      </w:r>
    </w:p>
    <w:p w:rsidR="000D2B3A" w:rsidRDefault="000D2B3A" w:rsidP="009C07C9">
      <w:pPr>
        <w:spacing w:after="220" w:line="240" w:lineRule="auto"/>
        <w:contextualSpacing/>
        <w:jc w:val="both"/>
        <w:rPr>
          <w:sz w:val="24"/>
        </w:rPr>
      </w:pPr>
      <w:r w:rsidRPr="000D2B3A">
        <w:rPr>
          <w:sz w:val="24"/>
        </w:rPr>
        <w:t xml:space="preserve">Porod se běžně dostaví za 48–72 hodin. </w:t>
      </w:r>
      <w:bookmarkEnd w:id="3"/>
    </w:p>
    <w:p w:rsidR="00D1365E" w:rsidRPr="000D2B3A" w:rsidRDefault="00D1365E" w:rsidP="009C07C9">
      <w:pPr>
        <w:spacing w:after="220" w:line="240" w:lineRule="auto"/>
        <w:contextualSpacing/>
        <w:jc w:val="both"/>
        <w:rPr>
          <w:sz w:val="24"/>
          <w:szCs w:val="24"/>
        </w:rPr>
      </w:pPr>
    </w:p>
    <w:p w:rsidR="000D2B3A" w:rsidRPr="000D2B3A" w:rsidRDefault="000D2B3A" w:rsidP="009C07C9">
      <w:pPr>
        <w:spacing w:line="240" w:lineRule="auto"/>
        <w:jc w:val="both"/>
        <w:rPr>
          <w:noProof/>
          <w:sz w:val="24"/>
          <w:szCs w:val="24"/>
        </w:rPr>
      </w:pPr>
      <w:r w:rsidRPr="000D2B3A">
        <w:rPr>
          <w:sz w:val="24"/>
          <w:u w:val="single"/>
        </w:rPr>
        <w:t xml:space="preserve">K léčbě artritidy, burzitidy nebo </w:t>
      </w:r>
      <w:proofErr w:type="spellStart"/>
      <w:r w:rsidRPr="000D2B3A">
        <w:rPr>
          <w:sz w:val="24"/>
          <w:u w:val="single"/>
        </w:rPr>
        <w:t>tenosynovitidy</w:t>
      </w:r>
      <w:proofErr w:type="spellEnd"/>
      <w:r w:rsidRPr="000D2B3A">
        <w:rPr>
          <w:sz w:val="24"/>
          <w:u w:val="single"/>
        </w:rPr>
        <w:t xml:space="preserve"> </w:t>
      </w:r>
      <w:bookmarkStart w:id="4" w:name="_Hlk58318579"/>
      <w:proofErr w:type="spellStart"/>
      <w:r w:rsidRPr="000D2B3A">
        <w:rPr>
          <w:sz w:val="24"/>
        </w:rPr>
        <w:t>intraartikulárním</w:t>
      </w:r>
      <w:proofErr w:type="spellEnd"/>
      <w:r w:rsidRPr="000D2B3A">
        <w:rPr>
          <w:sz w:val="24"/>
        </w:rPr>
        <w:t xml:space="preserve"> nebo </w:t>
      </w:r>
      <w:proofErr w:type="spellStart"/>
      <w:r w:rsidRPr="000D2B3A">
        <w:rPr>
          <w:sz w:val="24"/>
        </w:rPr>
        <w:t>periartikulárním</w:t>
      </w:r>
      <w:proofErr w:type="spellEnd"/>
      <w:r w:rsidRPr="000D2B3A">
        <w:rPr>
          <w:sz w:val="24"/>
        </w:rPr>
        <w:t xml:space="preserve"> </w:t>
      </w:r>
      <w:bookmarkEnd w:id="4"/>
      <w:r w:rsidRPr="000D2B3A">
        <w:rPr>
          <w:sz w:val="24"/>
        </w:rPr>
        <w:t>injekčním podáním u koní.</w:t>
      </w:r>
    </w:p>
    <w:p w:rsidR="000D2B3A" w:rsidRPr="000D2B3A" w:rsidRDefault="000D2B3A" w:rsidP="009C07C9">
      <w:pPr>
        <w:spacing w:line="240" w:lineRule="auto"/>
        <w:jc w:val="both"/>
        <w:rPr>
          <w:i/>
          <w:noProof/>
          <w:sz w:val="24"/>
          <w:szCs w:val="24"/>
        </w:rPr>
      </w:pPr>
      <w:r w:rsidRPr="000D2B3A">
        <w:rPr>
          <w:sz w:val="24"/>
        </w:rPr>
        <w:t>Dávka 1–5 ml přípravku na léčbu</w:t>
      </w:r>
    </w:p>
    <w:p w:rsidR="000D2B3A" w:rsidRPr="000D2B3A" w:rsidRDefault="000D2B3A" w:rsidP="009C07C9">
      <w:pPr>
        <w:spacing w:line="240" w:lineRule="auto"/>
        <w:jc w:val="both"/>
        <w:rPr>
          <w:noProof/>
          <w:sz w:val="24"/>
          <w:szCs w:val="24"/>
        </w:rPr>
      </w:pPr>
    </w:p>
    <w:p w:rsidR="000D2B3A" w:rsidRPr="000D2B3A" w:rsidRDefault="000D2B3A" w:rsidP="009C07C9">
      <w:pPr>
        <w:spacing w:line="240" w:lineRule="auto"/>
        <w:jc w:val="both"/>
        <w:rPr>
          <w:noProof/>
          <w:sz w:val="24"/>
          <w:szCs w:val="24"/>
        </w:rPr>
      </w:pPr>
      <w:r w:rsidRPr="000D2B3A">
        <w:rPr>
          <w:sz w:val="24"/>
        </w:rPr>
        <w:t xml:space="preserve">Výše uvedená množství nejsou jednoznačně stanovena a jsou uvedena výhradně za účelem orientace. Injekčnímu podání do kloubního prostoru nebo </w:t>
      </w:r>
      <w:proofErr w:type="spellStart"/>
      <w:r w:rsidRPr="000D2B3A">
        <w:rPr>
          <w:sz w:val="24"/>
        </w:rPr>
        <w:t>bursy</w:t>
      </w:r>
      <w:proofErr w:type="spellEnd"/>
      <w:r w:rsidRPr="000D2B3A">
        <w:rPr>
          <w:sz w:val="24"/>
        </w:rPr>
        <w:t xml:space="preserve"> musí předcházet natažení stejného množství synoviální tekutiny. </w:t>
      </w:r>
      <w:r w:rsidRPr="000D2B3A">
        <w:t xml:space="preserve">U koní určených k lidské spotřebě by neměla být překročena celková dávka 0,06 mg </w:t>
      </w:r>
      <w:proofErr w:type="spellStart"/>
      <w:r w:rsidRPr="000D2B3A">
        <w:t>dexamethasonu</w:t>
      </w:r>
      <w:proofErr w:type="spellEnd"/>
      <w:r w:rsidRPr="000D2B3A">
        <w:t xml:space="preserve">/kg ž.hm. </w:t>
      </w:r>
      <w:r w:rsidRPr="000D2B3A">
        <w:rPr>
          <w:sz w:val="24"/>
        </w:rPr>
        <w:t>Je nutné přísné dodržení aseptických podmínek.</w:t>
      </w: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b/>
          <w:sz w:val="24"/>
          <w:highlight w:val="lightGray"/>
        </w:rPr>
        <w:t>9.</w:t>
      </w:r>
      <w:r w:rsidRPr="000D2B3A">
        <w:rPr>
          <w:b/>
          <w:sz w:val="24"/>
        </w:rPr>
        <w:tab/>
        <w:t>POKYNY PRO SPRÁVNÉ PODÁNÍ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b/>
          <w:sz w:val="24"/>
          <w:highlight w:val="lightGray"/>
        </w:rPr>
        <w:t>10.</w:t>
      </w:r>
      <w:r w:rsidRPr="000D2B3A">
        <w:rPr>
          <w:b/>
          <w:sz w:val="24"/>
        </w:rPr>
        <w:tab/>
        <w:t>OCHRANN</w:t>
      </w:r>
      <w:r w:rsidR="00547EB7">
        <w:rPr>
          <w:b/>
          <w:sz w:val="24"/>
        </w:rPr>
        <w:t>Á(</w:t>
      </w:r>
      <w:r w:rsidRPr="000D2B3A">
        <w:rPr>
          <w:b/>
          <w:sz w:val="24"/>
        </w:rPr>
        <w:t>É</w:t>
      </w:r>
      <w:r w:rsidR="00547EB7">
        <w:rPr>
          <w:b/>
          <w:sz w:val="24"/>
        </w:rPr>
        <w:t>)</w:t>
      </w:r>
      <w:r w:rsidRPr="000D2B3A">
        <w:rPr>
          <w:b/>
          <w:sz w:val="24"/>
        </w:rPr>
        <w:t xml:space="preserve"> LHŮT</w:t>
      </w:r>
      <w:r w:rsidR="00547EB7">
        <w:rPr>
          <w:b/>
          <w:sz w:val="24"/>
        </w:rPr>
        <w:t>A(</w:t>
      </w:r>
      <w:r w:rsidRPr="000D2B3A">
        <w:rPr>
          <w:b/>
          <w:sz w:val="24"/>
        </w:rPr>
        <w:t>Y</w:t>
      </w:r>
      <w:r w:rsidR="00547EB7">
        <w:rPr>
          <w:b/>
          <w:sz w:val="24"/>
        </w:rPr>
        <w:t>)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iCs/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sz w:val="24"/>
        </w:rPr>
        <w:t xml:space="preserve">Skot a kozy: 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sz w:val="24"/>
        </w:rPr>
        <w:t xml:space="preserve">Maso: 8 dnů 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sz w:val="24"/>
        </w:rPr>
        <w:t xml:space="preserve">Mléko: 72 hodin 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sz w:val="24"/>
        </w:rPr>
        <w:t xml:space="preserve">Prasata: 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sz w:val="24"/>
        </w:rPr>
        <w:t>Maso: 2 dny po intramuskulárním podání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sz w:val="24"/>
        </w:rPr>
        <w:t>Maso: 6 dnů po intravenózním podání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9C07C9">
      <w:pPr>
        <w:keepNext/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sz w:val="24"/>
        </w:rPr>
        <w:t xml:space="preserve">Koně: 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sz w:val="24"/>
        </w:rPr>
        <w:t xml:space="preserve">Maso: 8 dnů 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sz w:val="24"/>
        </w:rPr>
        <w:t>Nepoužívat u koní, jejichž mléko je určeno pro lidskou spotřebu.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iCs/>
          <w:sz w:val="24"/>
          <w:szCs w:val="24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b/>
          <w:sz w:val="24"/>
          <w:highlight w:val="lightGray"/>
        </w:rPr>
        <w:t>11.</w:t>
      </w:r>
      <w:r w:rsidRPr="000D2B3A">
        <w:rPr>
          <w:b/>
          <w:sz w:val="24"/>
        </w:rPr>
        <w:tab/>
        <w:t>ZVLÁŠTNÍ OPATŘENÍ PRO UCHOVÁVÁNÍ</w:t>
      </w:r>
    </w:p>
    <w:p w:rsidR="000D2B3A" w:rsidRPr="000D2B3A" w:rsidRDefault="000D2B3A" w:rsidP="000D2B3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9C07C9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 w:val="24"/>
          <w:szCs w:val="24"/>
        </w:rPr>
      </w:pPr>
      <w:r w:rsidRPr="000D2B3A">
        <w:rPr>
          <w:sz w:val="24"/>
        </w:rPr>
        <w:lastRenderedPageBreak/>
        <w:t>Uchovávat mimo dohled a dosah dětí.</w:t>
      </w:r>
    </w:p>
    <w:p w:rsidR="000D2B3A" w:rsidRPr="000D2B3A" w:rsidRDefault="000D2B3A" w:rsidP="009C07C9">
      <w:pPr>
        <w:autoSpaceDE w:val="0"/>
        <w:autoSpaceDN w:val="0"/>
        <w:adjustRightInd w:val="0"/>
        <w:spacing w:line="240" w:lineRule="auto"/>
        <w:ind w:left="3686" w:hanging="3686"/>
        <w:jc w:val="both"/>
        <w:rPr>
          <w:color w:val="000000"/>
          <w:szCs w:val="22"/>
        </w:rPr>
      </w:pPr>
      <w:r w:rsidRPr="000D2B3A">
        <w:rPr>
          <w:color w:val="000000"/>
        </w:rPr>
        <w:t>Uchovávejte injekční lahvičku v</w:t>
      </w:r>
      <w:r w:rsidR="00915E39">
        <w:rPr>
          <w:color w:val="000000"/>
        </w:rPr>
        <w:t xml:space="preserve"> krabičce</w:t>
      </w:r>
      <w:r w:rsidRPr="000D2B3A">
        <w:rPr>
          <w:color w:val="000000"/>
        </w:rPr>
        <w:t>, aby byla chráněna před světlem.</w:t>
      </w:r>
    </w:p>
    <w:p w:rsidR="00997B0A" w:rsidRDefault="000D2B3A" w:rsidP="009C07C9">
      <w:pPr>
        <w:spacing w:after="220" w:line="240" w:lineRule="auto"/>
        <w:contextualSpacing/>
        <w:jc w:val="both"/>
        <w:rPr>
          <w:sz w:val="24"/>
        </w:rPr>
      </w:pPr>
      <w:r w:rsidRPr="000D2B3A">
        <w:rPr>
          <w:sz w:val="24"/>
        </w:rPr>
        <w:t>Nepoužívejte tento veterinární léčivý přípravek po uplynutí doby použitelnosti uvedené na krabičce a etiketě po „EXP“. Doba použitelnosti končí posledním dnem v uvedeném měsíci.</w:t>
      </w:r>
    </w:p>
    <w:p w:rsidR="000D2B3A" w:rsidRDefault="000D2B3A" w:rsidP="009C07C9">
      <w:pPr>
        <w:spacing w:after="220" w:line="240" w:lineRule="auto"/>
        <w:contextualSpacing/>
        <w:jc w:val="both"/>
        <w:rPr>
          <w:sz w:val="24"/>
        </w:rPr>
      </w:pPr>
      <w:r w:rsidRPr="000D2B3A">
        <w:rPr>
          <w:sz w:val="24"/>
        </w:rPr>
        <w:t xml:space="preserve">Doba použitelnosti po prvním otevření </w:t>
      </w:r>
      <w:r w:rsidR="00915E39">
        <w:rPr>
          <w:sz w:val="24"/>
        </w:rPr>
        <w:t>vnitřního obalu</w:t>
      </w:r>
      <w:r w:rsidRPr="000D2B3A">
        <w:rPr>
          <w:sz w:val="24"/>
        </w:rPr>
        <w:t>: 28 dnů</w:t>
      </w:r>
      <w:r w:rsidR="00915E39">
        <w:rPr>
          <w:sz w:val="24"/>
        </w:rPr>
        <w:t>.</w:t>
      </w:r>
    </w:p>
    <w:p w:rsidR="0071065C" w:rsidRPr="000D2B3A" w:rsidRDefault="0071065C" w:rsidP="000D2B3A">
      <w:pPr>
        <w:spacing w:after="220" w:line="240" w:lineRule="auto"/>
        <w:contextualSpacing/>
        <w:rPr>
          <w:sz w:val="24"/>
          <w:szCs w:val="24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rPr>
          <w:b/>
          <w:szCs w:val="22"/>
        </w:rPr>
      </w:pPr>
      <w:r w:rsidRPr="000D2B3A">
        <w:rPr>
          <w:b/>
          <w:highlight w:val="lightGray"/>
        </w:rPr>
        <w:t>12.</w:t>
      </w:r>
      <w:r w:rsidRPr="000D2B3A">
        <w:rPr>
          <w:b/>
        </w:rPr>
        <w:tab/>
        <w:t>ZVLÁŠTNÍ UPOZORNĚNÍ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9C07C9">
      <w:pPr>
        <w:keepNext/>
        <w:keepLines/>
        <w:spacing w:before="120" w:after="80"/>
        <w:jc w:val="both"/>
        <w:outlineLvl w:val="2"/>
        <w:rPr>
          <w:bCs/>
          <w:kern w:val="28"/>
          <w:sz w:val="24"/>
          <w:szCs w:val="24"/>
          <w:u w:val="single"/>
        </w:rPr>
      </w:pPr>
      <w:bookmarkStart w:id="5" w:name="_Hlk75157127"/>
      <w:r w:rsidRPr="000D2B3A">
        <w:rPr>
          <w:kern w:val="28"/>
          <w:sz w:val="24"/>
          <w:u w:val="single"/>
        </w:rPr>
        <w:t>Zvláštní upozornění pro každý cílový druh</w:t>
      </w:r>
      <w:r w:rsidR="00D1365E">
        <w:rPr>
          <w:kern w:val="28"/>
          <w:sz w:val="24"/>
          <w:u w:val="single"/>
        </w:rPr>
        <w:t>:</w:t>
      </w:r>
      <w:r w:rsidRPr="000D2B3A">
        <w:rPr>
          <w:kern w:val="28"/>
          <w:sz w:val="24"/>
          <w:u w:val="single"/>
        </w:rPr>
        <w:t xml:space="preserve"> </w:t>
      </w:r>
    </w:p>
    <w:p w:rsidR="000D2B3A" w:rsidRDefault="000D2B3A" w:rsidP="009C07C9">
      <w:pPr>
        <w:spacing w:after="220" w:line="240" w:lineRule="auto"/>
        <w:contextualSpacing/>
        <w:jc w:val="both"/>
        <w:rPr>
          <w:sz w:val="24"/>
        </w:rPr>
      </w:pPr>
      <w:r w:rsidRPr="000D2B3A">
        <w:rPr>
          <w:sz w:val="24"/>
        </w:rPr>
        <w:t xml:space="preserve">Nejsou. </w:t>
      </w:r>
    </w:p>
    <w:p w:rsidR="0071065C" w:rsidRPr="000D2B3A" w:rsidRDefault="0071065C" w:rsidP="009C07C9">
      <w:pPr>
        <w:spacing w:after="220" w:line="240" w:lineRule="auto"/>
        <w:contextualSpacing/>
        <w:jc w:val="both"/>
        <w:rPr>
          <w:sz w:val="24"/>
          <w:szCs w:val="24"/>
        </w:rPr>
      </w:pPr>
    </w:p>
    <w:bookmarkEnd w:id="5"/>
    <w:p w:rsidR="000D2B3A" w:rsidRPr="000D2B3A" w:rsidRDefault="000D2B3A" w:rsidP="009C07C9">
      <w:pPr>
        <w:tabs>
          <w:tab w:val="clear" w:pos="567"/>
        </w:tabs>
        <w:spacing w:line="240" w:lineRule="auto"/>
        <w:jc w:val="both"/>
        <w:rPr>
          <w:sz w:val="24"/>
          <w:szCs w:val="24"/>
        </w:rPr>
      </w:pPr>
      <w:r w:rsidRPr="000D2B3A">
        <w:rPr>
          <w:sz w:val="24"/>
          <w:u w:val="single"/>
        </w:rPr>
        <w:t>Zvláštní opatření pro použití u zvířat</w:t>
      </w:r>
      <w:r w:rsidRPr="000D2B3A">
        <w:rPr>
          <w:sz w:val="24"/>
        </w:rPr>
        <w:t>:</w:t>
      </w:r>
    </w:p>
    <w:p w:rsidR="009338CB" w:rsidRPr="00B732E0" w:rsidRDefault="009338CB" w:rsidP="009338CB">
      <w:pPr>
        <w:tabs>
          <w:tab w:val="clear" w:pos="567"/>
        </w:tabs>
        <w:spacing w:line="240" w:lineRule="auto"/>
        <w:rPr>
          <w:sz w:val="24"/>
          <w:szCs w:val="24"/>
        </w:rPr>
      </w:pPr>
      <w:bookmarkStart w:id="6" w:name="_Hlk43114928"/>
      <w:r>
        <w:rPr>
          <w:sz w:val="24"/>
        </w:rPr>
        <w:t xml:space="preserve">Odpověď na dlouhodobou terapii musí v pravidelných intervalech sledovat veterinární lékař. Při použití kortikosteroidů u koní byly hlášeny případy </w:t>
      </w:r>
      <w:proofErr w:type="spellStart"/>
      <w:r>
        <w:rPr>
          <w:sz w:val="24"/>
        </w:rPr>
        <w:t>laminitidy</w:t>
      </w:r>
      <w:proofErr w:type="spellEnd"/>
      <w:r>
        <w:rPr>
          <w:sz w:val="24"/>
        </w:rPr>
        <w:t xml:space="preserve">. </w:t>
      </w:r>
      <w:r w:rsidRPr="00B732E0">
        <w:rPr>
          <w:sz w:val="24"/>
          <w:szCs w:val="24"/>
        </w:rPr>
        <w:t>Proto by koně léčení těmito přípravky měli být během léčby často sledováni.</w:t>
      </w:r>
    </w:p>
    <w:p w:rsidR="009338CB" w:rsidRPr="00B732E0" w:rsidRDefault="009338CB" w:rsidP="009338CB">
      <w:pPr>
        <w:pStyle w:val="BODY"/>
        <w:jc w:val="both"/>
        <w:rPr>
          <w:sz w:val="24"/>
          <w:szCs w:val="24"/>
        </w:rPr>
      </w:pPr>
      <w:bookmarkStart w:id="7" w:name="_Hlk3284851"/>
      <w:r>
        <w:rPr>
          <w:sz w:val="24"/>
        </w:rPr>
        <w:t>Vzhledem k farmakologickým vlastnostem léčivé látky je při použití přípravku u zvířat s oslabeným imunitním systémem nutno postupovat opatrně.</w:t>
      </w:r>
      <w:bookmarkEnd w:id="7"/>
      <w:r>
        <w:rPr>
          <w:sz w:val="24"/>
        </w:rPr>
        <w:t xml:space="preserve">  </w:t>
      </w:r>
      <w:r w:rsidRPr="00B732E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B732E0">
        <w:rPr>
          <w:sz w:val="24"/>
          <w:szCs w:val="24"/>
        </w:rPr>
        <w:t>výjimkou případů ketózy má podávání kortikosteroidů spíše navodit zlepšení klinických příznaků než vyléčení.</w:t>
      </w:r>
    </w:p>
    <w:p w:rsidR="009338CB" w:rsidRPr="008102BA" w:rsidRDefault="009338CB" w:rsidP="009338CB">
      <w:pPr>
        <w:tabs>
          <w:tab w:val="clear" w:pos="567"/>
        </w:tabs>
        <w:spacing w:line="240" w:lineRule="auto"/>
        <w:rPr>
          <w:szCs w:val="22"/>
        </w:rPr>
      </w:pPr>
      <w:bookmarkStart w:id="8" w:name="_Hlk81218707"/>
      <w:r>
        <w:rPr>
          <w:szCs w:val="22"/>
        </w:rPr>
        <w:t>M</w:t>
      </w:r>
      <w:r w:rsidRPr="008102BA">
        <w:rPr>
          <w:szCs w:val="22"/>
        </w:rPr>
        <w:t xml:space="preserve">ělo </w:t>
      </w:r>
      <w:r>
        <w:rPr>
          <w:szCs w:val="22"/>
        </w:rPr>
        <w:t xml:space="preserve">by </w:t>
      </w:r>
      <w:r w:rsidRPr="008102BA">
        <w:rPr>
          <w:szCs w:val="22"/>
        </w:rPr>
        <w:t xml:space="preserve">být </w:t>
      </w:r>
      <w:r>
        <w:rPr>
          <w:szCs w:val="22"/>
        </w:rPr>
        <w:t>také</w:t>
      </w:r>
      <w:r w:rsidRPr="008102BA">
        <w:rPr>
          <w:szCs w:val="22"/>
        </w:rPr>
        <w:t xml:space="preserve"> vyšetřeno</w:t>
      </w:r>
      <w:r>
        <w:rPr>
          <w:szCs w:val="22"/>
        </w:rPr>
        <w:t xml:space="preserve"> výchozí</w:t>
      </w:r>
      <w:r w:rsidRPr="008102BA">
        <w:rPr>
          <w:szCs w:val="22"/>
        </w:rPr>
        <w:t xml:space="preserve"> onemocnění</w:t>
      </w:r>
      <w:bookmarkEnd w:id="8"/>
      <w:r w:rsidRPr="008102BA">
        <w:rPr>
          <w:szCs w:val="22"/>
        </w:rPr>
        <w:t>.</w:t>
      </w:r>
    </w:p>
    <w:p w:rsidR="009338CB" w:rsidRDefault="009338CB" w:rsidP="009338CB">
      <w:pPr>
        <w:pStyle w:val="BODY"/>
        <w:jc w:val="both"/>
        <w:rPr>
          <w:sz w:val="24"/>
          <w:szCs w:val="24"/>
        </w:rPr>
      </w:pPr>
    </w:p>
    <w:p w:rsidR="009338CB" w:rsidRDefault="009338CB" w:rsidP="009338CB">
      <w:pPr>
        <w:pStyle w:val="BODY"/>
        <w:jc w:val="both"/>
        <w:rPr>
          <w:sz w:val="24"/>
          <w:szCs w:val="24"/>
        </w:rPr>
      </w:pPr>
      <w:r>
        <w:rPr>
          <w:sz w:val="24"/>
        </w:rPr>
        <w:t xml:space="preserve">Po </w:t>
      </w:r>
      <w:proofErr w:type="spellStart"/>
      <w:r>
        <w:rPr>
          <w:sz w:val="24"/>
        </w:rPr>
        <w:t>intraartikulárním</w:t>
      </w:r>
      <w:proofErr w:type="spellEnd"/>
      <w:r>
        <w:rPr>
          <w:sz w:val="24"/>
        </w:rPr>
        <w:t xml:space="preserve"> podání je nutné po dobu jednoho měsíce minimalizovat používání kloubu a po dobu osmi týdnů od použití této cesty podání není vhodné provádět chirurgické zákroky na daném kloubu.</w:t>
      </w:r>
    </w:p>
    <w:p w:rsidR="009338CB" w:rsidRDefault="009338CB" w:rsidP="009338CB">
      <w:pPr>
        <w:pStyle w:val="BODY"/>
        <w:jc w:val="both"/>
        <w:rPr>
          <w:sz w:val="24"/>
          <w:szCs w:val="24"/>
        </w:rPr>
      </w:pPr>
      <w:r>
        <w:rPr>
          <w:sz w:val="24"/>
        </w:rPr>
        <w:t xml:space="preserve">Je třeba dbát na to, aby nedošlo k předávkování </w:t>
      </w:r>
      <w:bookmarkStart w:id="9" w:name="_Hlk80624513"/>
      <w:r>
        <w:rPr>
          <w:sz w:val="24"/>
        </w:rPr>
        <w:t>u plemen skotu</w:t>
      </w:r>
      <w:bookmarkEnd w:id="9"/>
      <w:r>
        <w:rPr>
          <w:sz w:val="24"/>
        </w:rPr>
        <w:t xml:space="preserve"> Normanských ostrovů. </w:t>
      </w:r>
    </w:p>
    <w:bookmarkEnd w:id="6"/>
    <w:p w:rsidR="000D2B3A" w:rsidRPr="000D2B3A" w:rsidRDefault="000D2B3A" w:rsidP="009C07C9">
      <w:pPr>
        <w:tabs>
          <w:tab w:val="clear" w:pos="567"/>
        </w:tabs>
        <w:spacing w:line="240" w:lineRule="auto"/>
        <w:jc w:val="both"/>
        <w:rPr>
          <w:sz w:val="24"/>
          <w:szCs w:val="24"/>
          <w:u w:val="single"/>
        </w:rPr>
      </w:pPr>
    </w:p>
    <w:p w:rsidR="000D2B3A" w:rsidRPr="000D2B3A" w:rsidRDefault="000D2B3A" w:rsidP="009C07C9">
      <w:pPr>
        <w:keepNext/>
        <w:tabs>
          <w:tab w:val="clear" w:pos="567"/>
        </w:tabs>
        <w:spacing w:line="240" w:lineRule="auto"/>
        <w:jc w:val="both"/>
        <w:rPr>
          <w:sz w:val="24"/>
          <w:szCs w:val="24"/>
        </w:rPr>
      </w:pPr>
      <w:r w:rsidRPr="000D2B3A">
        <w:rPr>
          <w:sz w:val="24"/>
          <w:u w:val="single"/>
        </w:rPr>
        <w:t>Zvláštní opatření určené osobám, které podávají veterinární léčivý přípravek zvířatům</w:t>
      </w:r>
      <w:r w:rsidRPr="000D2B3A">
        <w:rPr>
          <w:sz w:val="24"/>
        </w:rPr>
        <w:t>:</w:t>
      </w:r>
    </w:p>
    <w:p w:rsidR="000D2B3A" w:rsidRPr="000D2B3A" w:rsidRDefault="000D2B3A" w:rsidP="009C07C9">
      <w:pPr>
        <w:spacing w:after="220" w:line="240" w:lineRule="auto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Tento přípravek obsahuje </w:t>
      </w:r>
      <w:proofErr w:type="spellStart"/>
      <w:r w:rsidRPr="000D2B3A">
        <w:rPr>
          <w:sz w:val="24"/>
        </w:rPr>
        <w:t>dexamethason</w:t>
      </w:r>
      <w:proofErr w:type="spellEnd"/>
      <w:r w:rsidRPr="000D2B3A">
        <w:rPr>
          <w:sz w:val="24"/>
        </w:rPr>
        <w:t xml:space="preserve">, který může u některých lidí vyvolat alergické reakce. </w:t>
      </w:r>
      <w:r w:rsidR="000E677F">
        <w:rPr>
          <w:sz w:val="24"/>
        </w:rPr>
        <w:t>Zabraňte n</w:t>
      </w:r>
      <w:r w:rsidRPr="000D2B3A">
        <w:rPr>
          <w:sz w:val="24"/>
        </w:rPr>
        <w:t xml:space="preserve">áhodnému </w:t>
      </w:r>
      <w:proofErr w:type="spellStart"/>
      <w:r w:rsidRPr="000D2B3A">
        <w:rPr>
          <w:sz w:val="24"/>
        </w:rPr>
        <w:t>s</w:t>
      </w:r>
      <w:r w:rsidR="000E677F">
        <w:rPr>
          <w:sz w:val="24"/>
        </w:rPr>
        <w:t>amopodání</w:t>
      </w:r>
      <w:proofErr w:type="spellEnd"/>
      <w:r w:rsidR="000E677F">
        <w:rPr>
          <w:sz w:val="24"/>
        </w:rPr>
        <w:t xml:space="preserve"> injekce</w:t>
      </w:r>
      <w:r w:rsidRPr="000D2B3A">
        <w:rPr>
          <w:sz w:val="24"/>
        </w:rPr>
        <w:t>. V</w:t>
      </w:r>
      <w:r w:rsidR="000E677F">
        <w:rPr>
          <w:sz w:val="24"/>
        </w:rPr>
        <w:t> </w:t>
      </w:r>
      <w:r w:rsidRPr="000D2B3A">
        <w:rPr>
          <w:sz w:val="24"/>
        </w:rPr>
        <w:t>případě náhodného sebepoškození injekčně aplikovaným přípravkem vyhledejte ihned lékařskou pomoc a ukažte příbalovou informaci nebo etiketu praktickému lékaři.</w:t>
      </w:r>
    </w:p>
    <w:p w:rsidR="000D2B3A" w:rsidRPr="000D2B3A" w:rsidRDefault="000D2B3A" w:rsidP="009C07C9">
      <w:pPr>
        <w:spacing w:after="220" w:line="240" w:lineRule="auto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Lidé se známou přecitlivělostí na </w:t>
      </w:r>
      <w:proofErr w:type="spellStart"/>
      <w:r w:rsidRPr="000D2B3A">
        <w:rPr>
          <w:sz w:val="24"/>
        </w:rPr>
        <w:t>dexamethason</w:t>
      </w:r>
      <w:proofErr w:type="spellEnd"/>
      <w:r w:rsidRPr="000D2B3A">
        <w:rPr>
          <w:sz w:val="24"/>
        </w:rPr>
        <w:t xml:space="preserve"> by se měli vyhnout kontaktu s veterinárním léčivým přípravkem.</w:t>
      </w:r>
    </w:p>
    <w:p w:rsidR="000D2B3A" w:rsidRPr="000D2B3A" w:rsidRDefault="000D2B3A" w:rsidP="009C07C9">
      <w:pPr>
        <w:spacing w:after="220" w:line="240" w:lineRule="auto"/>
        <w:contextualSpacing/>
        <w:jc w:val="both"/>
        <w:rPr>
          <w:sz w:val="24"/>
          <w:szCs w:val="24"/>
        </w:rPr>
      </w:pPr>
      <w:proofErr w:type="spellStart"/>
      <w:r w:rsidRPr="000D2B3A">
        <w:rPr>
          <w:sz w:val="24"/>
        </w:rPr>
        <w:t>Dexamethason</w:t>
      </w:r>
      <w:proofErr w:type="spellEnd"/>
      <w:r w:rsidRPr="000D2B3A">
        <w:rPr>
          <w:sz w:val="24"/>
        </w:rPr>
        <w:t xml:space="preserve"> může ovlivnit plodnost nebo lidský plod. Aby se předešlo riziku náhodného sebepoškození injekčně aplikovaným přípravkem, neměly by s tímto přípravkem manipulovat těhotné ženy.</w:t>
      </w:r>
    </w:p>
    <w:p w:rsidR="000D2B3A" w:rsidRDefault="000D2B3A" w:rsidP="009C07C9">
      <w:pPr>
        <w:spacing w:after="220" w:line="240" w:lineRule="auto"/>
        <w:contextualSpacing/>
        <w:jc w:val="both"/>
        <w:rPr>
          <w:sz w:val="24"/>
        </w:rPr>
      </w:pPr>
      <w:r w:rsidRPr="000D2B3A">
        <w:rPr>
          <w:sz w:val="24"/>
        </w:rPr>
        <w:t>Přípravek dráždí kůži a oči. Zabraňte kontaktu přípravku s kůží a očima. V případě náhodného kontaktu přípravku s kůží nebo očima umyjte/</w:t>
      </w:r>
      <w:r w:rsidR="000E677F">
        <w:rPr>
          <w:sz w:val="24"/>
        </w:rPr>
        <w:t>vy</w:t>
      </w:r>
      <w:r w:rsidRPr="000D2B3A">
        <w:rPr>
          <w:sz w:val="24"/>
        </w:rPr>
        <w:t>pláchněte postižené místo čistou tekoucí vodou. Pokud podráždění přetrvá, vyhledejte lékařskou pomoc. Po použití si umyjte ruce.</w:t>
      </w:r>
    </w:p>
    <w:p w:rsidR="000E677F" w:rsidRPr="000D2B3A" w:rsidRDefault="000E677F" w:rsidP="009C07C9">
      <w:pPr>
        <w:spacing w:after="220" w:line="240" w:lineRule="auto"/>
        <w:contextualSpacing/>
        <w:jc w:val="both"/>
        <w:rPr>
          <w:sz w:val="24"/>
          <w:szCs w:val="24"/>
        </w:rPr>
      </w:pPr>
    </w:p>
    <w:p w:rsidR="000D2B3A" w:rsidRPr="000D2B3A" w:rsidRDefault="000D2B3A" w:rsidP="009C07C9">
      <w:pPr>
        <w:tabs>
          <w:tab w:val="clear" w:pos="567"/>
        </w:tabs>
        <w:spacing w:line="240" w:lineRule="auto"/>
        <w:jc w:val="both"/>
        <w:rPr>
          <w:sz w:val="24"/>
          <w:szCs w:val="24"/>
        </w:rPr>
      </w:pPr>
      <w:r w:rsidRPr="000D2B3A">
        <w:rPr>
          <w:sz w:val="24"/>
          <w:u w:val="single"/>
        </w:rPr>
        <w:t>Březost a laktace</w:t>
      </w:r>
      <w:r w:rsidRPr="000D2B3A">
        <w:rPr>
          <w:sz w:val="24"/>
        </w:rPr>
        <w:t>:</w:t>
      </w:r>
    </w:p>
    <w:p w:rsidR="000D2B3A" w:rsidRPr="000D2B3A" w:rsidRDefault="000D2B3A" w:rsidP="009C07C9">
      <w:pPr>
        <w:spacing w:line="240" w:lineRule="auto"/>
        <w:jc w:val="both"/>
        <w:rPr>
          <w:sz w:val="24"/>
          <w:szCs w:val="24"/>
        </w:rPr>
      </w:pPr>
      <w:r w:rsidRPr="000D2B3A">
        <w:rPr>
          <w:sz w:val="24"/>
        </w:rPr>
        <w:t xml:space="preserve">Kromě použití veterinárního léčivého přípravku k indukci porodu u skotu se kortikosteroidy </w:t>
      </w:r>
      <w:r w:rsidR="00997B0A" w:rsidRPr="000D2B3A">
        <w:rPr>
          <w:sz w:val="24"/>
        </w:rPr>
        <w:t>u</w:t>
      </w:r>
      <w:r w:rsidR="00997B0A">
        <w:rPr>
          <w:sz w:val="24"/>
        </w:rPr>
        <w:t> </w:t>
      </w:r>
      <w:r w:rsidRPr="000D2B3A">
        <w:rPr>
          <w:sz w:val="24"/>
        </w:rPr>
        <w:t xml:space="preserve">březích zvířat nedoporučují. Je známo, že podávání v rané fázi březosti způsobilo </w:t>
      </w:r>
      <w:r w:rsidR="00997B0A" w:rsidRPr="000D2B3A">
        <w:rPr>
          <w:sz w:val="24"/>
        </w:rPr>
        <w:t>u</w:t>
      </w:r>
      <w:r w:rsidR="00997B0A">
        <w:rPr>
          <w:sz w:val="24"/>
        </w:rPr>
        <w:t> </w:t>
      </w:r>
      <w:r w:rsidRPr="000D2B3A">
        <w:rPr>
          <w:sz w:val="24"/>
        </w:rPr>
        <w:t xml:space="preserve">laboratorních zvířat abnormality plodu. Podávání v pozdní březosti může způsobit předčasný porod nebo potrat. Používání kortikosteroidů u </w:t>
      </w:r>
      <w:proofErr w:type="spellStart"/>
      <w:r w:rsidRPr="000D2B3A">
        <w:rPr>
          <w:sz w:val="24"/>
        </w:rPr>
        <w:t>laktujících</w:t>
      </w:r>
      <w:proofErr w:type="spellEnd"/>
      <w:r w:rsidRPr="000D2B3A">
        <w:rPr>
          <w:sz w:val="24"/>
        </w:rPr>
        <w:t xml:space="preserve"> krav a koz může způsobit dočasné snížení dojivosti.</w:t>
      </w:r>
    </w:p>
    <w:p w:rsidR="000D2B3A" w:rsidRPr="000D2B3A" w:rsidRDefault="000D2B3A" w:rsidP="009C07C9">
      <w:pPr>
        <w:spacing w:line="240" w:lineRule="auto"/>
        <w:jc w:val="both"/>
        <w:rPr>
          <w:sz w:val="24"/>
          <w:szCs w:val="24"/>
        </w:rPr>
      </w:pPr>
      <w:r w:rsidRPr="000D2B3A">
        <w:rPr>
          <w:sz w:val="24"/>
          <w:szCs w:val="24"/>
        </w:rPr>
        <w:t>U zvířat v období laktace použít veterinární léčivý přípravek pouze po zvážení terapeutického prospěchu a rizika příslušným veterinárním lékařem.</w:t>
      </w:r>
    </w:p>
    <w:p w:rsidR="000D2B3A" w:rsidRDefault="000D2B3A" w:rsidP="009C07C9">
      <w:pPr>
        <w:spacing w:after="220" w:line="240" w:lineRule="auto"/>
        <w:contextualSpacing/>
        <w:jc w:val="both"/>
        <w:rPr>
          <w:sz w:val="24"/>
          <w:szCs w:val="24"/>
        </w:rPr>
      </w:pPr>
      <w:r w:rsidRPr="000D2B3A">
        <w:rPr>
          <w:sz w:val="24"/>
          <w:szCs w:val="24"/>
        </w:rPr>
        <w:t xml:space="preserve">Viz také část nežádoucí účinky. </w:t>
      </w:r>
    </w:p>
    <w:p w:rsidR="00D1365E" w:rsidRPr="000D2B3A" w:rsidRDefault="00D1365E" w:rsidP="009C07C9">
      <w:pPr>
        <w:spacing w:after="220" w:line="240" w:lineRule="auto"/>
        <w:contextualSpacing/>
        <w:jc w:val="both"/>
        <w:rPr>
          <w:sz w:val="24"/>
          <w:szCs w:val="24"/>
        </w:rPr>
      </w:pPr>
    </w:p>
    <w:p w:rsidR="000D2B3A" w:rsidRPr="000D2B3A" w:rsidRDefault="000D2B3A" w:rsidP="009C07C9">
      <w:pPr>
        <w:tabs>
          <w:tab w:val="clear" w:pos="567"/>
        </w:tabs>
        <w:spacing w:line="240" w:lineRule="auto"/>
        <w:jc w:val="both"/>
        <w:rPr>
          <w:sz w:val="24"/>
          <w:szCs w:val="24"/>
        </w:rPr>
      </w:pPr>
      <w:r w:rsidRPr="000D2B3A">
        <w:rPr>
          <w:sz w:val="24"/>
          <w:u w:val="single"/>
        </w:rPr>
        <w:t>Interakce s dalšími léčivými přípravky a další formy interakce:</w:t>
      </w:r>
    </w:p>
    <w:p w:rsidR="000D2B3A" w:rsidRPr="000D2B3A" w:rsidRDefault="000D2B3A" w:rsidP="009C07C9">
      <w:pPr>
        <w:spacing w:after="220" w:line="240" w:lineRule="auto"/>
        <w:contextualSpacing/>
        <w:jc w:val="both"/>
        <w:rPr>
          <w:sz w:val="24"/>
          <w:szCs w:val="24"/>
        </w:rPr>
      </w:pPr>
      <w:r w:rsidRPr="000D2B3A">
        <w:rPr>
          <w:sz w:val="24"/>
        </w:rPr>
        <w:lastRenderedPageBreak/>
        <w:t>Současné užívání s nesteroidními protizánětlivými l</w:t>
      </w:r>
      <w:r w:rsidR="009338CB">
        <w:rPr>
          <w:sz w:val="24"/>
        </w:rPr>
        <w:t>átkami</w:t>
      </w:r>
      <w:r w:rsidRPr="000D2B3A">
        <w:rPr>
          <w:sz w:val="24"/>
        </w:rPr>
        <w:t xml:space="preserve"> (NSAID) může zhoršit ulcerace gastrointestinálního traktu.</w:t>
      </w:r>
    </w:p>
    <w:p w:rsidR="000D2B3A" w:rsidRPr="000D2B3A" w:rsidRDefault="000D2B3A" w:rsidP="009C07C9">
      <w:pPr>
        <w:spacing w:after="220" w:line="240" w:lineRule="auto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Jelikož kortikosteroidy mohou vést ke snížení imunitní odpovědi na vakcinaci, nepoužívejte </w:t>
      </w:r>
      <w:proofErr w:type="spellStart"/>
      <w:r w:rsidRPr="000D2B3A">
        <w:rPr>
          <w:sz w:val="24"/>
        </w:rPr>
        <w:t>dexamethason</w:t>
      </w:r>
      <w:proofErr w:type="spellEnd"/>
      <w:r w:rsidRPr="000D2B3A">
        <w:rPr>
          <w:sz w:val="24"/>
        </w:rPr>
        <w:t xml:space="preserve"> v kombinaci s vakcínami ani po dobu dvou týdnů od vakcinace. Podávání </w:t>
      </w:r>
      <w:proofErr w:type="spellStart"/>
      <w:r w:rsidRPr="000D2B3A">
        <w:rPr>
          <w:sz w:val="24"/>
        </w:rPr>
        <w:t>dexamethasonu</w:t>
      </w:r>
      <w:proofErr w:type="spellEnd"/>
      <w:r w:rsidRPr="000D2B3A">
        <w:rPr>
          <w:sz w:val="24"/>
        </w:rPr>
        <w:t xml:space="preserve"> může navodit </w:t>
      </w:r>
      <w:proofErr w:type="spellStart"/>
      <w:r w:rsidRPr="000D2B3A">
        <w:rPr>
          <w:sz w:val="24"/>
        </w:rPr>
        <w:t>hypokalémii</w:t>
      </w:r>
      <w:proofErr w:type="spellEnd"/>
      <w:r w:rsidRPr="000D2B3A">
        <w:rPr>
          <w:sz w:val="24"/>
        </w:rPr>
        <w:t xml:space="preserve"> a tím zvýšit riziko toxicity srdečních glykosidů. Riziko </w:t>
      </w:r>
      <w:proofErr w:type="spellStart"/>
      <w:r w:rsidRPr="000D2B3A">
        <w:rPr>
          <w:sz w:val="24"/>
        </w:rPr>
        <w:t>hypokalémie</w:t>
      </w:r>
      <w:proofErr w:type="spellEnd"/>
      <w:r w:rsidRPr="000D2B3A">
        <w:rPr>
          <w:sz w:val="24"/>
        </w:rPr>
        <w:t xml:space="preserve"> se může zvýšit při podání </w:t>
      </w:r>
      <w:proofErr w:type="spellStart"/>
      <w:r w:rsidRPr="000D2B3A">
        <w:rPr>
          <w:sz w:val="24"/>
        </w:rPr>
        <w:t>dexamethasonu</w:t>
      </w:r>
      <w:proofErr w:type="spellEnd"/>
      <w:r w:rsidRPr="000D2B3A">
        <w:rPr>
          <w:sz w:val="24"/>
        </w:rPr>
        <w:t xml:space="preserve"> v kombinaci s diuretiky vedoucími k depleci draslíku. </w:t>
      </w:r>
    </w:p>
    <w:p w:rsidR="000D2B3A" w:rsidRPr="000D2B3A" w:rsidRDefault="000D2B3A" w:rsidP="009C07C9">
      <w:pPr>
        <w:spacing w:after="220" w:line="240" w:lineRule="auto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Souběžné použití s </w:t>
      </w:r>
      <w:proofErr w:type="spellStart"/>
      <w:r w:rsidRPr="000D2B3A">
        <w:rPr>
          <w:sz w:val="24"/>
        </w:rPr>
        <w:t>anticholinesterázou</w:t>
      </w:r>
      <w:proofErr w:type="spellEnd"/>
      <w:r w:rsidRPr="000D2B3A">
        <w:rPr>
          <w:sz w:val="24"/>
        </w:rPr>
        <w:t xml:space="preserve"> může zhoršit svalovou slabost u pacientů s </w:t>
      </w:r>
      <w:proofErr w:type="spellStart"/>
      <w:r w:rsidRPr="000D2B3A">
        <w:rPr>
          <w:sz w:val="24"/>
        </w:rPr>
        <w:t>myasthenia</w:t>
      </w:r>
      <w:proofErr w:type="spellEnd"/>
      <w:r w:rsidRPr="000D2B3A">
        <w:rPr>
          <w:sz w:val="24"/>
        </w:rPr>
        <w:t xml:space="preserve"> gravis.  </w:t>
      </w:r>
    </w:p>
    <w:p w:rsidR="000D2B3A" w:rsidRPr="000D2B3A" w:rsidRDefault="000D2B3A" w:rsidP="009C07C9">
      <w:pPr>
        <w:spacing w:after="220" w:line="240" w:lineRule="auto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Glukokortikoidy působí jako antagonisté insulinu. </w:t>
      </w:r>
    </w:p>
    <w:p w:rsidR="000D2B3A" w:rsidRDefault="000D2B3A" w:rsidP="009C07C9">
      <w:pPr>
        <w:spacing w:after="220" w:line="240" w:lineRule="auto"/>
        <w:contextualSpacing/>
        <w:jc w:val="both"/>
        <w:rPr>
          <w:sz w:val="24"/>
        </w:rPr>
      </w:pPr>
      <w:r w:rsidRPr="000D2B3A">
        <w:rPr>
          <w:sz w:val="24"/>
        </w:rPr>
        <w:t xml:space="preserve">Souběžné použití s fenobarbitalem, </w:t>
      </w:r>
      <w:proofErr w:type="spellStart"/>
      <w:r w:rsidRPr="000D2B3A">
        <w:rPr>
          <w:sz w:val="24"/>
        </w:rPr>
        <w:t>fenytoinem</w:t>
      </w:r>
      <w:proofErr w:type="spellEnd"/>
      <w:r w:rsidRPr="000D2B3A">
        <w:rPr>
          <w:sz w:val="24"/>
        </w:rPr>
        <w:t xml:space="preserve"> a </w:t>
      </w:r>
      <w:proofErr w:type="spellStart"/>
      <w:r w:rsidRPr="000D2B3A">
        <w:rPr>
          <w:sz w:val="24"/>
        </w:rPr>
        <w:t>rifampicinem</w:t>
      </w:r>
      <w:proofErr w:type="spellEnd"/>
      <w:r w:rsidRPr="000D2B3A">
        <w:rPr>
          <w:sz w:val="24"/>
        </w:rPr>
        <w:t xml:space="preserve"> může snížit účinky </w:t>
      </w:r>
      <w:proofErr w:type="spellStart"/>
      <w:r w:rsidRPr="000D2B3A">
        <w:rPr>
          <w:sz w:val="24"/>
        </w:rPr>
        <w:t>dexamethasonu</w:t>
      </w:r>
      <w:proofErr w:type="spellEnd"/>
      <w:r w:rsidRPr="000D2B3A">
        <w:rPr>
          <w:sz w:val="24"/>
        </w:rPr>
        <w:t>.</w:t>
      </w:r>
    </w:p>
    <w:p w:rsidR="0071065C" w:rsidRPr="000D2B3A" w:rsidRDefault="0071065C" w:rsidP="009C07C9">
      <w:pPr>
        <w:spacing w:after="220" w:line="240" w:lineRule="auto"/>
        <w:contextualSpacing/>
        <w:jc w:val="both"/>
        <w:rPr>
          <w:sz w:val="24"/>
          <w:szCs w:val="24"/>
        </w:rPr>
      </w:pPr>
    </w:p>
    <w:p w:rsidR="000D2B3A" w:rsidRPr="000D2B3A" w:rsidRDefault="000D2B3A" w:rsidP="009C07C9">
      <w:pPr>
        <w:tabs>
          <w:tab w:val="clear" w:pos="567"/>
        </w:tabs>
        <w:spacing w:line="240" w:lineRule="auto"/>
        <w:jc w:val="both"/>
        <w:rPr>
          <w:sz w:val="24"/>
          <w:szCs w:val="24"/>
        </w:rPr>
      </w:pPr>
      <w:r w:rsidRPr="000D2B3A">
        <w:rPr>
          <w:sz w:val="24"/>
          <w:u w:val="single"/>
        </w:rPr>
        <w:t xml:space="preserve">Předávkování (symptomy, první pomoc, </w:t>
      </w:r>
      <w:proofErr w:type="spellStart"/>
      <w:r w:rsidRPr="000D2B3A">
        <w:rPr>
          <w:sz w:val="24"/>
          <w:u w:val="single"/>
        </w:rPr>
        <w:t>antidota</w:t>
      </w:r>
      <w:proofErr w:type="spellEnd"/>
      <w:r w:rsidRPr="000D2B3A">
        <w:rPr>
          <w:sz w:val="24"/>
          <w:u w:val="single"/>
        </w:rPr>
        <w:t>)</w:t>
      </w:r>
      <w:r w:rsidRPr="000D2B3A">
        <w:rPr>
          <w:sz w:val="24"/>
        </w:rPr>
        <w:t>:</w:t>
      </w:r>
    </w:p>
    <w:p w:rsidR="000D2B3A" w:rsidRPr="000D2B3A" w:rsidRDefault="000D2B3A" w:rsidP="009C07C9">
      <w:pPr>
        <w:autoSpaceDE w:val="0"/>
        <w:autoSpaceDN w:val="0"/>
        <w:adjustRightInd w:val="0"/>
        <w:jc w:val="both"/>
        <w:rPr>
          <w:b/>
          <w:szCs w:val="24"/>
        </w:rPr>
      </w:pPr>
      <w:r w:rsidRPr="000D2B3A">
        <w:rPr>
          <w:sz w:val="24"/>
        </w:rPr>
        <w:t>Vysoké dávky mohou u koní způsobit apatii a netečnost.</w:t>
      </w:r>
      <w:r w:rsidRPr="000D2B3A">
        <w:rPr>
          <w:b/>
        </w:rPr>
        <w:t xml:space="preserve"> </w:t>
      </w:r>
      <w:r w:rsidRPr="000D2B3A">
        <w:rPr>
          <w:sz w:val="24"/>
        </w:rPr>
        <w:t>Viz část nežádoucí účinky.</w:t>
      </w:r>
      <w:r w:rsidRPr="000D2B3A">
        <w:rPr>
          <w:b/>
        </w:rPr>
        <w:t xml:space="preserve"> </w:t>
      </w:r>
    </w:p>
    <w:p w:rsidR="000D2B3A" w:rsidRPr="000D2B3A" w:rsidRDefault="000D2B3A" w:rsidP="009C07C9">
      <w:pPr>
        <w:jc w:val="both"/>
      </w:pPr>
    </w:p>
    <w:p w:rsidR="000D2B3A" w:rsidRPr="000D2B3A" w:rsidRDefault="000D2B3A" w:rsidP="009C07C9">
      <w:pPr>
        <w:tabs>
          <w:tab w:val="clear" w:pos="567"/>
        </w:tabs>
        <w:spacing w:line="240" w:lineRule="auto"/>
        <w:jc w:val="both"/>
        <w:rPr>
          <w:sz w:val="24"/>
          <w:szCs w:val="24"/>
        </w:rPr>
      </w:pPr>
      <w:r w:rsidRPr="000D2B3A">
        <w:rPr>
          <w:sz w:val="24"/>
          <w:u w:val="single"/>
        </w:rPr>
        <w:t>Inkompatibility</w:t>
      </w:r>
      <w:r w:rsidRPr="000D2B3A">
        <w:rPr>
          <w:sz w:val="24"/>
        </w:rPr>
        <w:t>:</w:t>
      </w:r>
    </w:p>
    <w:p w:rsidR="000D2B3A" w:rsidRPr="000D2B3A" w:rsidRDefault="000D2B3A" w:rsidP="009C07C9">
      <w:pPr>
        <w:tabs>
          <w:tab w:val="clear" w:pos="567"/>
        </w:tabs>
        <w:spacing w:line="240" w:lineRule="auto"/>
        <w:jc w:val="both"/>
        <w:rPr>
          <w:sz w:val="24"/>
          <w:szCs w:val="24"/>
        </w:rPr>
      </w:pPr>
      <w:r w:rsidRPr="000D2B3A">
        <w:rPr>
          <w:sz w:val="24"/>
        </w:rPr>
        <w:t>Studie kompatibility nejsou k dispozici, a proto tento veterinární léčivý přípravek nesmí být mísen s žádnými dalšími veterinárními léčivými přípravky.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ind w:left="567" w:hanging="567"/>
        <w:rPr>
          <w:b/>
          <w:sz w:val="24"/>
          <w:szCs w:val="24"/>
        </w:rPr>
      </w:pPr>
      <w:r w:rsidRPr="000D2B3A">
        <w:rPr>
          <w:b/>
          <w:sz w:val="24"/>
          <w:highlight w:val="lightGray"/>
        </w:rPr>
        <w:t>13.</w:t>
      </w:r>
      <w:r w:rsidRPr="000D2B3A">
        <w:rPr>
          <w:b/>
          <w:sz w:val="24"/>
        </w:rPr>
        <w:tab/>
        <w:t>ZVLÁŠTNÍ OPATŘENÍ PRO ZNEŠKODŇOVÁNÍ NEPOUŽITÝCH PŘÍPRAVKŮ NEBO ODPADU, POKUD JE JICH TŘEBA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9C07C9">
      <w:pPr>
        <w:tabs>
          <w:tab w:val="clear" w:pos="567"/>
        </w:tabs>
        <w:spacing w:line="240" w:lineRule="auto"/>
        <w:ind w:right="-1"/>
        <w:rPr>
          <w:i/>
          <w:sz w:val="24"/>
          <w:szCs w:val="24"/>
        </w:rPr>
      </w:pPr>
      <w:r w:rsidRPr="000D2B3A">
        <w:rPr>
          <w:sz w:val="24"/>
        </w:rPr>
        <w:t>Všechen nepoužitý veterinární léčivý přípravek nebo odpad, který pochází z tohoto přípravku, musí být likvidován podle místních právních předpisů.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b/>
          <w:sz w:val="24"/>
          <w:highlight w:val="lightGray"/>
        </w:rPr>
        <w:t>14.</w:t>
      </w:r>
      <w:r w:rsidRPr="000D2B3A">
        <w:rPr>
          <w:b/>
          <w:sz w:val="24"/>
        </w:rPr>
        <w:tab/>
        <w:t>DATUM POSLEDNÍ REVIZE PŘÍBALOVÉ INFORMACE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05934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16.11.2023</w:t>
      </w:r>
      <w:bookmarkStart w:id="10" w:name="_GoBack"/>
      <w:bookmarkEnd w:id="10"/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b/>
          <w:sz w:val="24"/>
          <w:highlight w:val="lightGray"/>
        </w:rPr>
        <w:t>15.</w:t>
      </w:r>
      <w:r w:rsidRPr="000D2B3A">
        <w:rPr>
          <w:b/>
          <w:sz w:val="24"/>
        </w:rPr>
        <w:tab/>
        <w:t>DALŠÍ INFORMACE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9338CB" w:rsidRDefault="009338CB" w:rsidP="009338CB">
      <w:r>
        <w:t>Pouze pro zvířata.</w:t>
      </w:r>
    </w:p>
    <w:p w:rsidR="009338CB" w:rsidRDefault="009338CB" w:rsidP="009338CB">
      <w:r>
        <w:t>Veterinární léčivý přípravek je vydáván pouze na předpis.</w:t>
      </w:r>
    </w:p>
    <w:p w:rsidR="009338CB" w:rsidRDefault="009338CB" w:rsidP="009338CB"/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</w:rPr>
      </w:pPr>
      <w:r w:rsidRPr="000D2B3A">
        <w:rPr>
          <w:sz w:val="24"/>
        </w:rPr>
        <w:t>Velikost balení: 50 ml a 100 ml.</w:t>
      </w: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</w:rPr>
      </w:pP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</w:rPr>
      </w:pPr>
      <w:r w:rsidRPr="000D2B3A">
        <w:rPr>
          <w:sz w:val="24"/>
        </w:rPr>
        <w:t>Na trhu nemusí být všechny velikosti balení.</w:t>
      </w:r>
    </w:p>
    <w:p w:rsidR="000D2B3A" w:rsidRDefault="000D2B3A" w:rsidP="000D2B3A">
      <w:pPr>
        <w:tabs>
          <w:tab w:val="clear" w:pos="567"/>
        </w:tabs>
        <w:spacing w:line="240" w:lineRule="auto"/>
        <w:rPr>
          <w:sz w:val="24"/>
        </w:rPr>
      </w:pPr>
      <w:r w:rsidRPr="000D2B3A">
        <w:rPr>
          <w:sz w:val="24"/>
        </w:rPr>
        <w:t>Pokud chcete získat informace o tomto veterinárním léčivém přípravku, kontaktujte prosím příslušného místního zástupce držitele rozhodnutí o registraci.</w:t>
      </w:r>
    </w:p>
    <w:p w:rsidR="00736B2F" w:rsidRDefault="00736B2F" w:rsidP="000D2B3A">
      <w:pPr>
        <w:tabs>
          <w:tab w:val="clear" w:pos="567"/>
        </w:tabs>
        <w:spacing w:line="240" w:lineRule="auto"/>
        <w:rPr>
          <w:szCs w:val="22"/>
        </w:rPr>
      </w:pPr>
    </w:p>
    <w:p w:rsidR="00736B2F" w:rsidRPr="000B6CA8" w:rsidRDefault="00736B2F" w:rsidP="00736B2F">
      <w:pPr>
        <w:pStyle w:val="BODY"/>
        <w:rPr>
          <w:sz w:val="24"/>
          <w:szCs w:val="24"/>
        </w:rPr>
      </w:pPr>
      <w:r w:rsidRPr="000B6CA8">
        <w:rPr>
          <w:sz w:val="24"/>
          <w:szCs w:val="24"/>
        </w:rPr>
        <w:t>Místní zástupc</w:t>
      </w:r>
      <w:r>
        <w:rPr>
          <w:sz w:val="24"/>
          <w:szCs w:val="24"/>
        </w:rPr>
        <w:t>e držitele rozhodnutí o registraci</w:t>
      </w:r>
      <w:r w:rsidRPr="000B6CA8">
        <w:rPr>
          <w:sz w:val="24"/>
          <w:szCs w:val="24"/>
        </w:rPr>
        <w:t>:</w:t>
      </w:r>
    </w:p>
    <w:p w:rsidR="00736B2F" w:rsidRPr="00731118" w:rsidRDefault="00736B2F" w:rsidP="00736B2F">
      <w:pPr>
        <w:pStyle w:val="BODY"/>
        <w:rPr>
          <w:sz w:val="24"/>
          <w:szCs w:val="24"/>
        </w:rPr>
      </w:pPr>
      <w:r w:rsidRPr="00731118">
        <w:rPr>
          <w:sz w:val="24"/>
          <w:szCs w:val="24"/>
        </w:rPr>
        <w:t>SEVARON s.r.o.</w:t>
      </w:r>
    </w:p>
    <w:p w:rsidR="00736B2F" w:rsidRPr="00731118" w:rsidRDefault="00736B2F" w:rsidP="00736B2F">
      <w:pPr>
        <w:pStyle w:val="BODY"/>
        <w:rPr>
          <w:sz w:val="24"/>
          <w:szCs w:val="24"/>
        </w:rPr>
      </w:pPr>
      <w:r w:rsidRPr="00731118">
        <w:rPr>
          <w:sz w:val="24"/>
          <w:szCs w:val="24"/>
        </w:rPr>
        <w:t xml:space="preserve">Palackého třída </w:t>
      </w:r>
      <w:proofErr w:type="gramStart"/>
      <w:r w:rsidRPr="00731118">
        <w:rPr>
          <w:sz w:val="24"/>
          <w:szCs w:val="24"/>
        </w:rPr>
        <w:t>163a</w:t>
      </w:r>
      <w:proofErr w:type="gramEnd"/>
    </w:p>
    <w:p w:rsidR="00736B2F" w:rsidRPr="00731118" w:rsidRDefault="00736B2F" w:rsidP="00736B2F">
      <w:pPr>
        <w:pStyle w:val="BODY"/>
        <w:rPr>
          <w:sz w:val="24"/>
          <w:szCs w:val="24"/>
        </w:rPr>
      </w:pPr>
      <w:r w:rsidRPr="00731118">
        <w:rPr>
          <w:sz w:val="24"/>
          <w:szCs w:val="24"/>
        </w:rPr>
        <w:t>612 00 Brno</w:t>
      </w:r>
    </w:p>
    <w:p w:rsidR="00736B2F" w:rsidRPr="00C82488" w:rsidRDefault="00736B2F" w:rsidP="00736B2F">
      <w:pPr>
        <w:pStyle w:val="BODY"/>
        <w:rPr>
          <w:sz w:val="24"/>
          <w:szCs w:val="24"/>
          <w:lang w:val="en-US"/>
        </w:rPr>
      </w:pPr>
      <w:r w:rsidRPr="00731118">
        <w:rPr>
          <w:sz w:val="24"/>
          <w:szCs w:val="24"/>
        </w:rPr>
        <w:t>Česká republika</w:t>
      </w:r>
    </w:p>
    <w:p w:rsidR="00736B2F" w:rsidRPr="000D2B3A" w:rsidRDefault="00736B2F" w:rsidP="000D2B3A">
      <w:pPr>
        <w:tabs>
          <w:tab w:val="clear" w:pos="567"/>
        </w:tabs>
        <w:spacing w:line="240" w:lineRule="auto"/>
        <w:rPr>
          <w:szCs w:val="22"/>
        </w:rPr>
      </w:pPr>
    </w:p>
    <w:p w:rsidR="00CB2630" w:rsidRPr="000D2B3A" w:rsidRDefault="00CB2630" w:rsidP="000D2B3A"/>
    <w:sectPr w:rsidR="00CB2630" w:rsidRPr="000D2B3A" w:rsidSect="007F2F03">
      <w:headerReference w:type="default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167" w:rsidRDefault="00F90167" w:rsidP="000D2B3A">
      <w:pPr>
        <w:spacing w:line="240" w:lineRule="auto"/>
      </w:pPr>
      <w:r>
        <w:separator/>
      </w:r>
    </w:p>
  </w:endnote>
  <w:endnote w:type="continuationSeparator" w:id="0">
    <w:p w:rsidR="00F90167" w:rsidRDefault="00F90167" w:rsidP="000D2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CCC" w:rsidRPr="00B94A1B" w:rsidRDefault="00725016">
    <w:pPr>
      <w:pStyle w:val="Zpat"/>
      <w:tabs>
        <w:tab w:val="right" w:pos="8931"/>
      </w:tabs>
      <w:jc w:val="center"/>
    </w:pPr>
    <w:r w:rsidRPr="00B94A1B">
      <w:fldChar w:fldCharType="begin"/>
    </w:r>
    <w:r w:rsidRPr="00B94A1B">
      <w:instrText xml:space="preserve"> PAGE  \* MERGEFORMAT </w:instrText>
    </w:r>
    <w:r w:rsidRPr="00B94A1B">
      <w:fldChar w:fldCharType="separate"/>
    </w:r>
    <w:r w:rsidR="00742E31">
      <w:rPr>
        <w:noProof/>
      </w:rPr>
      <w:t>6</w:t>
    </w:r>
    <w:r w:rsidRPr="00B94A1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CCC" w:rsidRDefault="00725016">
    <w:pPr>
      <w:pStyle w:val="Zpat"/>
      <w:tabs>
        <w:tab w:val="right" w:pos="8931"/>
      </w:tabs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167" w:rsidRDefault="00F90167" w:rsidP="000D2B3A">
      <w:pPr>
        <w:spacing w:line="240" w:lineRule="auto"/>
      </w:pPr>
      <w:r>
        <w:separator/>
      </w:r>
    </w:p>
  </w:footnote>
  <w:footnote w:type="continuationSeparator" w:id="0">
    <w:p w:rsidR="00F90167" w:rsidRDefault="00F90167" w:rsidP="000D2B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B3A" w:rsidRDefault="000D2B3A">
    <w:pPr>
      <w:pStyle w:val="Zhlav"/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97"/>
    <w:rsid w:val="00005934"/>
    <w:rsid w:val="0003077A"/>
    <w:rsid w:val="0003577D"/>
    <w:rsid w:val="000D2B3A"/>
    <w:rsid w:val="000E677F"/>
    <w:rsid w:val="001A45D6"/>
    <w:rsid w:val="00255DAE"/>
    <w:rsid w:val="00267C3E"/>
    <w:rsid w:val="002756C4"/>
    <w:rsid w:val="003370D5"/>
    <w:rsid w:val="003A5F96"/>
    <w:rsid w:val="003F4A8B"/>
    <w:rsid w:val="004E3747"/>
    <w:rsid w:val="00504569"/>
    <w:rsid w:val="00547EB7"/>
    <w:rsid w:val="00620952"/>
    <w:rsid w:val="00661062"/>
    <w:rsid w:val="006D044B"/>
    <w:rsid w:val="0071065C"/>
    <w:rsid w:val="00725016"/>
    <w:rsid w:val="00736B2F"/>
    <w:rsid w:val="00742E31"/>
    <w:rsid w:val="0086054D"/>
    <w:rsid w:val="008F6A92"/>
    <w:rsid w:val="00915E39"/>
    <w:rsid w:val="009338CB"/>
    <w:rsid w:val="00980426"/>
    <w:rsid w:val="00987D14"/>
    <w:rsid w:val="00997B0A"/>
    <w:rsid w:val="009C07C9"/>
    <w:rsid w:val="00A0084A"/>
    <w:rsid w:val="00A106B9"/>
    <w:rsid w:val="00AB3542"/>
    <w:rsid w:val="00C24899"/>
    <w:rsid w:val="00CA460A"/>
    <w:rsid w:val="00CB2630"/>
    <w:rsid w:val="00D1365E"/>
    <w:rsid w:val="00E23297"/>
    <w:rsid w:val="00F9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4EC6"/>
  <w15:docId w15:val="{AB826F40-8864-436A-998B-9C6E7202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3747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1"/>
    <w:qFormat/>
    <w:rsid w:val="004E37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ODY">
    <w:name w:val="BODY"/>
    <w:basedOn w:val="Normln"/>
    <w:qFormat/>
    <w:rsid w:val="004E3747"/>
    <w:pPr>
      <w:spacing w:after="220" w:line="240" w:lineRule="auto"/>
      <w:contextualSpacing/>
    </w:pPr>
  </w:style>
  <w:style w:type="paragraph" w:styleId="Zpat">
    <w:name w:val="footer"/>
    <w:basedOn w:val="Normln"/>
    <w:link w:val="ZpatChar"/>
    <w:uiPriority w:val="99"/>
    <w:unhideWhenUsed/>
    <w:rsid w:val="000D2B3A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B3A"/>
    <w:rPr>
      <w:rFonts w:ascii="Times New Roman" w:eastAsia="Times New Roman" w:hAnsi="Times New Roman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0D2B3A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B3A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7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77F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044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0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C5C8-00E0-4571-8A55-8DC4A10A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1845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Wojtylová Jana</dc:creator>
  <cp:keywords/>
  <dc:description/>
  <cp:lastModifiedBy>Vejmělková Pavla</cp:lastModifiedBy>
  <cp:revision>4</cp:revision>
  <dcterms:created xsi:type="dcterms:W3CDTF">2023-11-23T09:45:00Z</dcterms:created>
  <dcterms:modified xsi:type="dcterms:W3CDTF">2024-01-08T10:03:00Z</dcterms:modified>
</cp:coreProperties>
</file>