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E0FC" w14:textId="77777777" w:rsidR="00430A33" w:rsidRPr="00710BE6" w:rsidRDefault="00430A33" w:rsidP="00430A33">
      <w:pPr>
        <w:spacing w:line="240" w:lineRule="auto"/>
      </w:pPr>
    </w:p>
    <w:p w14:paraId="03F3D082" w14:textId="77777777" w:rsidR="00430A33" w:rsidRPr="00710BE6" w:rsidRDefault="00430A33" w:rsidP="00430A33">
      <w:pPr>
        <w:spacing w:line="240" w:lineRule="auto"/>
      </w:pPr>
    </w:p>
    <w:p w14:paraId="3B92BE1A" w14:textId="77777777" w:rsidR="00430A33" w:rsidRPr="00710BE6" w:rsidRDefault="00430A33" w:rsidP="00430A33">
      <w:pPr>
        <w:spacing w:line="240" w:lineRule="auto"/>
      </w:pPr>
    </w:p>
    <w:p w14:paraId="0793D21A" w14:textId="77777777" w:rsidR="00430A33" w:rsidRPr="00710BE6" w:rsidRDefault="00430A33" w:rsidP="00430A33">
      <w:pPr>
        <w:spacing w:line="240" w:lineRule="auto"/>
      </w:pPr>
    </w:p>
    <w:p w14:paraId="4CEFDD14" w14:textId="77777777" w:rsidR="00430A33" w:rsidRPr="00710BE6" w:rsidRDefault="00430A33" w:rsidP="00430A33">
      <w:pPr>
        <w:spacing w:line="240" w:lineRule="auto"/>
      </w:pPr>
    </w:p>
    <w:p w14:paraId="2901137F" w14:textId="77777777" w:rsidR="00430A33" w:rsidRPr="00710BE6" w:rsidRDefault="00430A33" w:rsidP="00430A33">
      <w:pPr>
        <w:spacing w:line="240" w:lineRule="auto"/>
      </w:pPr>
    </w:p>
    <w:p w14:paraId="2955B0B3" w14:textId="77777777" w:rsidR="00430A33" w:rsidRPr="00710BE6" w:rsidRDefault="00430A33" w:rsidP="00430A33">
      <w:pPr>
        <w:spacing w:line="240" w:lineRule="auto"/>
      </w:pPr>
    </w:p>
    <w:p w14:paraId="57689A65" w14:textId="77777777" w:rsidR="00430A33" w:rsidRPr="00710BE6" w:rsidRDefault="00430A33" w:rsidP="00430A33">
      <w:pPr>
        <w:spacing w:line="240" w:lineRule="auto"/>
      </w:pPr>
    </w:p>
    <w:p w14:paraId="62F7E696" w14:textId="77777777" w:rsidR="00430A33" w:rsidRPr="00710BE6" w:rsidRDefault="00430A33" w:rsidP="00430A33">
      <w:pPr>
        <w:spacing w:line="240" w:lineRule="auto"/>
      </w:pPr>
    </w:p>
    <w:p w14:paraId="5B55F6C9" w14:textId="77777777" w:rsidR="00430A33" w:rsidRPr="00710BE6" w:rsidRDefault="00430A33" w:rsidP="00430A33">
      <w:pPr>
        <w:spacing w:line="240" w:lineRule="auto"/>
      </w:pPr>
    </w:p>
    <w:p w14:paraId="0BE96540" w14:textId="77777777" w:rsidR="00430A33" w:rsidRPr="00710BE6" w:rsidRDefault="00430A33" w:rsidP="00430A33">
      <w:pPr>
        <w:spacing w:line="240" w:lineRule="auto"/>
      </w:pPr>
    </w:p>
    <w:p w14:paraId="58B1206D" w14:textId="77777777" w:rsidR="00430A33" w:rsidRPr="00710BE6" w:rsidRDefault="00430A33" w:rsidP="00430A33">
      <w:pPr>
        <w:spacing w:line="240" w:lineRule="auto"/>
      </w:pPr>
    </w:p>
    <w:p w14:paraId="138314EB" w14:textId="77777777" w:rsidR="00430A33" w:rsidRPr="00710BE6" w:rsidRDefault="00430A33" w:rsidP="00430A33">
      <w:pPr>
        <w:spacing w:line="240" w:lineRule="auto"/>
      </w:pPr>
    </w:p>
    <w:p w14:paraId="1FF0FF1D" w14:textId="77777777" w:rsidR="00430A33" w:rsidRPr="00710BE6" w:rsidRDefault="00430A33" w:rsidP="00430A33">
      <w:pPr>
        <w:spacing w:line="240" w:lineRule="auto"/>
      </w:pPr>
    </w:p>
    <w:p w14:paraId="3B22A503" w14:textId="77777777" w:rsidR="00430A33" w:rsidRPr="00710BE6" w:rsidRDefault="00430A33" w:rsidP="00430A33">
      <w:pPr>
        <w:spacing w:line="240" w:lineRule="auto"/>
      </w:pPr>
    </w:p>
    <w:p w14:paraId="01F34BEF" w14:textId="77777777" w:rsidR="00430A33" w:rsidRPr="00710BE6" w:rsidRDefault="00430A33" w:rsidP="00430A33">
      <w:pPr>
        <w:spacing w:line="240" w:lineRule="auto"/>
      </w:pPr>
    </w:p>
    <w:p w14:paraId="13DDEEC4" w14:textId="36000294" w:rsidR="00430A33" w:rsidRPr="00710BE6" w:rsidRDefault="00430A33" w:rsidP="00430A33">
      <w:pPr>
        <w:pStyle w:val="Style3"/>
        <w:numPr>
          <w:ilvl w:val="0"/>
          <w:numId w:val="2"/>
        </w:numPr>
      </w:pPr>
      <w:r w:rsidRPr="00710BE6">
        <w:t>PŘÍBALOVÁ INFORMACE</w:t>
      </w:r>
    </w:p>
    <w:p w14:paraId="441D969E" w14:textId="77777777" w:rsidR="00430A33" w:rsidRPr="00710BE6" w:rsidRDefault="00430A33" w:rsidP="00430A33">
      <w:pPr>
        <w:spacing w:line="240" w:lineRule="auto"/>
        <w:jc w:val="center"/>
      </w:pPr>
      <w:r w:rsidRPr="00710BE6">
        <w:br w:type="page"/>
      </w:r>
    </w:p>
    <w:p w14:paraId="0C72E62C" w14:textId="77777777" w:rsidR="00430A33" w:rsidRPr="00710BE6" w:rsidRDefault="00430A33" w:rsidP="00430A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PŘÍBALOVÁ INFORMACE</w:t>
      </w:r>
    </w:p>
    <w:p w14:paraId="2EF4E12E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6F6839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FE0342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Název veterinárního léčivého přípravku</w:t>
      </w:r>
    </w:p>
    <w:p w14:paraId="1E2EF90B" w14:textId="73E181E6" w:rsidR="00430A33" w:rsidRPr="00710BE6" w:rsidRDefault="00430A33" w:rsidP="004E2693">
      <w:pPr>
        <w:tabs>
          <w:tab w:val="left" w:pos="567"/>
        </w:tabs>
        <w:spacing w:before="324" w:after="0" w:line="260" w:lineRule="exact"/>
        <w:ind w:right="-62"/>
        <w:rPr>
          <w:rFonts w:ascii="Times New Roman" w:eastAsia="Times New Roman" w:hAnsi="Times New Roman" w:cs="Times New Roman"/>
          <w:kern w:val="0"/>
          <w:shd w:val="clear" w:color="auto" w:fill="FFFFFF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4"/>
          <w:kern w:val="0"/>
          <w:szCs w:val="21"/>
          <w14:ligatures w14:val="none"/>
        </w:rPr>
        <w:t xml:space="preserve">AviPro 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 xml:space="preserve">Salmonella Vac T </w:t>
      </w:r>
      <w:r w:rsidRPr="00710BE6">
        <w:rPr>
          <w:rFonts w:ascii="Times New Roman" w:eastAsia="Times New Roman" w:hAnsi="Times New Roman" w:cs="Times New Roman"/>
          <w:kern w:val="0"/>
          <w:shd w:val="clear" w:color="auto" w:fill="FFFFFF"/>
          <w14:ligatures w14:val="none"/>
        </w:rPr>
        <w:t>lyofilizát pro podání v pitné vodě</w:t>
      </w:r>
    </w:p>
    <w:p w14:paraId="0B14DA9D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1374AE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70012B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2.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Složení</w:t>
      </w:r>
    </w:p>
    <w:p w14:paraId="3EE98CD0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</w:pPr>
    </w:p>
    <w:p w14:paraId="20CBD843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1 dávka obsahuje: </w:t>
      </w:r>
    </w:p>
    <w:p w14:paraId="47344DD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</w:pPr>
    </w:p>
    <w:p w14:paraId="3C9C1B16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bCs/>
          <w:spacing w:val="3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>Léčivá látka:</w:t>
      </w:r>
    </w:p>
    <w:p w14:paraId="4DE962C6" w14:textId="2B28D330" w:rsidR="00430A33" w:rsidRPr="00710BE6" w:rsidRDefault="00430A33" w:rsidP="00430A33">
      <w:pPr>
        <w:tabs>
          <w:tab w:val="left" w:pos="567"/>
        </w:tabs>
        <w:spacing w:after="0" w:line="260" w:lineRule="exact"/>
        <w:ind w:right="118"/>
        <w:rPr>
          <w:rFonts w:ascii="Times New Roman" w:eastAsia="Times New Roman" w:hAnsi="Times New Roman" w:cs="Times New Roman"/>
          <w:spacing w:val="3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i/>
          <w:iCs/>
          <w:spacing w:val="2"/>
          <w:kern w:val="0"/>
          <w14:ligatures w14:val="none"/>
        </w:rPr>
        <w:t xml:space="preserve">Salmonella </w:t>
      </w:r>
      <w:r w:rsidRPr="00710BE6">
        <w:rPr>
          <w:rFonts w:ascii="Times New Roman" w:eastAsia="Times New Roman" w:hAnsi="Times New Roman" w:cs="Times New Roman"/>
          <w:iCs/>
          <w:spacing w:val="2"/>
          <w:kern w:val="0"/>
          <w14:ligatures w14:val="none"/>
        </w:rPr>
        <w:t xml:space="preserve">Typhimurium, </w:t>
      </w:r>
      <w:r w:rsidR="001A595C" w:rsidRPr="00710BE6">
        <w:rPr>
          <w:rFonts w:ascii="Times New Roman" w:eastAsia="Times New Roman" w:hAnsi="Times New Roman" w:cs="Times New Roman"/>
          <w:spacing w:val="2"/>
          <w:kern w:val="0"/>
          <w14:ligatures w14:val="none"/>
        </w:rPr>
        <w:t>živá atenuovaná,</w:t>
      </w:r>
      <w:r w:rsidR="001A595C" w:rsidRPr="00710BE6">
        <w:rPr>
          <w:rFonts w:ascii="Times New Roman" w:eastAsia="Times New Roman" w:hAnsi="Times New Roman" w:cs="Times New Roman"/>
          <w:iCs/>
          <w:spacing w:val="2"/>
          <w:kern w:val="0"/>
          <w14:ligatures w14:val="none"/>
        </w:rPr>
        <w:t xml:space="preserve"> </w:t>
      </w:r>
      <w:r w:rsidRPr="00710BE6">
        <w:rPr>
          <w:rFonts w:ascii="Times New Roman" w:eastAsia="Times New Roman" w:hAnsi="Times New Roman" w:cs="Times New Roman"/>
          <w:iCs/>
          <w:spacing w:val="2"/>
          <w:kern w:val="0"/>
          <w14:ligatures w14:val="none"/>
        </w:rPr>
        <w:t xml:space="preserve">kmen </w:t>
      </w: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Nal 2/Rif </w:t>
      </w:r>
      <w:r w:rsidRPr="00710BE6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>9/Rtt</w:t>
      </w:r>
      <w:r w:rsidRPr="00710BE6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ab/>
        <w:t xml:space="preserve">     </w:t>
      </w: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>1x10</w:t>
      </w:r>
      <w:r w:rsidRPr="00710BE6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8 </w:t>
      </w: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>až 6x10</w:t>
      </w:r>
      <w:r w:rsidRPr="00710BE6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8 </w:t>
      </w:r>
      <w:r w:rsidRPr="00710BE6">
        <w:rPr>
          <w:rFonts w:ascii="Times New Roman" w:eastAsia="Times New Roman" w:hAnsi="Times New Roman" w:cs="Times New Roman"/>
          <w:spacing w:val="2"/>
          <w:kern w:val="0"/>
          <w14:ligatures w14:val="none"/>
        </w:rPr>
        <w:t>CFU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* </w:t>
      </w:r>
    </w:p>
    <w:p w14:paraId="0D7F2877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400B3C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*CFU = Colony Forming Units (= kolonie tvořící jednotky)</w:t>
      </w:r>
    </w:p>
    <w:p w14:paraId="4DFBEADE" w14:textId="77777777" w:rsidR="00430A33" w:rsidRPr="00710BE6" w:rsidRDefault="00430A33" w:rsidP="00430A33">
      <w:pPr>
        <w:tabs>
          <w:tab w:val="left" w:pos="567"/>
          <w:tab w:val="left" w:pos="708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6E19F8" w14:textId="74867D35" w:rsidR="00430A33" w:rsidRPr="00710BE6" w:rsidRDefault="00430A33" w:rsidP="00430A33">
      <w:pPr>
        <w:tabs>
          <w:tab w:val="left" w:pos="567"/>
          <w:tab w:val="left" w:pos="708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Bílá až šedohnědá peleta.</w:t>
      </w:r>
    </w:p>
    <w:p w14:paraId="09CD4468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2C5EEA6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6117DF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3.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Cílové druhy zvířat</w:t>
      </w:r>
    </w:p>
    <w:p w14:paraId="0DDD7705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</w:p>
    <w:p w14:paraId="042BA65B" w14:textId="20685366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Kur domácí (budoucí užitkové a plemenné nosnice a brojleři).</w:t>
      </w:r>
    </w:p>
    <w:p w14:paraId="199992A1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</w:p>
    <w:p w14:paraId="339AEC5A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6A0592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4.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Indikace pro použití</w:t>
      </w:r>
    </w:p>
    <w:p w14:paraId="536499D0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6DB05B" w14:textId="5D54465F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K aktivní imunizaci kuřat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od jednoho dne stáří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 ke snížení mortality, kolonizace, vylučování a fekální exkrece </w:t>
      </w:r>
      <w:r w:rsidRPr="00710BE6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Salmonella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 Typhimurium.</w:t>
      </w:r>
    </w:p>
    <w:p w14:paraId="6C136D32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Nástup imunity: 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v průběhu 15 dní po první vakcinaci.</w:t>
      </w:r>
    </w:p>
    <w:p w14:paraId="405104B6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16"/>
        <w:rPr>
          <w:rFonts w:ascii="Times New Roman" w:eastAsia="Times New Roman" w:hAnsi="Times New Roman" w:cs="Times New Roman"/>
          <w:spacing w:val="3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Trvání imunity: 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50 týdnů, po aplikaci programu s třemi dávkami vakcíny u užitkových a plemenných nosnic, a </w:t>
      </w:r>
      <w:r w:rsidRPr="00710BE6">
        <w:rPr>
          <w:rFonts w:ascii="Times New Roman" w:eastAsia="Times New Roman" w:hAnsi="Times New Roman" w:cs="Times New Roman"/>
          <w:spacing w:val="3"/>
          <w:kern w:val="0"/>
          <w14:ligatures w14:val="none"/>
        </w:rPr>
        <w:t>nejméně 6 týdnů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u brojlerů </w:t>
      </w:r>
      <w:r w:rsidRPr="00710BE6">
        <w:rPr>
          <w:rFonts w:ascii="Times New Roman" w:eastAsia="Times New Roman" w:hAnsi="Times New Roman" w:cs="Times New Roman"/>
          <w:spacing w:val="3"/>
          <w:kern w:val="0"/>
          <w14:ligatures w14:val="none"/>
        </w:rPr>
        <w:t>po jedné vakcinaci.</w:t>
      </w:r>
    </w:p>
    <w:p w14:paraId="43D0F1E1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DC19B5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D30DD8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5.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Kontraindikace</w:t>
      </w:r>
    </w:p>
    <w:p w14:paraId="64F9174F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39F719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Nejsou.</w:t>
      </w:r>
    </w:p>
    <w:p w14:paraId="05C97AAA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73738C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2486A4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6.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upozornění</w:t>
      </w:r>
    </w:p>
    <w:p w14:paraId="214E380B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C8B837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upozornění</w:t>
      </w: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3F4FF4FD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Vakcinovat pouze zdravá zvířata.</w:t>
      </w:r>
    </w:p>
    <w:p w14:paraId="56B46358" w14:textId="77777777" w:rsidR="00430A33" w:rsidRPr="00710BE6" w:rsidRDefault="00430A33" w:rsidP="004E269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540EE5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bezpečné použití u cílových druhů zvířat</w:t>
      </w: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70CC3E8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jc w:val="both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Vakcinační kmen je citlivý na fluorochinolonová antibiotika a má zvýšenou citlivost vůči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erytromycinu, chloramfenikolu, doxycyklinu, detergentům a vůči škodlivinám z prostředí. </w:t>
      </w:r>
    </w:p>
    <w:p w14:paraId="6688C5D8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jc w:val="both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</w:p>
    <w:p w14:paraId="281ADDD7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Vakcinovaní ptáci mohou vylučovat vakcinační kmen až po dobu 14 dnů po vakcinaci.</w:t>
      </w:r>
    </w:p>
    <w:p w14:paraId="29BD49F0" w14:textId="77777777" w:rsidR="00430A33" w:rsidRPr="00710BE6" w:rsidRDefault="00430A33" w:rsidP="004E2693">
      <w:pPr>
        <w:tabs>
          <w:tab w:val="left" w:pos="567"/>
        </w:tabs>
        <w:spacing w:after="0" w:line="260" w:lineRule="exact"/>
        <w:ind w:right="-45"/>
        <w:rPr>
          <w:rFonts w:ascii="Times New Roman" w:eastAsia="Times New Roman" w:hAnsi="Times New Roman" w:cs="Times New Roman"/>
          <w:spacing w:val="-4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Při kontaktu s vakcinovanými kuřaty se může 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vakcinační kmen</w:t>
      </w: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rozšířit na vnímavé ptáky. </w:t>
      </w:r>
    </w:p>
    <w:p w14:paraId="33C3B9B4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jc w:val="both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</w:p>
    <w:p w14:paraId="76B7F44C" w14:textId="52C5BF67" w:rsidR="00430A33" w:rsidRPr="00710BE6" w:rsidRDefault="00430A33" w:rsidP="00430A33">
      <w:pPr>
        <w:tabs>
          <w:tab w:val="left" w:pos="567"/>
          <w:tab w:val="left" w:pos="8748"/>
        </w:tabs>
        <w:spacing w:after="0" w:line="260" w:lineRule="exact"/>
        <w:ind w:right="72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V závislosti na použitém analytickém systému, může </w:t>
      </w:r>
      <w:r w:rsidR="001A595C"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per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orální vakcinace u některých ptáků z hejna navodit nízké 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seropozitivní reakce. Protože je sérologické monitorování </w:t>
      </w:r>
      <w:r w:rsidRPr="00710BE6">
        <w:rPr>
          <w:rFonts w:ascii="Times New Roman" w:eastAsia="Times New Roman" w:hAnsi="Times New Roman" w:cs="Times New Roman"/>
          <w:i/>
          <w:iCs/>
          <w:spacing w:val="2"/>
          <w:kern w:val="0"/>
          <w:szCs w:val="21"/>
          <w14:ligatures w14:val="none"/>
        </w:rPr>
        <w:t>Salmonel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 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 xml:space="preserve">jen 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testovaní hejna, musí se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pozitivní nálezy potvrzovat, např. bakteriologicky.</w:t>
      </w:r>
    </w:p>
    <w:p w14:paraId="0A23F382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jc w:val="both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</w:p>
    <w:p w14:paraId="20418B49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jc w:val="both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Rozlišení vakcinačního od terénních kmenů se provádí pomocí antibiogramu. Proti terénním kmenům jsou vakcinační kmeny citlivé na erytromycin (doporučená koncentrace 15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> – 30 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µg/ml) a jsou rezistentní vůči kyselině nalidixinové (doporučená koncentrace 20 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 xml:space="preserve">µg/m1) 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>a vůči rifampicinu (doporučená koncentrace 200 µg/ml).</w:t>
      </w:r>
    </w:p>
    <w:p w14:paraId="0D8926D2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jc w:val="both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</w:p>
    <w:p w14:paraId="129F1047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osobu, která podává veterinární léčivý přípravek zvířatům</w:t>
      </w: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7B40205F" w14:textId="6A50FF67" w:rsidR="00430A33" w:rsidRPr="00710BE6" w:rsidRDefault="00430A33" w:rsidP="00430A33">
      <w:pPr>
        <w:tabs>
          <w:tab w:val="left" w:pos="567"/>
        </w:tabs>
        <w:spacing w:after="0" w:line="260" w:lineRule="exact"/>
        <w:ind w:right="288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Při rozpouštění vakcíny používejte ochranné rukavice. Lékovku otevírejte pod vodou, aby nevznikal aerosol. Při míchání vakcíny v kbelíku nebo zásobní nádržce používejte vodotěsné </w:t>
      </w:r>
      <w:r w:rsidRPr="00710BE6">
        <w:rPr>
          <w:rFonts w:ascii="Times New Roman" w:eastAsia="Times New Roman" w:hAnsi="Times New Roman" w:cs="Times New Roman"/>
          <w:spacing w:val="-3"/>
          <w:kern w:val="0"/>
          <w:szCs w:val="21"/>
          <w14:ligatures w14:val="none"/>
        </w:rPr>
        <w:t xml:space="preserve">dlouhé ochranné rukavice. Po manipulaci s vakcínou si vydezinfikujte a umyjte ruce. Vakcína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se nesmí požít. 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V případě náhodného požití, vyhledejte ihned lékařskou pomoc a ukažte příbalovou informaci nebo etiketu praktickému lékaři.</w:t>
      </w:r>
      <w:r w:rsidR="004E2693"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E2693"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Vakcinační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 kmen je 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citlivý na řadu antibiotik, včetně fluorochinolonů (ciprofloxacin). </w:t>
      </w:r>
    </w:p>
    <w:p w14:paraId="6626DFA2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88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5E4541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88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Protože pro přípravu vakcíny byly použity živé, atenuované mikroorganismy, je třeba přijmout příslušná opatření, aby se zabránilo nakažení osoby, která přípravek aplikuje, i dalších zapojených osob.</w:t>
      </w:r>
    </w:p>
    <w:p w14:paraId="4793D509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88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608F04" w14:textId="1B66EAC5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Je nutno věnovat pozornost umytí a dezinfekci rukou po manipulaci s trusem vakcinovaných 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ptáků, zejména prvních 14 dní po vakcinaci. 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Osoby, které přichází do styku s vakcinovanými ptáky</w:t>
      </w:r>
      <w:r w:rsidR="004318C4">
        <w:rPr>
          <w:rFonts w:ascii="Times New Roman" w:eastAsia="Times New Roman" w:hAnsi="Times New Roman" w:cs="Times New Roman"/>
          <w:kern w:val="0"/>
          <w14:ligatures w14:val="none"/>
        </w:rPr>
        <w:t>, by měly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 dodržovat obecné zásady hygieny (výměna oblečení, nošení rukavic, čištění a dezinfikování bot) a být zvláště obezřetní při manipulaci s odpady a podestýlkou od nedávno vakcinovaných ptáků.</w:t>
      </w:r>
    </w:p>
    <w:p w14:paraId="4C5B50A3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31624B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Osobám s oslabeným imunitním systémem se doporučuje vyhnout se kontaktu s vakcínou a nedávno vakcinovanými zvířaty.</w:t>
      </w:r>
    </w:p>
    <w:p w14:paraId="0F94B25D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8B4877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Veterinární léčivý přípravek by neměly podávat těhotné ženy.</w:t>
      </w:r>
    </w:p>
    <w:p w14:paraId="3867DD4A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A1347B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>Nosnice</w:t>
      </w: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5A6708E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Nepoužívat u nosnic ve snášce a během 3 týdnů před počátkem snášky.</w:t>
      </w:r>
    </w:p>
    <w:p w14:paraId="3DCE7FC8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08F605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>Interakce s jinými léčivými přípravky a další formy interakce:</w:t>
      </w:r>
    </w:p>
    <w:p w14:paraId="10D2F9E8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16"/>
        <w:rPr>
          <w:rFonts w:ascii="Times New Roman" w:eastAsia="Times New Roman" w:hAnsi="Times New Roman" w:cs="Times New Roman"/>
          <w:spacing w:val="-4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Protože vakcinační kmen je živá bakterie, je nutno vyvarovat se současného použití chemoterapeutik, která jsou účinná vůči </w:t>
      </w:r>
      <w:r w:rsidRPr="00710BE6">
        <w:rPr>
          <w:rFonts w:ascii="Times New Roman" w:eastAsia="Times New Roman" w:hAnsi="Times New Roman" w:cs="Times New Roman"/>
          <w:i/>
          <w:iCs/>
          <w:spacing w:val="-4"/>
          <w:kern w:val="0"/>
          <w14:ligatures w14:val="none"/>
        </w:rPr>
        <w:t>Salmonelám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. </w:t>
      </w:r>
    </w:p>
    <w:p w14:paraId="08C9F5D4" w14:textId="626230EB" w:rsidR="00430A33" w:rsidRPr="00710BE6" w:rsidRDefault="00430A33" w:rsidP="00430A33">
      <w:pPr>
        <w:tabs>
          <w:tab w:val="left" w:pos="567"/>
        </w:tabs>
        <w:spacing w:after="0" w:line="260" w:lineRule="exact"/>
        <w:ind w:right="216"/>
        <w:rPr>
          <w:rFonts w:ascii="Times New Roman" w:eastAsia="Times New Roman" w:hAnsi="Times New Roman" w:cs="Times New Roman"/>
          <w:spacing w:val="-5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Avšak je-li léčba chemoterapeutiky nevyhnutelná</w:t>
      </w:r>
      <w:r w:rsidRPr="00710BE6">
        <w:rPr>
          <w:rFonts w:ascii="Times New Roman" w:eastAsia="Times New Roman" w:hAnsi="Times New Roman" w:cs="Times New Roman"/>
          <w:spacing w:val="-3"/>
          <w:kern w:val="0"/>
          <w:szCs w:val="21"/>
          <w14:ligatures w14:val="none"/>
        </w:rPr>
        <w:t xml:space="preserve">, musí se hejno znovu reimunizovat. 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Rozhodnutí o použití této vakcíny před nebo po chemoterapeutické léčbě musí být provedeno na základě zvážení jednotlivých případů</w:t>
      </w:r>
      <w:r w:rsidRPr="00710BE6">
        <w:rPr>
          <w:rFonts w:ascii="Times New Roman" w:eastAsia="Times New Roman" w:hAnsi="Times New Roman" w:cs="Times New Roman"/>
          <w:spacing w:val="-5"/>
          <w:kern w:val="0"/>
          <w:szCs w:val="21"/>
          <w14:ligatures w14:val="none"/>
        </w:rPr>
        <w:t>.</w:t>
      </w:r>
    </w:p>
    <w:p w14:paraId="46E87080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16"/>
        <w:rPr>
          <w:rFonts w:ascii="Times New Roman" w:eastAsia="Times New Roman" w:hAnsi="Times New Roman" w:cs="Times New Roman"/>
          <w:spacing w:val="-5"/>
          <w:kern w:val="0"/>
          <w:szCs w:val="21"/>
          <w14:ligatures w14:val="none"/>
        </w:rPr>
      </w:pPr>
    </w:p>
    <w:p w14:paraId="5E30B7F6" w14:textId="1E4A77FE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Dostupné údaje o bezpečnosti a účinnosti této vakcíny dokládají, že vakcínu lze podávat ve stejný den, ale nemísit s vakcínou </w:t>
      </w:r>
      <w:r w:rsidRPr="00710BE6">
        <w:rPr>
          <w:rFonts w:ascii="Times New Roman" w:eastAsia="Times New Roman" w:hAnsi="Times New Roman" w:cs="Times New Roman"/>
          <w:spacing w:val="-5"/>
          <w:kern w:val="0"/>
          <w:szCs w:val="21"/>
          <w14:ligatures w14:val="none"/>
        </w:rPr>
        <w:t xml:space="preserve">AviPro 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>SALMONELLA VAC E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.</w:t>
      </w:r>
    </w:p>
    <w:p w14:paraId="0E0E53ED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14:ligatures w14:val="none"/>
        </w:rPr>
      </w:pPr>
    </w:p>
    <w:p w14:paraId="56B672BA" w14:textId="29EA0C2A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Nejsou dostupné údaje o bezpečnosti a účinnosti této vakcíny, pokud je podávána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4FF93304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26F7F9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Předávkování: </w:t>
      </w:r>
    </w:p>
    <w:p w14:paraId="4003C4ED" w14:textId="66FFDC55" w:rsidR="00430A33" w:rsidRPr="00710BE6" w:rsidRDefault="00430A33" w:rsidP="00430A33">
      <w:pPr>
        <w:tabs>
          <w:tab w:val="left" w:pos="567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-4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Nebyly zjištěny nežádoucí úč</w:t>
      </w:r>
      <w:r w:rsidR="004318C4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inky ani po aplikaci 10</w:t>
      </w:r>
      <w:bookmarkStart w:id="0" w:name="_GoBack"/>
      <w:bookmarkEnd w:id="0"/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násobné dávky vakcíny.</w:t>
      </w:r>
    </w:p>
    <w:p w14:paraId="34DB8649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BB6E8B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Hlavní inkompatibility</w:t>
      </w: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058CA40A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Studie kompatibility nejsou k dispozici, a proto tento veterinární léčivý přípravek nesmí být mísen s žádnými dalšími veterinárními léčivými přípravky.</w:t>
      </w:r>
    </w:p>
    <w:p w14:paraId="7F7DC96E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A56AD6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00608B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7.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Nežádoucí účinky</w:t>
      </w:r>
    </w:p>
    <w:p w14:paraId="6984954D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E609EE4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88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Kur domácí:</w:t>
      </w:r>
    </w:p>
    <w:p w14:paraId="7BBC443A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88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Nejsou známy.</w:t>
      </w:r>
    </w:p>
    <w:p w14:paraId="08FF5A4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pacing w:val="2"/>
          <w:kern w:val="0"/>
          <w:szCs w:val="21"/>
          <w14:ligatures w14:val="none"/>
        </w:rPr>
      </w:pPr>
    </w:p>
    <w:p w14:paraId="473810CB" w14:textId="303658D2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v této příbalové informaci nebo prostřednictvím národního systému hlášení nežádoucích účinků</w:t>
      </w:r>
      <w:r w:rsidR="004E2693"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4CE91266" w14:textId="77777777" w:rsidR="00430A33" w:rsidRPr="00710BE6" w:rsidRDefault="00430A33" w:rsidP="00430A33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73C2B3" w14:textId="77777777" w:rsidR="00430A33" w:rsidRPr="00710BE6" w:rsidRDefault="00430A33" w:rsidP="00430A33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Ústav pro státní kontrolu veterinárních biopreparátů a léčiv </w:t>
      </w:r>
    </w:p>
    <w:p w14:paraId="0801193C" w14:textId="77777777" w:rsidR="00430A33" w:rsidRPr="00710BE6" w:rsidRDefault="00430A33" w:rsidP="00430A33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Hudcova 56a </w:t>
      </w:r>
    </w:p>
    <w:p w14:paraId="2D31BBDC" w14:textId="77777777" w:rsidR="00430A33" w:rsidRPr="00710BE6" w:rsidRDefault="00430A33" w:rsidP="00430A33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621 00 Brno</w:t>
      </w:r>
    </w:p>
    <w:p w14:paraId="6800AF13" w14:textId="77777777" w:rsidR="00430A33" w:rsidRPr="00710BE6" w:rsidRDefault="00430A33" w:rsidP="00430A33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Mail: </w:t>
      </w:r>
      <w:hyperlink r:id="rId8" w:history="1">
        <w:r w:rsidRPr="00710BE6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adr@uskvbl.cz</w:t>
        </w:r>
      </w:hyperlink>
    </w:p>
    <w:p w14:paraId="7D496907" w14:textId="77777777" w:rsidR="00430A33" w:rsidRPr="00710BE6" w:rsidRDefault="00430A33" w:rsidP="00430A33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Webové stránky: </w:t>
      </w:r>
      <w:hyperlink r:id="rId9" w:history="1">
        <w:r w:rsidRPr="00710BE6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http://www.uskvbl.cz/cs/farmakovigilance</w:t>
        </w:r>
      </w:hyperlink>
    </w:p>
    <w:p w14:paraId="044F3EC9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6F2867A1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7C1C77AE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8.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Dávkování pro každý druh, cesty a způsob podání</w:t>
      </w:r>
    </w:p>
    <w:p w14:paraId="6B285980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376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FE771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376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K perorálnímu podání po </w:t>
      </w: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rozpuštění v pitné vodě.</w:t>
      </w:r>
    </w:p>
    <w:p w14:paraId="0E2C77D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376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</w:p>
    <w:p w14:paraId="5AFF3B71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376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>Dávkování a použití:</w:t>
      </w:r>
    </w:p>
    <w:p w14:paraId="0C9835F2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2376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>Aplikuje se jedna dávka na zvíře.</w:t>
      </w:r>
    </w:p>
    <w:p w14:paraId="465A3ADD" w14:textId="106903D8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1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1"/>
          <w:kern w:val="0"/>
          <w:szCs w:val="21"/>
          <w14:ligatures w14:val="none"/>
        </w:rPr>
        <w:t>Vakcínu lze aplikovat od prvního dne života.</w:t>
      </w:r>
    </w:p>
    <w:p w14:paraId="0E9101BC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1"/>
          <w:kern w:val="0"/>
          <w:szCs w:val="21"/>
          <w14:ligatures w14:val="none"/>
        </w:rPr>
      </w:pPr>
    </w:p>
    <w:p w14:paraId="6BFC4DC7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>Doporučené vakcinační schéma:</w:t>
      </w:r>
    </w:p>
    <w:p w14:paraId="4940CC3F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</w:p>
    <w:p w14:paraId="55E85797" w14:textId="654B3FC6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Brojleři: Jedna dávka od stáří jednoho dne.</w:t>
      </w:r>
    </w:p>
    <w:p w14:paraId="205AF900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</w:p>
    <w:p w14:paraId="5D0F4446" w14:textId="1D5771EC" w:rsidR="00430A33" w:rsidRPr="00710BE6" w:rsidRDefault="00430A33" w:rsidP="004E2693">
      <w:pPr>
        <w:tabs>
          <w:tab w:val="left" w:pos="567"/>
        </w:tabs>
        <w:spacing w:after="0" w:line="260" w:lineRule="exact"/>
        <w:ind w:right="118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Kuřata užitkových a plemenných nosnic: Jedna dávka </w:t>
      </w: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od stáří jednoho dne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, druhá vakcinace ve stáří 7 týdnů a třetí </w:t>
      </w: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>vakcinace ve stáří 16 týdnů, nejméně 3 týdny před očekávanou snáškou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.</w:t>
      </w:r>
    </w:p>
    <w:p w14:paraId="2DBB1204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1"/>
          <w14:ligatures w14:val="none"/>
        </w:rPr>
      </w:pPr>
    </w:p>
    <w:p w14:paraId="7CAEDC18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3E9135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9.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Informace o správném podávání</w:t>
      </w:r>
    </w:p>
    <w:p w14:paraId="0A558E46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3FDC1D" w14:textId="77777777" w:rsidR="00430A33" w:rsidRPr="00710BE6" w:rsidRDefault="00430A33" w:rsidP="0043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u w:val="single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:u w:val="single"/>
          <w14:ligatures w14:val="none"/>
        </w:rPr>
        <w:t>Vakcinace v pitné vodě</w:t>
      </w:r>
    </w:p>
    <w:p w14:paraId="1FEBFF5B" w14:textId="77777777" w:rsidR="00430A33" w:rsidRPr="00710BE6" w:rsidRDefault="00430A33" w:rsidP="0043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u w:val="single"/>
          <w14:ligatures w14:val="none"/>
        </w:rPr>
      </w:pPr>
    </w:p>
    <w:p w14:paraId="3BB01017" w14:textId="06FA79F4" w:rsidR="00430A33" w:rsidRPr="00710BE6" w:rsidRDefault="00430A33" w:rsidP="004E2693">
      <w:pPr>
        <w:spacing w:after="0" w:line="260" w:lineRule="exact"/>
        <w:ind w:right="-62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1. Je nutno zajistit, aby bylo celé potrubí, všechny žlaby, napáječky apod. naprosto čisté a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bez zbytků jakýchkoliv dezinfekčních prostředků, detergentů, mýdla apod.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br/>
      </w:r>
    </w:p>
    <w:p w14:paraId="6C660783" w14:textId="79BC5DAE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2. Používá se jen chladná, čistá a čerstvá voda, pokud možno nechlórovaná a prostá kovových 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>iontů.</w:t>
      </w:r>
    </w:p>
    <w:p w14:paraId="213B1F88" w14:textId="77777777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kern w:val="0"/>
          <w:szCs w:val="21"/>
          <w14:ligatures w14:val="none"/>
        </w:rPr>
      </w:pPr>
    </w:p>
    <w:p w14:paraId="74357075" w14:textId="41CC1371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>3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. Lékovka s vakcínou se otevírá pod vodou a důkladně se rozpustí. Jelikož je koncentrovaná </w:t>
      </w:r>
      <w:r w:rsidRPr="00710BE6">
        <w:rPr>
          <w:rFonts w:ascii="Times New Roman" w:eastAsia="Times New Roman" w:hAnsi="Times New Roman" w:cs="Times New Roman"/>
          <w:spacing w:val="-2"/>
          <w:kern w:val="0"/>
          <w:szCs w:val="21"/>
          <w14:ligatures w14:val="none"/>
        </w:rPr>
        <w:t xml:space="preserve">vakcína mírně viskózní, je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nutno kompletně vyprázdnit lékovku jejím pečlivým vypláchnutím ve vodě.</w:t>
      </w:r>
    </w:p>
    <w:p w14:paraId="4128205B" w14:textId="77777777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kern w:val="0"/>
          <w:szCs w:val="21"/>
          <w14:ligatures w14:val="none"/>
        </w:rPr>
      </w:pPr>
    </w:p>
    <w:p w14:paraId="3B6E139B" w14:textId="5EFE6600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4. Před aplikací se vakcína důkladně rozpustí v nádobě o objemu </w:t>
      </w:r>
      <w:smartTag w:uri="urn:schemas-microsoft-com:office:smarttags" w:element="metricconverter">
        <w:smartTagPr>
          <w:attr w:name="ProductID" w:val="1 litr"/>
        </w:smartTagPr>
        <w:r w:rsidRPr="00710BE6">
          <w:rPr>
            <w:rFonts w:ascii="Times New Roman" w:eastAsia="Times New Roman" w:hAnsi="Times New Roman" w:cs="Times New Roman"/>
            <w:spacing w:val="-4"/>
            <w:kern w:val="0"/>
            <w:szCs w:val="21"/>
            <w14:ligatures w14:val="none"/>
          </w:rPr>
          <w:t>1 litr</w:t>
        </w:r>
      </w:smartTag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 a dobře se promíchá, dříve než se zamíchá do většího množství vody v 10 litrovém kbelíku. V každém stupni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rozpouštění musí být vakcína vždy po dobu několika minut důkladně zamíchána. Vypočítejte potřebné množství vody na počet vakcinačních dávek (viz níže). Nerozpouštět větší množství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lékovek, než pro jednu halu nebo pro jeden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lastRenderedPageBreak/>
        <w:t xml:space="preserve">napájecí systém, aby nedošlo k chybám při 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>namíchání vakcíny.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br/>
      </w:r>
    </w:p>
    <w:p w14:paraId="08F30544" w14:textId="5C0247C5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5. Pomůcka pro výpočet objemu vody potřebného pro rozmíchání vakcíny: vakcínu nařeďte v chladné a čerstvé vodě o objemu </w:t>
      </w:r>
      <w:smartTag w:uri="urn:schemas-microsoft-com:office:smarttags" w:element="metricconverter">
        <w:smartTagPr>
          <w:attr w:name="ProductID" w:val="1 litr"/>
        </w:smartTagPr>
        <w:r w:rsidRPr="00710BE6">
          <w:rPr>
            <w:rFonts w:ascii="Times New Roman" w:eastAsia="Times New Roman" w:hAnsi="Times New Roman" w:cs="Times New Roman"/>
            <w:spacing w:val="2"/>
            <w:kern w:val="0"/>
            <w:szCs w:val="21"/>
            <w14:ligatures w14:val="none"/>
          </w:rPr>
          <w:t>1 litr</w:t>
        </w:r>
      </w:smartTag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 na 1000 </w:t>
      </w:r>
      <w:r w:rsidRPr="00710BE6">
        <w:rPr>
          <w:rFonts w:ascii="Times New Roman" w:eastAsia="Times New Roman" w:hAnsi="Times New Roman" w:cs="Times New Roman"/>
          <w:spacing w:val="-5"/>
          <w:kern w:val="0"/>
          <w:szCs w:val="21"/>
          <w14:ligatures w14:val="none"/>
        </w:rPr>
        <w:t xml:space="preserve">kuřat a den stáří. Tj. např. </w:t>
      </w:r>
      <w:smartTag w:uri="urn:schemas-microsoft-com:office:smarttags" w:element="metricconverter">
        <w:smartTagPr>
          <w:attr w:name="ProductID" w:val="10 litrů"/>
        </w:smartTagPr>
        <w:r w:rsidRPr="00710BE6">
          <w:rPr>
            <w:rFonts w:ascii="Times New Roman" w:eastAsia="Times New Roman" w:hAnsi="Times New Roman" w:cs="Times New Roman"/>
            <w:spacing w:val="-5"/>
            <w:kern w:val="0"/>
            <w:szCs w:val="21"/>
            <w14:ligatures w14:val="none"/>
          </w:rPr>
          <w:t>10 litrů</w:t>
        </w:r>
      </w:smartTag>
      <w:r w:rsidRPr="00710BE6">
        <w:rPr>
          <w:rFonts w:ascii="Times New Roman" w:eastAsia="Times New Roman" w:hAnsi="Times New Roman" w:cs="Times New Roman"/>
          <w:spacing w:val="-5"/>
          <w:kern w:val="0"/>
          <w:szCs w:val="21"/>
          <w14:ligatures w14:val="none"/>
        </w:rPr>
        <w:t xml:space="preserve"> vody je zapotřebí pro 1000 kuřat o stáří 10 dní. </w:t>
      </w:r>
      <w:r w:rsidRPr="00710BE6">
        <w:rPr>
          <w:rFonts w:ascii="Times New Roman" w:eastAsia="Times New Roman" w:hAnsi="Times New Roman" w:cs="Times New Roman"/>
          <w:spacing w:val="2"/>
          <w:kern w:val="0"/>
          <w14:ligatures w14:val="none"/>
        </w:rPr>
        <w:t>P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ro přesné určení správného </w:t>
      </w: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množství vody pro jednotlivý případ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vycházejte z údajů na vodoměru z předchozího dne. Ke zvýšení stability vakcíny se do vody přidává prášek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nízkotučného (tj. </w:t>
      </w:r>
      <w:r w:rsidRPr="00710BE6">
        <w:rPr>
          <w:rFonts w:ascii="Times New Roman" w:eastAsia="Times New Roman" w:hAnsi="Times New Roman" w:cs="Times New Roman"/>
          <w:kern w:val="0"/>
          <w:szCs w:val="26"/>
          <w14:ligatures w14:val="none"/>
        </w:rPr>
        <w:t>&lt;1</w:t>
      </w:r>
      <w:r w:rsidRPr="00710BE6">
        <w:rPr>
          <w:rFonts w:ascii="Times New Roman" w:eastAsia="Times New Roman" w:hAnsi="Times New Roman" w:cs="Times New Roman"/>
          <w:kern w:val="0"/>
          <w:szCs w:val="21"/>
          <w14:ligatures w14:val="none"/>
        </w:rPr>
        <w:t xml:space="preserve"> %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tuku), odstředěného mléka (2 – 4 g na litr) nebo odstředěné mléko (20 – 40 ml/litr vody). </w:t>
      </w:r>
    </w:p>
    <w:p w14:paraId="6E1DC104" w14:textId="77777777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</w:pPr>
    </w:p>
    <w:p w14:paraId="0682A2F4" w14:textId="2C4AC15D" w:rsidR="00430A33" w:rsidRPr="00710BE6" w:rsidRDefault="00430A33" w:rsidP="00430A3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Přísada by měla být přidána do vody v každém případě 10 minut před rozpuštěním vakcíny. Všechna voda musí být z celého potrubí před vakcinací vypuštěna, aby v napáječkách byla jenom voda s vakcínou. V ideálním případě by měli ptáci vypít vakcínu rozpuštěnou v pitné vodě během 4 hodin.</w:t>
      </w:r>
    </w:p>
    <w:p w14:paraId="5CB21EB7" w14:textId="77777777" w:rsidR="00430A33" w:rsidRPr="00710BE6" w:rsidRDefault="00430A33" w:rsidP="00430A3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</w:p>
    <w:p w14:paraId="38513589" w14:textId="612D2619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Pokud si nejste jisti spotřebou vody, musí se </w:t>
      </w:r>
      <w:r w:rsidRPr="00710BE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spotřeba vody</w:t>
      </w:r>
      <w:r w:rsidRPr="00710BE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stanovit den před vakcinací.</w:t>
      </w:r>
    </w:p>
    <w:p w14:paraId="1E7FA78E" w14:textId="77777777" w:rsidR="00430A33" w:rsidRPr="00710BE6" w:rsidRDefault="00430A33" w:rsidP="004E2693">
      <w:pPr>
        <w:tabs>
          <w:tab w:val="left" w:pos="540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</w:p>
    <w:p w14:paraId="224BC3CF" w14:textId="053DD039" w:rsidR="00430A33" w:rsidRPr="00710BE6" w:rsidRDefault="00430A33" w:rsidP="004E2693">
      <w:pPr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6</w:t>
      </w: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 xml:space="preserve">. Nechejte ptákům vypít z napáječek všechnu vodu, aby v napáječkách zůstaly před vakcinací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jen minimální zbytky vody. Je-li ještě voda přítomna v potrubí, musí se před aplikací vakcíny vypustit.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 xml:space="preserve">Voda s vakcínou se podává po dobu 4 hodin. Je nutno zajistit, aby v této době všichni ptáci pili. Zvyky ptáků v pití jsou různé. Může být nutné nechat ptáky před vakcinací žíznit, aby se zajistilo, že 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 xml:space="preserve">všichni ptáci budou v průběhu doby vakcinace pít. Cílem je, podat každému ptáku jednu dávku </w:t>
      </w:r>
      <w:r w:rsidRPr="00710BE6">
        <w:rPr>
          <w:rFonts w:ascii="Times New Roman" w:eastAsia="Times New Roman" w:hAnsi="Times New Roman" w:cs="Times New Roman"/>
          <w:spacing w:val="-4"/>
          <w:kern w:val="0"/>
          <w:szCs w:val="21"/>
          <w14:ligatures w14:val="none"/>
        </w:rPr>
        <w:t>vakcíny. Doba žíznění před vakcinací může být až 2 – 3 hodiny.</w:t>
      </w:r>
    </w:p>
    <w:p w14:paraId="4FA3B224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</w:p>
    <w:p w14:paraId="55F5F607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2"/>
          <w:kern w:val="0"/>
          <w:szCs w:val="21"/>
          <w14:ligatures w14:val="none"/>
        </w:rPr>
        <w:t>Rozpuštěnou vakcínu aplikujte ptákům ihned.</w:t>
      </w:r>
    </w:p>
    <w:p w14:paraId="57EC5A69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-62"/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t>Zajistěte, aby ptáci neměli v průběhu vakcinace přístup k vodě bez vakcíny.</w:t>
      </w:r>
      <w:r w:rsidRPr="00710BE6">
        <w:rPr>
          <w:rFonts w:ascii="Times New Roman" w:eastAsia="Times New Roman" w:hAnsi="Times New Roman" w:cs="Times New Roman"/>
          <w:spacing w:val="1"/>
          <w:kern w:val="0"/>
          <w:szCs w:val="21"/>
          <w14:ligatures w14:val="none"/>
        </w:rPr>
        <w:br/>
        <w:t>Zamezte vystavení suspenze vakcíny slunečnímu svitu.</w:t>
      </w:r>
    </w:p>
    <w:p w14:paraId="21554F41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60CE33AC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61A13D20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10.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Ochranné lhůty</w:t>
      </w:r>
    </w:p>
    <w:p w14:paraId="01B2E732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475C123A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iCs/>
          <w:kern w:val="0"/>
          <w14:ligatures w14:val="none"/>
        </w:rPr>
        <w:t>Maso a vejce: 21 dnů.</w:t>
      </w:r>
    </w:p>
    <w:p w14:paraId="3234033B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06CB5D8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588D6EB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11.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uchovávání</w:t>
      </w:r>
    </w:p>
    <w:p w14:paraId="5DA9B8BB" w14:textId="77777777" w:rsidR="00430A33" w:rsidRPr="00710BE6" w:rsidRDefault="00430A33" w:rsidP="00430A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20C316" w14:textId="77777777" w:rsidR="00430A33" w:rsidRPr="00710BE6" w:rsidRDefault="00430A33" w:rsidP="00430A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Uchovávejte mimo dohled a dosah dětí.</w:t>
      </w:r>
    </w:p>
    <w:p w14:paraId="2AE90513" w14:textId="77777777" w:rsidR="00430A33" w:rsidRPr="00710BE6" w:rsidRDefault="00430A33" w:rsidP="00430A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747AD3" w14:textId="2F69BB8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Uchovávejte v chladničce (2 °C – 8 °C).</w:t>
      </w:r>
    </w:p>
    <w:p w14:paraId="3798D116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Chraňte před mrazem.</w:t>
      </w:r>
    </w:p>
    <w:p w14:paraId="7C9A0A10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Chraňte před světlem.</w:t>
      </w:r>
    </w:p>
    <w:p w14:paraId="3C80F62F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A7131FB" w14:textId="77777777" w:rsidR="00430A33" w:rsidRPr="00710BE6" w:rsidRDefault="00430A33" w:rsidP="00430A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Nepoužívejte tento veterinární léčivý přípravek po uplynutí doby použitelnosti uvedené na etiketě po Exp. Doba použitelnosti končí posledním dnem v uvedeném měsíci.</w:t>
      </w:r>
    </w:p>
    <w:p w14:paraId="7B955D4F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C298C59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Doba použitelnosti po rekonstituci podle návodu: 4 hodiny.</w:t>
      </w:r>
    </w:p>
    <w:p w14:paraId="50F9F47E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256E87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0DE1F8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12.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likvidaci</w:t>
      </w:r>
    </w:p>
    <w:p w14:paraId="4AA2D863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60C7BC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Léčivé přípravky se nesmí likvidovat prostřednictvím odpadní vody či domovního odpadu.</w:t>
      </w:r>
    </w:p>
    <w:p w14:paraId="22DB4D51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231E3FB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F03FFEE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7E2EF2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lastRenderedPageBreak/>
        <w:t>O možnostech likvidace nepotřebných léčivých přípravků se poraďte s vaším veterinárním lékařem nebo lékárníkem.</w:t>
      </w:r>
    </w:p>
    <w:p w14:paraId="7EDBB973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4E66722E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1C5B0F12" w14:textId="5BD5F807" w:rsidR="00430A33" w:rsidRPr="00710BE6" w:rsidRDefault="00430A33" w:rsidP="004E269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13.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Klasifikace veterinárních léčivých přípravků</w:t>
      </w:r>
    </w:p>
    <w:p w14:paraId="6C5DF5A3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pacing w:val="2"/>
          <w:kern w:val="0"/>
          <w:szCs w:val="21"/>
          <w14:ligatures w14:val="none"/>
        </w:rPr>
      </w:pPr>
    </w:p>
    <w:p w14:paraId="6BA54EB8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pacing w:val="2"/>
          <w:kern w:val="0"/>
          <w:szCs w:val="21"/>
          <w14:ligatures w14:val="none"/>
        </w:rPr>
      </w:pPr>
      <w:r w:rsidRPr="00710BE6">
        <w:rPr>
          <w:rFonts w:ascii="Times New Roman" w:eastAsia="Times New Roman" w:hAnsi="Times New Roman" w:cs="Times New Roman"/>
          <w:bCs/>
          <w:spacing w:val="2"/>
          <w:kern w:val="0"/>
          <w:szCs w:val="21"/>
          <w14:ligatures w14:val="none"/>
        </w:rPr>
        <w:t xml:space="preserve">Veterinární léčivý přípravek je vydáván pouze na předpis. </w:t>
      </w:r>
    </w:p>
    <w:p w14:paraId="3FC9E740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B94636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C755CA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14.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Registrační čísla a velikosti balení</w:t>
      </w:r>
    </w:p>
    <w:p w14:paraId="17330DDD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A784D8" w14:textId="77777777" w:rsidR="00430A33" w:rsidRPr="00710BE6" w:rsidRDefault="00430A33" w:rsidP="00430A33">
      <w:pPr>
        <w:tabs>
          <w:tab w:val="left" w:pos="567"/>
          <w:tab w:val="left" w:leader="underscore" w:pos="9576"/>
        </w:tabs>
        <w:spacing w:after="0" w:line="260" w:lineRule="exact"/>
        <w:ind w:right="6696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>97/002/06-C</w:t>
      </w:r>
    </w:p>
    <w:p w14:paraId="61A016BA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94C99E" w14:textId="77777777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>Vakcína je k dispozici v těchto následujících velikostech balení:</w:t>
      </w:r>
    </w:p>
    <w:p w14:paraId="48078964" w14:textId="3A991131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rPr>
          <w:rFonts w:ascii="Times New Roman" w:eastAsia="Times New Roman" w:hAnsi="Times New Roman" w:cs="Times New Roman"/>
          <w:spacing w:val="-7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>Krabička s 1 injekční lahvičkou obsahující 500, 1000, 1500, 2000 nebo 2500 dávek.</w:t>
      </w:r>
    </w:p>
    <w:p w14:paraId="642E96BF" w14:textId="1D3546D1" w:rsidR="00430A33" w:rsidRPr="00710BE6" w:rsidRDefault="00430A33" w:rsidP="00430A33">
      <w:pPr>
        <w:tabs>
          <w:tab w:val="left" w:pos="567"/>
        </w:tabs>
        <w:spacing w:after="0" w:line="260" w:lineRule="exact"/>
        <w:ind w:right="576"/>
        <w:rPr>
          <w:rFonts w:ascii="Times New Roman" w:eastAsia="Times New Roman" w:hAnsi="Times New Roman" w:cs="Times New Roman"/>
          <w:spacing w:val="-7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>Krabička s 10 injekčními lahvičkami obsahujícími 500, 1000, 1500, 2000 nebo 2500 dávek.</w:t>
      </w:r>
    </w:p>
    <w:p w14:paraId="6A59F9EC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D5B917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Na trhu nemusí být všechny velikosti balení.</w:t>
      </w:r>
    </w:p>
    <w:p w14:paraId="5A2A5F7A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9DA709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1DC456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15.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Datum poslední revize příbalové informace</w:t>
      </w:r>
    </w:p>
    <w:p w14:paraId="5601D655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F885279" w14:textId="1FEA7461" w:rsidR="00430A33" w:rsidRPr="00710BE6" w:rsidRDefault="001A595C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01/2024</w:t>
      </w:r>
    </w:p>
    <w:p w14:paraId="1F7280A0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BD3D1D" w14:textId="32889453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Podrobné informace o tomto veterinárním léčivém přípravku jsou k dispozici v databázi přípravků Unie </w:t>
      </w: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(</w:t>
      </w:r>
      <w:hyperlink r:id="rId10" w:history="1">
        <w:r w:rsidRPr="00710BE6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https://medicines.health.europa.eu/veterinary</w:t>
        </w:r>
      </w:hyperlink>
      <w:r w:rsidRPr="00710BE6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24DE43D9" w14:textId="36BCD02C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A6FD25" w14:textId="77777777" w:rsidR="002E4488" w:rsidRPr="00710BE6" w:rsidRDefault="002E4488" w:rsidP="002E448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14:ligatures w14:val="none"/>
        </w:rPr>
        <w:t>Podrobné informace o tomto veterinárním léčivém přípravku naleznete také v národní databázi (</w:t>
      </w:r>
      <w:hyperlink r:id="rId11" w:history="1">
        <w:r w:rsidRPr="00710BE6">
          <w:rPr>
            <w:rStyle w:val="Hypertextovodkaz"/>
            <w:rFonts w:ascii="Times New Roman" w:eastAsia="Times New Roman" w:hAnsi="Times New Roman" w:cs="Times New Roman"/>
            <w:color w:val="0000FF"/>
            <w:kern w:val="0"/>
            <w14:ligatures w14:val="none"/>
          </w:rPr>
          <w:t>https://www.uskvbl.cz</w:t>
        </w:r>
      </w:hyperlink>
      <w:r w:rsidRPr="00710BE6">
        <w:rPr>
          <w:rFonts w:ascii="Times New Roman" w:eastAsia="Times New Roman" w:hAnsi="Times New Roman" w:cs="Times New Roman"/>
          <w:kern w:val="0"/>
          <w14:ligatures w14:val="none"/>
        </w:rPr>
        <w:t xml:space="preserve">). </w:t>
      </w:r>
    </w:p>
    <w:p w14:paraId="048B025A" w14:textId="77777777" w:rsidR="002E4488" w:rsidRPr="00710BE6" w:rsidRDefault="002E4488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DDAC27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224995" w14:textId="77777777" w:rsidR="00430A33" w:rsidRPr="00710BE6" w:rsidRDefault="00430A33" w:rsidP="00430A33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10BE6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16.</w:t>
      </w:r>
      <w:r w:rsidRPr="00710BE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Kontaktní údaje</w:t>
      </w:r>
    </w:p>
    <w:p w14:paraId="0A6DA4E3" w14:textId="77777777" w:rsidR="00430A33" w:rsidRPr="00710BE6" w:rsidRDefault="00430A33" w:rsidP="00430A3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5B3E15" w14:textId="77777777" w:rsidR="00430A33" w:rsidRPr="00710BE6" w:rsidRDefault="00430A33" w:rsidP="00430A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Cs/>
          <w:kern w:val="0"/>
          <w14:ligatures w14:val="none"/>
        </w:rPr>
      </w:pPr>
      <w:bookmarkStart w:id="1" w:name="_Hlk73552578"/>
      <w:r w:rsidRPr="00710BE6">
        <w:rPr>
          <w:rFonts w:ascii="Times New Roman" w:eastAsia="Times New Roman" w:hAnsi="Times New Roman" w:cs="Times New Roman"/>
          <w:iCs/>
          <w:kern w:val="0"/>
          <w:u w:val="single"/>
          <w14:ligatures w14:val="none"/>
        </w:rPr>
        <w:t>Držitel rozhodnutí o registraci, výrobce odpovědný za uvolnění šarže a kontaktní údaje pro hlášení podezření na nežádoucí účinky</w:t>
      </w: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bookmarkEnd w:id="1"/>
    <w:p w14:paraId="66696625" w14:textId="77777777" w:rsidR="00430A33" w:rsidRPr="00710BE6" w:rsidRDefault="00430A33" w:rsidP="00430A33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990C54D" w14:textId="5E2DE69D" w:rsidR="00430A33" w:rsidRPr="00710BE6" w:rsidRDefault="00430A33" w:rsidP="004E2693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Lohmann Animal Health GmbH, Heinz-Lohmann-Str. 4, 27472 Cuxhaven, Německo</w:t>
      </w:r>
    </w:p>
    <w:p w14:paraId="209D7514" w14:textId="77777777" w:rsidR="00430A33" w:rsidRPr="00710BE6" w:rsidRDefault="00430A33" w:rsidP="00430A33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A14D84" w14:textId="77777777" w:rsidR="00430A33" w:rsidRPr="00710BE6" w:rsidRDefault="004318C4" w:rsidP="00430A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color w:val="0000FF"/>
          <w:spacing w:val="-2"/>
          <w:kern w:val="0"/>
          <w:u w:val="single"/>
          <w:lang w:eastAsia="en-GB"/>
          <w14:ligatures w14:val="none"/>
        </w:rPr>
      </w:pPr>
      <w:hyperlink r:id="rId12" w:history="1">
        <w:r w:rsidR="00430A33" w:rsidRPr="00710BE6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/>
            <w:lang w:eastAsia="en-GB"/>
            <w14:ligatures w14:val="none"/>
          </w:rPr>
          <w:t>PV.CZE@elancoah.com</w:t>
        </w:r>
      </w:hyperlink>
    </w:p>
    <w:p w14:paraId="6E27A534" w14:textId="77777777" w:rsidR="00430A33" w:rsidRPr="00710BE6" w:rsidRDefault="00430A33" w:rsidP="00430A33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10BE6">
        <w:rPr>
          <w:rFonts w:ascii="Times New Roman" w:eastAsia="Times New Roman" w:hAnsi="Times New Roman" w:cs="Times New Roman"/>
          <w:kern w:val="0"/>
          <w:szCs w:val="20"/>
          <w14:ligatures w14:val="none"/>
        </w:rPr>
        <w:t>+420228880231</w:t>
      </w:r>
    </w:p>
    <w:p w14:paraId="000EE770" w14:textId="77777777" w:rsidR="00B8739A" w:rsidRPr="00710BE6" w:rsidRDefault="00B8739A"/>
    <w:sectPr w:rsidR="00B8739A" w:rsidRPr="0071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94C"/>
    <w:multiLevelType w:val="hybridMultilevel"/>
    <w:tmpl w:val="4D9269BA"/>
    <w:lvl w:ilvl="0" w:tplc="200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3"/>
    <w:rsid w:val="00030142"/>
    <w:rsid w:val="00031BDB"/>
    <w:rsid w:val="001A595C"/>
    <w:rsid w:val="001C30C1"/>
    <w:rsid w:val="002E4488"/>
    <w:rsid w:val="00430A33"/>
    <w:rsid w:val="004318C4"/>
    <w:rsid w:val="004E2693"/>
    <w:rsid w:val="005130A8"/>
    <w:rsid w:val="0056428F"/>
    <w:rsid w:val="00625B70"/>
    <w:rsid w:val="00695939"/>
    <w:rsid w:val="00710BE6"/>
    <w:rsid w:val="007A2A09"/>
    <w:rsid w:val="008E1196"/>
    <w:rsid w:val="00920143"/>
    <w:rsid w:val="00934764"/>
    <w:rsid w:val="00A81897"/>
    <w:rsid w:val="00AE294F"/>
    <w:rsid w:val="00B8739A"/>
    <w:rsid w:val="00D77E3D"/>
    <w:rsid w:val="00F92CB7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53ABD"/>
  <w15:chartTrackingRefBased/>
  <w15:docId w15:val="{4BD03614-91BE-42D6-9C2C-F3A5EE92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0A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0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0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0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0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0A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0A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0A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0A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RD">
    <w:name w:val="QRD"/>
    <w:basedOn w:val="Style1"/>
    <w:link w:val="QRDChar"/>
    <w:qFormat/>
    <w:rsid w:val="00F92CB7"/>
    <w:rPr>
      <w:color w:val="auto"/>
      <w:lang w:val="sl-SI" w:eastAsia="sl-SI"/>
    </w:rPr>
  </w:style>
  <w:style w:type="character" w:customStyle="1" w:styleId="QRDChar">
    <w:name w:val="QRD Char"/>
    <w:basedOn w:val="Style1Char"/>
    <w:link w:val="QRD"/>
    <w:rsid w:val="00F92CB7"/>
    <w:rPr>
      <w:b/>
      <w:color w:val="000000"/>
      <w:lang w:val="sl-SI" w:eastAsia="sl-SI"/>
    </w:rPr>
  </w:style>
  <w:style w:type="paragraph" w:customStyle="1" w:styleId="Style1">
    <w:name w:val="Style1"/>
    <w:basedOn w:val="Normln"/>
    <w:link w:val="Style1Char"/>
    <w:qFormat/>
    <w:rsid w:val="001C30C1"/>
    <w:pPr>
      <w:spacing w:after="0" w:line="240" w:lineRule="auto"/>
      <w:jc w:val="center"/>
    </w:pPr>
    <w:rPr>
      <w:b/>
      <w:color w:val="000000"/>
      <w:lang w:val="lv-LV"/>
    </w:rPr>
  </w:style>
  <w:style w:type="character" w:customStyle="1" w:styleId="Style1Char">
    <w:name w:val="Style1 Char"/>
    <w:basedOn w:val="Standardnpsmoodstavce"/>
    <w:link w:val="Style1"/>
    <w:rsid w:val="001C30C1"/>
    <w:rPr>
      <w:b/>
      <w:color w:val="000000"/>
      <w:lang w:val="lv-LV"/>
    </w:rPr>
  </w:style>
  <w:style w:type="paragraph" w:customStyle="1" w:styleId="TitleA">
    <w:name w:val="Title A"/>
    <w:basedOn w:val="Normln"/>
    <w:link w:val="TitleAChar"/>
    <w:qFormat/>
    <w:rsid w:val="00D77E3D"/>
    <w:pPr>
      <w:spacing w:after="0" w:line="240" w:lineRule="auto"/>
      <w:jc w:val="center"/>
    </w:pPr>
    <w:rPr>
      <w:b/>
    </w:rPr>
  </w:style>
  <w:style w:type="character" w:customStyle="1" w:styleId="TitleAChar">
    <w:name w:val="Title A Char"/>
    <w:basedOn w:val="Standardnpsmoodstavce"/>
    <w:link w:val="TitleA"/>
    <w:rsid w:val="00D77E3D"/>
    <w:rPr>
      <w:b/>
    </w:rPr>
  </w:style>
  <w:style w:type="paragraph" w:customStyle="1" w:styleId="TitleB">
    <w:name w:val="Title B"/>
    <w:basedOn w:val="Normln"/>
    <w:link w:val="TitleBChar"/>
    <w:qFormat/>
    <w:rsid w:val="00D77E3D"/>
    <w:pPr>
      <w:widowControl w:val="0"/>
      <w:tabs>
        <w:tab w:val="left" w:pos="567"/>
      </w:tabs>
      <w:autoSpaceDE w:val="0"/>
      <w:autoSpaceDN w:val="0"/>
      <w:spacing w:after="0" w:line="240" w:lineRule="auto"/>
    </w:pPr>
    <w:rPr>
      <w:lang w:val="en-US"/>
    </w:rPr>
  </w:style>
  <w:style w:type="character" w:customStyle="1" w:styleId="TitleBChar">
    <w:name w:val="Title B Char"/>
    <w:basedOn w:val="Standardnpsmoodstavce"/>
    <w:link w:val="TitleB"/>
    <w:rsid w:val="00D77E3D"/>
    <w:rPr>
      <w:lang w:val="en-US"/>
    </w:rPr>
  </w:style>
  <w:style w:type="paragraph" w:customStyle="1" w:styleId="titleA0">
    <w:name w:val="title A"/>
    <w:basedOn w:val="Normln"/>
    <w:link w:val="titleAChar0"/>
    <w:qFormat/>
    <w:rsid w:val="007A2A09"/>
    <w:pPr>
      <w:spacing w:after="0" w:line="240" w:lineRule="auto"/>
      <w:jc w:val="center"/>
    </w:pPr>
    <w:rPr>
      <w:b/>
    </w:rPr>
  </w:style>
  <w:style w:type="character" w:customStyle="1" w:styleId="titleAChar0">
    <w:name w:val="title A Char"/>
    <w:basedOn w:val="Standardnpsmoodstavce"/>
    <w:link w:val="titleA0"/>
    <w:rsid w:val="007A2A09"/>
    <w:rPr>
      <w:b/>
    </w:rPr>
  </w:style>
  <w:style w:type="paragraph" w:customStyle="1" w:styleId="QRDTitle">
    <w:name w:val="QRD Title"/>
    <w:basedOn w:val="TitleA"/>
    <w:link w:val="QRDTitleChar"/>
    <w:autoRedefine/>
    <w:qFormat/>
    <w:rsid w:val="00FD3287"/>
  </w:style>
  <w:style w:type="character" w:customStyle="1" w:styleId="QRDTitleChar">
    <w:name w:val="QRD Title Char"/>
    <w:basedOn w:val="TitleAChar"/>
    <w:link w:val="QRDTitle"/>
    <w:rsid w:val="00FD3287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430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0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0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0A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0A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0A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0A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0A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0A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30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0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0A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30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30A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30A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30A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30A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0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0A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30A33"/>
    <w:rPr>
      <w:b/>
      <w:bCs/>
      <w:smallCaps/>
      <w:color w:val="0F4761" w:themeColor="accent1" w:themeShade="BF"/>
      <w:spacing w:val="5"/>
    </w:rPr>
  </w:style>
  <w:style w:type="paragraph" w:customStyle="1" w:styleId="Style3">
    <w:name w:val="Style3"/>
    <w:basedOn w:val="Normln"/>
    <w:qFormat/>
    <w:rsid w:val="00430A33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95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4488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V.CZE@elancoa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9" ma:contentTypeDescription="Create a new document." ma:contentTypeScope="" ma:versionID="ebd157a4ab6997d8e81b644481b002bf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3a10940a34cb3b65fe74ab28c8ed0f45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0480A-1833-44D7-BD70-CDC820448007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2.xml><?xml version="1.0" encoding="utf-8"?>
<ds:datastoreItem xmlns:ds="http://schemas.openxmlformats.org/officeDocument/2006/customXml" ds:itemID="{A35B41F6-407E-43C4-AB9B-84058FB94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9D386-EFE9-4B10-984E-CA2780C8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Tusar</dc:creator>
  <cp:keywords/>
  <dc:description/>
  <cp:lastModifiedBy>Nepejchalová Leona</cp:lastModifiedBy>
  <cp:revision>5</cp:revision>
  <cp:lastPrinted>2024-01-17T07:35:00Z</cp:lastPrinted>
  <dcterms:created xsi:type="dcterms:W3CDTF">2024-01-04T09:33:00Z</dcterms:created>
  <dcterms:modified xsi:type="dcterms:W3CDTF">2024-01-31T12:33:00Z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0x010100F9FE20DFD7E4F24EB6978DB77E30EE02</vt:lpwstr>
  </property>
</Properties>
</file>