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4FF1B" w14:textId="77777777" w:rsidR="00A33953" w:rsidRPr="005741DC" w:rsidRDefault="00A33953">
      <w:pPr>
        <w:jc w:val="center"/>
        <w:rPr>
          <w:sz w:val="22"/>
          <w:szCs w:val="22"/>
        </w:rPr>
      </w:pPr>
    </w:p>
    <w:p w14:paraId="464B7CF5" w14:textId="77777777" w:rsidR="00A33953" w:rsidRPr="005741DC" w:rsidRDefault="00A33953">
      <w:pPr>
        <w:jc w:val="center"/>
        <w:rPr>
          <w:sz w:val="22"/>
          <w:szCs w:val="22"/>
        </w:rPr>
      </w:pPr>
    </w:p>
    <w:p w14:paraId="5905AE26" w14:textId="77777777" w:rsidR="00A33953" w:rsidRPr="005741DC" w:rsidRDefault="00A33953">
      <w:pPr>
        <w:jc w:val="center"/>
        <w:rPr>
          <w:sz w:val="22"/>
          <w:szCs w:val="22"/>
        </w:rPr>
      </w:pPr>
    </w:p>
    <w:p w14:paraId="49F6DE44" w14:textId="77777777" w:rsidR="00A33953" w:rsidRPr="005741DC" w:rsidRDefault="00A33953">
      <w:pPr>
        <w:jc w:val="center"/>
        <w:rPr>
          <w:sz w:val="22"/>
          <w:szCs w:val="22"/>
        </w:rPr>
      </w:pPr>
    </w:p>
    <w:p w14:paraId="1EB9B737" w14:textId="77777777" w:rsidR="00A33953" w:rsidRPr="005741DC" w:rsidRDefault="00A33953">
      <w:pPr>
        <w:jc w:val="center"/>
        <w:rPr>
          <w:sz w:val="22"/>
          <w:szCs w:val="22"/>
        </w:rPr>
      </w:pPr>
    </w:p>
    <w:p w14:paraId="55B66AA8" w14:textId="77777777" w:rsidR="00A33953" w:rsidRPr="005741DC" w:rsidRDefault="00A33953">
      <w:pPr>
        <w:jc w:val="center"/>
        <w:rPr>
          <w:sz w:val="22"/>
          <w:szCs w:val="22"/>
        </w:rPr>
      </w:pPr>
    </w:p>
    <w:p w14:paraId="52269947" w14:textId="77777777" w:rsidR="00A33953" w:rsidRPr="005741DC" w:rsidRDefault="00A33953">
      <w:pPr>
        <w:jc w:val="center"/>
        <w:rPr>
          <w:sz w:val="22"/>
          <w:szCs w:val="22"/>
        </w:rPr>
      </w:pPr>
    </w:p>
    <w:p w14:paraId="2DD3285D" w14:textId="77777777" w:rsidR="00A33953" w:rsidRPr="005741DC" w:rsidRDefault="00A33953">
      <w:pPr>
        <w:jc w:val="center"/>
        <w:rPr>
          <w:sz w:val="22"/>
          <w:szCs w:val="22"/>
        </w:rPr>
      </w:pPr>
    </w:p>
    <w:p w14:paraId="18C03D06" w14:textId="77777777" w:rsidR="00A33953" w:rsidRPr="005741DC" w:rsidRDefault="00A33953">
      <w:pPr>
        <w:jc w:val="center"/>
        <w:rPr>
          <w:sz w:val="22"/>
          <w:szCs w:val="22"/>
        </w:rPr>
      </w:pPr>
    </w:p>
    <w:p w14:paraId="21F1BC5D" w14:textId="77777777" w:rsidR="00A33953" w:rsidRPr="005741DC" w:rsidRDefault="00A33953">
      <w:pPr>
        <w:jc w:val="center"/>
        <w:rPr>
          <w:sz w:val="22"/>
          <w:szCs w:val="22"/>
        </w:rPr>
      </w:pPr>
    </w:p>
    <w:p w14:paraId="51D40391" w14:textId="77777777" w:rsidR="00A33953" w:rsidRPr="005741DC" w:rsidRDefault="00A33953">
      <w:pPr>
        <w:jc w:val="center"/>
        <w:rPr>
          <w:sz w:val="22"/>
          <w:szCs w:val="22"/>
        </w:rPr>
      </w:pPr>
    </w:p>
    <w:p w14:paraId="4D99ABF7" w14:textId="77777777" w:rsidR="00A33953" w:rsidRPr="005741DC" w:rsidRDefault="00A33953">
      <w:pPr>
        <w:jc w:val="center"/>
        <w:rPr>
          <w:sz w:val="22"/>
          <w:szCs w:val="22"/>
        </w:rPr>
      </w:pPr>
    </w:p>
    <w:p w14:paraId="1B66F7DA" w14:textId="77777777" w:rsidR="00A33953" w:rsidRPr="005741DC" w:rsidRDefault="00A33953">
      <w:pPr>
        <w:jc w:val="center"/>
        <w:rPr>
          <w:sz w:val="22"/>
          <w:szCs w:val="22"/>
        </w:rPr>
      </w:pPr>
    </w:p>
    <w:p w14:paraId="583F26DB" w14:textId="77777777" w:rsidR="00A33953" w:rsidRPr="005741DC" w:rsidRDefault="00A33953">
      <w:pPr>
        <w:jc w:val="center"/>
        <w:rPr>
          <w:sz w:val="22"/>
          <w:szCs w:val="22"/>
        </w:rPr>
      </w:pPr>
    </w:p>
    <w:p w14:paraId="09C29666" w14:textId="77777777" w:rsidR="00A33953" w:rsidRPr="005741DC" w:rsidRDefault="00A33953">
      <w:pPr>
        <w:jc w:val="center"/>
        <w:rPr>
          <w:sz w:val="22"/>
          <w:szCs w:val="22"/>
        </w:rPr>
      </w:pPr>
    </w:p>
    <w:p w14:paraId="09107DAE" w14:textId="77777777" w:rsidR="00A33953" w:rsidRPr="005741DC" w:rsidRDefault="00A33953">
      <w:pPr>
        <w:jc w:val="center"/>
        <w:rPr>
          <w:sz w:val="22"/>
          <w:szCs w:val="22"/>
        </w:rPr>
      </w:pPr>
    </w:p>
    <w:p w14:paraId="58B23FA5" w14:textId="77777777" w:rsidR="00A33953" w:rsidRPr="005741DC" w:rsidRDefault="00A33953">
      <w:pPr>
        <w:jc w:val="center"/>
        <w:rPr>
          <w:sz w:val="22"/>
          <w:szCs w:val="22"/>
        </w:rPr>
      </w:pPr>
    </w:p>
    <w:p w14:paraId="49408910" w14:textId="77777777" w:rsidR="00A33953" w:rsidRPr="005741DC" w:rsidRDefault="00A33953">
      <w:pPr>
        <w:jc w:val="center"/>
        <w:rPr>
          <w:sz w:val="22"/>
          <w:szCs w:val="22"/>
        </w:rPr>
      </w:pPr>
    </w:p>
    <w:p w14:paraId="4BD708C6" w14:textId="77777777" w:rsidR="00A33953" w:rsidRPr="005741DC" w:rsidRDefault="00A33953">
      <w:pPr>
        <w:jc w:val="center"/>
        <w:rPr>
          <w:sz w:val="22"/>
          <w:szCs w:val="22"/>
        </w:rPr>
      </w:pPr>
    </w:p>
    <w:p w14:paraId="1378653B" w14:textId="77777777" w:rsidR="00A33953" w:rsidRPr="005741DC" w:rsidRDefault="00A33953">
      <w:pPr>
        <w:jc w:val="center"/>
        <w:rPr>
          <w:sz w:val="22"/>
          <w:szCs w:val="22"/>
        </w:rPr>
      </w:pPr>
    </w:p>
    <w:p w14:paraId="0CD03EFC" w14:textId="77777777" w:rsidR="00A33953" w:rsidRPr="005741DC" w:rsidRDefault="00A33953">
      <w:pPr>
        <w:jc w:val="center"/>
        <w:rPr>
          <w:sz w:val="22"/>
          <w:szCs w:val="22"/>
        </w:rPr>
      </w:pPr>
    </w:p>
    <w:p w14:paraId="2C0D0604" w14:textId="77777777" w:rsidR="00A33953" w:rsidRPr="005741DC" w:rsidRDefault="00A33953">
      <w:pPr>
        <w:jc w:val="center"/>
        <w:rPr>
          <w:sz w:val="22"/>
          <w:szCs w:val="22"/>
        </w:rPr>
      </w:pPr>
    </w:p>
    <w:p w14:paraId="0AAC9156" w14:textId="77777777" w:rsidR="00A33953" w:rsidRPr="005741DC" w:rsidRDefault="00A33953">
      <w:pPr>
        <w:jc w:val="center"/>
        <w:rPr>
          <w:sz w:val="22"/>
          <w:szCs w:val="22"/>
        </w:rPr>
      </w:pPr>
    </w:p>
    <w:p w14:paraId="19504778" w14:textId="77777777" w:rsidR="00A33953" w:rsidRPr="005741DC" w:rsidRDefault="0073228E">
      <w:pPr>
        <w:jc w:val="center"/>
        <w:rPr>
          <w:sz w:val="22"/>
          <w:szCs w:val="22"/>
        </w:rPr>
      </w:pPr>
      <w:r w:rsidRPr="005741DC">
        <w:rPr>
          <w:b/>
          <w:sz w:val="22"/>
          <w:szCs w:val="22"/>
        </w:rPr>
        <w:t>B. PŘÍBALOVÁ INFORMACE</w:t>
      </w:r>
    </w:p>
    <w:p w14:paraId="37D2750D" w14:textId="77777777" w:rsidR="00A33953" w:rsidRPr="005741DC" w:rsidRDefault="0073228E">
      <w:pPr>
        <w:jc w:val="center"/>
        <w:rPr>
          <w:sz w:val="22"/>
          <w:szCs w:val="22"/>
        </w:rPr>
      </w:pPr>
      <w:r w:rsidRPr="005741DC">
        <w:rPr>
          <w:sz w:val="22"/>
          <w:szCs w:val="22"/>
        </w:rPr>
        <w:br w:type="page"/>
      </w:r>
      <w:r w:rsidRPr="005741DC">
        <w:rPr>
          <w:b/>
          <w:sz w:val="22"/>
          <w:szCs w:val="22"/>
        </w:rPr>
        <w:lastRenderedPageBreak/>
        <w:t>PŘÍBALOVÁ INFORMACE</w:t>
      </w:r>
    </w:p>
    <w:p w14:paraId="1F35F856" w14:textId="77777777" w:rsidR="00A33953" w:rsidRPr="005741DC" w:rsidRDefault="00A33953">
      <w:pPr>
        <w:rPr>
          <w:sz w:val="22"/>
          <w:szCs w:val="22"/>
        </w:rPr>
      </w:pPr>
    </w:p>
    <w:p w14:paraId="7484B05D" w14:textId="77777777" w:rsidR="00A33953" w:rsidRPr="005741DC" w:rsidRDefault="00A33953">
      <w:pPr>
        <w:rPr>
          <w:sz w:val="22"/>
          <w:szCs w:val="22"/>
        </w:rPr>
      </w:pPr>
    </w:p>
    <w:p w14:paraId="3454ACF0" w14:textId="77777777" w:rsidR="00A33953" w:rsidRPr="005741DC" w:rsidRDefault="0073228E">
      <w:pPr>
        <w:pStyle w:val="Style1"/>
      </w:pPr>
      <w:r w:rsidRPr="005741DC">
        <w:rPr>
          <w:highlight w:val="lightGray"/>
        </w:rPr>
        <w:t>1.</w:t>
      </w:r>
      <w:r w:rsidRPr="005741DC">
        <w:tab/>
        <w:t>Název veterinárního léčivého přípravku</w:t>
      </w:r>
    </w:p>
    <w:p w14:paraId="27BB4C53" w14:textId="77777777" w:rsidR="00A33953" w:rsidRPr="005741DC" w:rsidRDefault="00A33953">
      <w:pPr>
        <w:rPr>
          <w:sz w:val="22"/>
          <w:szCs w:val="22"/>
        </w:rPr>
      </w:pPr>
    </w:p>
    <w:p w14:paraId="2B83526F" w14:textId="7AEB8067" w:rsidR="00A33953" w:rsidRPr="005741DC" w:rsidRDefault="0073228E" w:rsidP="00FF78DD">
      <w:pPr>
        <w:rPr>
          <w:sz w:val="22"/>
          <w:szCs w:val="22"/>
        </w:rPr>
      </w:pPr>
      <w:r w:rsidRPr="005741DC">
        <w:rPr>
          <w:sz w:val="22"/>
          <w:szCs w:val="22"/>
        </w:rPr>
        <w:t>Canigen DHA</w:t>
      </w:r>
      <w:r w:rsidRPr="005741DC">
        <w:rPr>
          <w:sz w:val="22"/>
          <w:szCs w:val="22"/>
          <w:vertAlign w:val="subscript"/>
        </w:rPr>
        <w:t>2</w:t>
      </w:r>
      <w:r w:rsidRPr="005741DC">
        <w:rPr>
          <w:sz w:val="22"/>
          <w:szCs w:val="22"/>
        </w:rPr>
        <w:t>PPi/LR</w:t>
      </w:r>
      <w:r w:rsidR="0080415D" w:rsidRPr="005741DC">
        <w:rPr>
          <w:sz w:val="22"/>
          <w:szCs w:val="22"/>
        </w:rPr>
        <w:t xml:space="preserve"> l</w:t>
      </w:r>
      <w:r w:rsidRPr="005741DC">
        <w:rPr>
          <w:sz w:val="22"/>
          <w:szCs w:val="22"/>
        </w:rPr>
        <w:t xml:space="preserve">yofilizát </w:t>
      </w:r>
      <w:r w:rsidR="00246D10" w:rsidRPr="005741DC">
        <w:rPr>
          <w:sz w:val="22"/>
          <w:szCs w:val="22"/>
        </w:rPr>
        <w:t xml:space="preserve">a </w:t>
      </w:r>
      <w:r w:rsidR="00FF78DD" w:rsidRPr="005741DC">
        <w:rPr>
          <w:sz w:val="22"/>
          <w:szCs w:val="22"/>
        </w:rPr>
        <w:t>suspenze</w:t>
      </w:r>
      <w:r w:rsidR="00246D10" w:rsidRPr="005741DC">
        <w:rPr>
          <w:sz w:val="22"/>
          <w:szCs w:val="22"/>
        </w:rPr>
        <w:t xml:space="preserve"> </w:t>
      </w:r>
      <w:r w:rsidRPr="005741DC">
        <w:rPr>
          <w:sz w:val="22"/>
          <w:szCs w:val="22"/>
        </w:rPr>
        <w:t>pro injekční suspenz</w:t>
      </w:r>
      <w:r w:rsidR="00246D10" w:rsidRPr="005741DC">
        <w:rPr>
          <w:sz w:val="22"/>
          <w:szCs w:val="22"/>
        </w:rPr>
        <w:t>i</w:t>
      </w:r>
    </w:p>
    <w:p w14:paraId="67FE3C1F" w14:textId="77777777" w:rsidR="00A33953" w:rsidRPr="005741DC" w:rsidRDefault="00A33953">
      <w:pPr>
        <w:rPr>
          <w:b/>
          <w:sz w:val="22"/>
          <w:szCs w:val="22"/>
        </w:rPr>
      </w:pPr>
    </w:p>
    <w:p w14:paraId="1F555C43" w14:textId="77777777" w:rsidR="00A33953" w:rsidRPr="005741DC" w:rsidRDefault="00A33953">
      <w:pPr>
        <w:rPr>
          <w:b/>
          <w:sz w:val="22"/>
          <w:szCs w:val="22"/>
        </w:rPr>
      </w:pPr>
    </w:p>
    <w:p w14:paraId="17A16F41" w14:textId="77777777" w:rsidR="00A33953" w:rsidRPr="005741DC" w:rsidRDefault="0073228E">
      <w:pPr>
        <w:pStyle w:val="Style1"/>
      </w:pPr>
      <w:r w:rsidRPr="005741DC">
        <w:rPr>
          <w:highlight w:val="lightGray"/>
        </w:rPr>
        <w:t>2.</w:t>
      </w:r>
      <w:r w:rsidRPr="005741DC">
        <w:tab/>
        <w:t>Složení</w:t>
      </w:r>
    </w:p>
    <w:p w14:paraId="2735C18B" w14:textId="77777777" w:rsidR="00A33953" w:rsidRPr="005741DC" w:rsidRDefault="00A33953">
      <w:pPr>
        <w:rPr>
          <w:b/>
          <w:sz w:val="22"/>
          <w:szCs w:val="22"/>
        </w:rPr>
      </w:pPr>
    </w:p>
    <w:p w14:paraId="544EBC6C" w14:textId="462F4054" w:rsidR="00A33953" w:rsidRPr="005741DC" w:rsidRDefault="00246D10">
      <w:pPr>
        <w:pStyle w:val="Nadpis2"/>
        <w:tabs>
          <w:tab w:val="decimal" w:leader="dot" w:pos="7371"/>
        </w:tabs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5741DC">
        <w:rPr>
          <w:rFonts w:ascii="Times New Roman" w:hAnsi="Times New Roman"/>
          <w:b w:val="0"/>
          <w:i w:val="0"/>
          <w:sz w:val="22"/>
          <w:szCs w:val="22"/>
        </w:rPr>
        <w:t xml:space="preserve">Každá 1 ml </w:t>
      </w:r>
      <w:r w:rsidR="0073228E" w:rsidRPr="005741DC">
        <w:rPr>
          <w:rFonts w:ascii="Times New Roman" w:hAnsi="Times New Roman"/>
          <w:b w:val="0"/>
          <w:i w:val="0"/>
          <w:sz w:val="22"/>
          <w:szCs w:val="22"/>
        </w:rPr>
        <w:t xml:space="preserve">dávka </w:t>
      </w:r>
      <w:r w:rsidRPr="005741DC">
        <w:rPr>
          <w:rFonts w:ascii="Times New Roman" w:hAnsi="Times New Roman"/>
          <w:b w:val="0"/>
          <w:i w:val="0"/>
          <w:sz w:val="22"/>
          <w:szCs w:val="22"/>
        </w:rPr>
        <w:t>obsahuje</w:t>
      </w:r>
    </w:p>
    <w:p w14:paraId="6B9F6DA6" w14:textId="77777777" w:rsidR="00343D73" w:rsidRPr="005741DC" w:rsidRDefault="00343D73">
      <w:pPr>
        <w:tabs>
          <w:tab w:val="decimal" w:leader="dot" w:pos="7200"/>
          <w:tab w:val="left" w:pos="8352"/>
        </w:tabs>
        <w:jc w:val="both"/>
        <w:rPr>
          <w:i/>
          <w:sz w:val="22"/>
          <w:szCs w:val="22"/>
          <w:u w:val="single"/>
        </w:rPr>
      </w:pPr>
    </w:p>
    <w:p w14:paraId="5E3E6127" w14:textId="77777777" w:rsidR="00343D73" w:rsidRPr="005741DC" w:rsidRDefault="00343D73" w:rsidP="00343D73">
      <w:pPr>
        <w:jc w:val="both"/>
        <w:rPr>
          <w:b/>
          <w:sz w:val="22"/>
          <w:szCs w:val="22"/>
        </w:rPr>
      </w:pPr>
      <w:r w:rsidRPr="005741DC">
        <w:rPr>
          <w:b/>
          <w:sz w:val="22"/>
          <w:szCs w:val="22"/>
        </w:rPr>
        <w:t>Léčivé látky:</w:t>
      </w:r>
    </w:p>
    <w:p w14:paraId="1A220C15" w14:textId="77777777" w:rsidR="00A33953" w:rsidRPr="005741DC" w:rsidRDefault="0073228E">
      <w:pPr>
        <w:tabs>
          <w:tab w:val="decimal" w:leader="dot" w:pos="7200"/>
          <w:tab w:val="left" w:pos="8352"/>
        </w:tabs>
        <w:jc w:val="both"/>
        <w:rPr>
          <w:caps/>
          <w:sz w:val="22"/>
          <w:szCs w:val="22"/>
          <w:u w:val="single"/>
        </w:rPr>
      </w:pPr>
      <w:r w:rsidRPr="005741DC">
        <w:rPr>
          <w:sz w:val="22"/>
          <w:szCs w:val="22"/>
          <w:u w:val="single"/>
        </w:rPr>
        <w:t>Lyofilizát:</w:t>
      </w:r>
    </w:p>
    <w:p w14:paraId="27363F39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Virus febris contagiosae canis attenuatum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  <w:t>10</w:t>
      </w:r>
      <w:r w:rsidRPr="005741DC">
        <w:rPr>
          <w:caps/>
          <w:sz w:val="22"/>
          <w:szCs w:val="22"/>
          <w:vertAlign w:val="superscript"/>
        </w:rPr>
        <w:t>3</w:t>
      </w:r>
      <w:r w:rsidRPr="005741DC">
        <w:rPr>
          <w:caps/>
          <w:sz w:val="22"/>
          <w:szCs w:val="22"/>
        </w:rPr>
        <w:t>-10</w:t>
      </w:r>
      <w:r w:rsidRPr="005741DC">
        <w:rPr>
          <w:caps/>
          <w:sz w:val="22"/>
          <w:szCs w:val="22"/>
          <w:vertAlign w:val="superscript"/>
        </w:rPr>
        <w:t xml:space="preserve">5   </w:t>
      </w:r>
      <w:r w:rsidRPr="005741DC">
        <w:rPr>
          <w:sz w:val="22"/>
          <w:szCs w:val="22"/>
        </w:rPr>
        <w:t>CCID</w:t>
      </w:r>
      <w:r w:rsidRPr="005741DC">
        <w:rPr>
          <w:caps/>
          <w:sz w:val="22"/>
          <w:szCs w:val="22"/>
          <w:vertAlign w:val="subscript"/>
        </w:rPr>
        <w:t>50</w:t>
      </w:r>
    </w:p>
    <w:p w14:paraId="67242D05" w14:textId="77777777" w:rsidR="00A33953" w:rsidRPr="005741DC" w:rsidRDefault="0073228E">
      <w:pPr>
        <w:rPr>
          <w:caps/>
          <w:sz w:val="22"/>
          <w:szCs w:val="22"/>
          <w:vertAlign w:val="subscript"/>
        </w:rPr>
      </w:pPr>
      <w:r w:rsidRPr="005741DC">
        <w:rPr>
          <w:sz w:val="22"/>
          <w:szCs w:val="22"/>
        </w:rPr>
        <w:t>Virus laryngotracheitidis contagiosae canis attenuatum (adenovirus 2)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  <w:t>10</w:t>
      </w:r>
      <w:r w:rsidRPr="005741DC">
        <w:rPr>
          <w:caps/>
          <w:sz w:val="22"/>
          <w:szCs w:val="22"/>
          <w:vertAlign w:val="superscript"/>
        </w:rPr>
        <w:t>4</w:t>
      </w:r>
      <w:r w:rsidRPr="005741DC">
        <w:rPr>
          <w:caps/>
          <w:sz w:val="22"/>
          <w:szCs w:val="22"/>
        </w:rPr>
        <w:t>-10</w:t>
      </w:r>
      <w:r w:rsidRPr="005741DC">
        <w:rPr>
          <w:caps/>
          <w:sz w:val="22"/>
          <w:szCs w:val="22"/>
          <w:vertAlign w:val="superscript"/>
        </w:rPr>
        <w:t xml:space="preserve">6  </w:t>
      </w:r>
      <w:r w:rsidRPr="005741DC">
        <w:rPr>
          <w:sz w:val="22"/>
          <w:szCs w:val="22"/>
        </w:rPr>
        <w:t xml:space="preserve"> CCID</w:t>
      </w:r>
      <w:r w:rsidRPr="005741DC">
        <w:rPr>
          <w:caps/>
          <w:sz w:val="22"/>
          <w:szCs w:val="22"/>
          <w:vertAlign w:val="subscript"/>
        </w:rPr>
        <w:t>50</w:t>
      </w:r>
    </w:p>
    <w:p w14:paraId="71E0054F" w14:textId="77777777" w:rsidR="00A33953" w:rsidRPr="005741DC" w:rsidRDefault="0073228E">
      <w:pPr>
        <w:rPr>
          <w:caps/>
          <w:sz w:val="22"/>
          <w:szCs w:val="22"/>
          <w:vertAlign w:val="subscript"/>
        </w:rPr>
      </w:pPr>
      <w:r w:rsidRPr="005741DC">
        <w:rPr>
          <w:sz w:val="22"/>
          <w:szCs w:val="22"/>
        </w:rPr>
        <w:t>Parvovirus enteritidis canis attenuatum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  <w:t>10</w:t>
      </w:r>
      <w:r w:rsidRPr="005741DC">
        <w:rPr>
          <w:caps/>
          <w:sz w:val="22"/>
          <w:szCs w:val="22"/>
          <w:vertAlign w:val="superscript"/>
        </w:rPr>
        <w:t>5</w:t>
      </w:r>
      <w:r w:rsidRPr="005741DC">
        <w:rPr>
          <w:sz w:val="22"/>
          <w:szCs w:val="22"/>
        </w:rPr>
        <w:t xml:space="preserve"> </w:t>
      </w:r>
      <w:r w:rsidRPr="005741DC">
        <w:rPr>
          <w:caps/>
          <w:sz w:val="22"/>
          <w:szCs w:val="22"/>
        </w:rPr>
        <w:t>-10</w:t>
      </w:r>
      <w:r w:rsidRPr="005741DC">
        <w:rPr>
          <w:caps/>
          <w:sz w:val="22"/>
          <w:szCs w:val="22"/>
          <w:vertAlign w:val="superscript"/>
        </w:rPr>
        <w:t xml:space="preserve">7   </w:t>
      </w:r>
      <w:r w:rsidRPr="005741DC">
        <w:rPr>
          <w:sz w:val="22"/>
          <w:szCs w:val="22"/>
        </w:rPr>
        <w:t>CCID</w:t>
      </w:r>
      <w:r w:rsidRPr="005741DC">
        <w:rPr>
          <w:caps/>
          <w:sz w:val="22"/>
          <w:szCs w:val="22"/>
          <w:vertAlign w:val="subscript"/>
        </w:rPr>
        <w:t>50</w:t>
      </w:r>
    </w:p>
    <w:p w14:paraId="3A38A880" w14:textId="30CF8B0C" w:rsidR="00A33953" w:rsidRPr="005741DC" w:rsidRDefault="0073228E">
      <w:pPr>
        <w:rPr>
          <w:caps/>
          <w:sz w:val="22"/>
          <w:szCs w:val="22"/>
          <w:vertAlign w:val="subscript"/>
        </w:rPr>
      </w:pPr>
      <w:r w:rsidRPr="005741DC">
        <w:rPr>
          <w:sz w:val="22"/>
          <w:szCs w:val="22"/>
        </w:rPr>
        <w:t>Virus parainfluen</w:t>
      </w:r>
      <w:r w:rsidR="006B52FE" w:rsidRPr="005741DC">
        <w:rPr>
          <w:sz w:val="22"/>
          <w:szCs w:val="22"/>
        </w:rPr>
        <w:t>zae</w:t>
      </w:r>
      <w:r w:rsidRPr="005741DC">
        <w:rPr>
          <w:sz w:val="22"/>
          <w:szCs w:val="22"/>
        </w:rPr>
        <w:t xml:space="preserve"> canis attenuatum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caps/>
          <w:sz w:val="22"/>
          <w:szCs w:val="22"/>
        </w:rPr>
        <w:t>10</w:t>
      </w:r>
      <w:r w:rsidRPr="005741DC">
        <w:rPr>
          <w:caps/>
          <w:sz w:val="22"/>
          <w:szCs w:val="22"/>
          <w:vertAlign w:val="superscript"/>
        </w:rPr>
        <w:t xml:space="preserve">5 </w:t>
      </w:r>
      <w:r w:rsidRPr="005741DC">
        <w:rPr>
          <w:caps/>
          <w:sz w:val="22"/>
          <w:szCs w:val="22"/>
        </w:rPr>
        <w:t>-10</w:t>
      </w:r>
      <w:r w:rsidRPr="005741DC">
        <w:rPr>
          <w:caps/>
          <w:sz w:val="22"/>
          <w:szCs w:val="22"/>
          <w:vertAlign w:val="superscript"/>
        </w:rPr>
        <w:t xml:space="preserve">7   </w:t>
      </w:r>
      <w:r w:rsidRPr="005741DC">
        <w:rPr>
          <w:sz w:val="22"/>
          <w:szCs w:val="22"/>
        </w:rPr>
        <w:t>CCID</w:t>
      </w:r>
      <w:r w:rsidRPr="005741DC">
        <w:rPr>
          <w:caps/>
          <w:sz w:val="22"/>
          <w:szCs w:val="22"/>
          <w:vertAlign w:val="subscript"/>
        </w:rPr>
        <w:t>50</w:t>
      </w:r>
    </w:p>
    <w:p w14:paraId="2AA519A2" w14:textId="77777777" w:rsidR="00A33953" w:rsidRPr="005741DC" w:rsidRDefault="00A33953">
      <w:pPr>
        <w:tabs>
          <w:tab w:val="decimal" w:leader="dot" w:pos="7200"/>
          <w:tab w:val="left" w:pos="7655"/>
        </w:tabs>
        <w:jc w:val="both"/>
        <w:rPr>
          <w:caps/>
          <w:sz w:val="22"/>
          <w:szCs w:val="22"/>
        </w:rPr>
      </w:pPr>
    </w:p>
    <w:p w14:paraId="1AD51B3E" w14:textId="4A9343A0" w:rsidR="00A33953" w:rsidRPr="005741DC" w:rsidRDefault="00227E0B">
      <w:pPr>
        <w:pStyle w:val="Nadpis1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5741DC">
        <w:rPr>
          <w:rFonts w:ascii="Times New Roman" w:hAnsi="Times New Roman" w:cs="Times New Roman"/>
          <w:b w:val="0"/>
          <w:sz w:val="22"/>
          <w:szCs w:val="22"/>
          <w:u w:val="single"/>
        </w:rPr>
        <w:t>Suspenze</w:t>
      </w:r>
      <w:r w:rsidR="0073228E" w:rsidRPr="005741DC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(rozpouštědlo):</w:t>
      </w:r>
    </w:p>
    <w:p w14:paraId="7C82E69F" w14:textId="77777777" w:rsidR="00A33953" w:rsidRPr="005741DC" w:rsidRDefault="0073228E">
      <w:pPr>
        <w:rPr>
          <w:sz w:val="22"/>
          <w:szCs w:val="22"/>
        </w:rPr>
      </w:pPr>
      <w:r w:rsidRPr="005741DC">
        <w:rPr>
          <w:i/>
          <w:sz w:val="22"/>
          <w:szCs w:val="22"/>
        </w:rPr>
        <w:t>Leptospira canicola</w:t>
      </w:r>
      <w:r w:rsidRPr="005741DC">
        <w:rPr>
          <w:sz w:val="22"/>
          <w:szCs w:val="22"/>
        </w:rPr>
        <w:t xml:space="preserve"> inactivata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  <w:t>min. 40 Hamster PD</w:t>
      </w:r>
      <w:r w:rsidRPr="005741DC">
        <w:rPr>
          <w:sz w:val="22"/>
          <w:szCs w:val="22"/>
          <w:vertAlign w:val="subscript"/>
        </w:rPr>
        <w:t>80</w:t>
      </w:r>
      <w:r w:rsidRPr="005741DC">
        <w:rPr>
          <w:sz w:val="22"/>
          <w:szCs w:val="22"/>
        </w:rPr>
        <w:t>**</w:t>
      </w:r>
    </w:p>
    <w:p w14:paraId="44D65E71" w14:textId="77777777" w:rsidR="00A33953" w:rsidRPr="005741DC" w:rsidRDefault="0073228E">
      <w:pPr>
        <w:rPr>
          <w:sz w:val="22"/>
          <w:szCs w:val="22"/>
        </w:rPr>
      </w:pPr>
      <w:r w:rsidRPr="005741DC">
        <w:rPr>
          <w:i/>
          <w:sz w:val="22"/>
          <w:szCs w:val="22"/>
        </w:rPr>
        <w:t>Leptospira icterohaemorrhagiae</w:t>
      </w:r>
      <w:r w:rsidRPr="005741DC">
        <w:rPr>
          <w:sz w:val="22"/>
          <w:szCs w:val="22"/>
        </w:rPr>
        <w:t xml:space="preserve"> inactivata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  <w:t>min. 40 Hamster PD</w:t>
      </w:r>
      <w:r w:rsidRPr="005741DC">
        <w:rPr>
          <w:sz w:val="22"/>
          <w:szCs w:val="22"/>
          <w:vertAlign w:val="subscript"/>
        </w:rPr>
        <w:t>80</w:t>
      </w:r>
      <w:r w:rsidRPr="005741DC">
        <w:rPr>
          <w:sz w:val="22"/>
          <w:szCs w:val="22"/>
        </w:rPr>
        <w:t>**</w:t>
      </w:r>
    </w:p>
    <w:p w14:paraId="6EF1F87A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Virus rabiei inactivatum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  <w:t>min.  1 IU</w:t>
      </w:r>
    </w:p>
    <w:p w14:paraId="53D661F2" w14:textId="77777777" w:rsidR="00A33953" w:rsidRPr="005741DC" w:rsidRDefault="00A33953">
      <w:pPr>
        <w:rPr>
          <w:sz w:val="22"/>
          <w:szCs w:val="22"/>
        </w:rPr>
      </w:pPr>
    </w:p>
    <w:p w14:paraId="6278640B" w14:textId="77777777" w:rsidR="00A33953" w:rsidRPr="005741DC" w:rsidRDefault="0073228E">
      <w:pPr>
        <w:jc w:val="both"/>
        <w:rPr>
          <w:sz w:val="22"/>
          <w:szCs w:val="22"/>
        </w:rPr>
      </w:pPr>
      <w:r w:rsidRPr="005741DC">
        <w:rPr>
          <w:sz w:val="22"/>
          <w:szCs w:val="22"/>
        </w:rPr>
        <w:t>* 50% infekční dávka pro buněčné kultury</w:t>
      </w:r>
    </w:p>
    <w:p w14:paraId="3FA2DFC0" w14:textId="2B25785E" w:rsidR="00A33953" w:rsidRPr="005741DC" w:rsidRDefault="0073228E">
      <w:pPr>
        <w:jc w:val="both"/>
        <w:rPr>
          <w:sz w:val="22"/>
          <w:szCs w:val="22"/>
        </w:rPr>
      </w:pPr>
      <w:r w:rsidRPr="005741DC">
        <w:rPr>
          <w:sz w:val="22"/>
          <w:szCs w:val="22"/>
        </w:rPr>
        <w:t>** 80% ochranná dávka, křeček (dle monografie evropského lékopisu)</w:t>
      </w:r>
    </w:p>
    <w:p w14:paraId="666E95D9" w14:textId="77777777" w:rsidR="00A33953" w:rsidRPr="005741DC" w:rsidRDefault="00A33953">
      <w:pPr>
        <w:rPr>
          <w:sz w:val="22"/>
          <w:szCs w:val="22"/>
        </w:rPr>
      </w:pPr>
    </w:p>
    <w:p w14:paraId="3B77A283" w14:textId="77777777" w:rsidR="00A33953" w:rsidRPr="005741DC" w:rsidRDefault="0073228E">
      <w:pPr>
        <w:rPr>
          <w:b/>
          <w:sz w:val="22"/>
          <w:szCs w:val="22"/>
        </w:rPr>
      </w:pPr>
      <w:r w:rsidRPr="005741DC">
        <w:rPr>
          <w:b/>
          <w:sz w:val="22"/>
          <w:szCs w:val="22"/>
        </w:rPr>
        <w:t>Adjuvans:</w:t>
      </w:r>
    </w:p>
    <w:p w14:paraId="77A25F04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3% suspenze algeldrátu</w:t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</w:r>
      <w:r w:rsidRPr="005741DC">
        <w:rPr>
          <w:sz w:val="22"/>
          <w:szCs w:val="22"/>
        </w:rPr>
        <w:tab/>
        <w:t>10%</w:t>
      </w:r>
    </w:p>
    <w:p w14:paraId="2B241E15" w14:textId="77777777" w:rsidR="00A33953" w:rsidRPr="005741DC" w:rsidRDefault="00A33953">
      <w:pPr>
        <w:rPr>
          <w:sz w:val="22"/>
          <w:szCs w:val="22"/>
        </w:rPr>
      </w:pPr>
    </w:p>
    <w:p w14:paraId="6EBEAD6A" w14:textId="10FD8476" w:rsidR="00FF78DD" w:rsidRPr="005741DC" w:rsidRDefault="00C448D3" w:rsidP="00FF78DD">
      <w:pPr>
        <w:jc w:val="both"/>
        <w:rPr>
          <w:sz w:val="22"/>
          <w:szCs w:val="22"/>
        </w:rPr>
      </w:pPr>
      <w:r w:rsidRPr="005741DC">
        <w:rPr>
          <w:sz w:val="22"/>
          <w:szCs w:val="22"/>
        </w:rPr>
        <w:t>Lyofilizát:</w:t>
      </w:r>
      <w:r w:rsidR="00FF78DD" w:rsidRPr="005741DC">
        <w:rPr>
          <w:sz w:val="22"/>
          <w:szCs w:val="22"/>
        </w:rPr>
        <w:t xml:space="preserve"> bílý lyofilizát</w:t>
      </w:r>
    </w:p>
    <w:p w14:paraId="240FA41C" w14:textId="57FABFBC" w:rsidR="00FF78DD" w:rsidRPr="005741DC" w:rsidRDefault="00FF78DD" w:rsidP="00FF78DD">
      <w:pPr>
        <w:jc w:val="both"/>
        <w:rPr>
          <w:sz w:val="22"/>
          <w:szCs w:val="22"/>
        </w:rPr>
      </w:pPr>
      <w:r w:rsidRPr="005741DC">
        <w:rPr>
          <w:sz w:val="22"/>
          <w:szCs w:val="22"/>
        </w:rPr>
        <w:t>Suspenze: světle růžová kapalina</w:t>
      </w:r>
    </w:p>
    <w:p w14:paraId="0F03B265" w14:textId="60F49665" w:rsidR="00C448D3" w:rsidRPr="005741DC" w:rsidRDefault="00C448D3" w:rsidP="00FF78DD">
      <w:pPr>
        <w:rPr>
          <w:sz w:val="22"/>
          <w:szCs w:val="22"/>
        </w:rPr>
      </w:pPr>
    </w:p>
    <w:p w14:paraId="7DF3D283" w14:textId="77777777" w:rsidR="00A33953" w:rsidRPr="005741DC" w:rsidRDefault="00A33953">
      <w:pPr>
        <w:rPr>
          <w:sz w:val="22"/>
          <w:szCs w:val="22"/>
        </w:rPr>
      </w:pPr>
    </w:p>
    <w:p w14:paraId="0DDFE846" w14:textId="77777777" w:rsidR="00A33953" w:rsidRPr="005741DC" w:rsidRDefault="0073228E">
      <w:pPr>
        <w:pStyle w:val="Style1"/>
      </w:pPr>
      <w:r w:rsidRPr="005741DC">
        <w:rPr>
          <w:highlight w:val="lightGray"/>
        </w:rPr>
        <w:t>3.</w:t>
      </w:r>
      <w:r w:rsidRPr="005741DC">
        <w:tab/>
        <w:t>Cílové druhy zvířat</w:t>
      </w:r>
    </w:p>
    <w:p w14:paraId="61DE827F" w14:textId="77777777" w:rsidR="00A33953" w:rsidRPr="005741DC" w:rsidRDefault="00A33953">
      <w:pPr>
        <w:rPr>
          <w:sz w:val="22"/>
          <w:szCs w:val="22"/>
        </w:rPr>
      </w:pPr>
    </w:p>
    <w:p w14:paraId="30411D67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Psi.</w:t>
      </w:r>
    </w:p>
    <w:p w14:paraId="4D11B509" w14:textId="77777777" w:rsidR="00A33953" w:rsidRPr="005741DC" w:rsidRDefault="00A33953">
      <w:pPr>
        <w:rPr>
          <w:b/>
          <w:sz w:val="22"/>
          <w:szCs w:val="22"/>
        </w:rPr>
      </w:pPr>
    </w:p>
    <w:p w14:paraId="3B5AF216" w14:textId="77777777" w:rsidR="00A33953" w:rsidRPr="005741DC" w:rsidRDefault="00A33953">
      <w:pPr>
        <w:rPr>
          <w:b/>
          <w:sz w:val="22"/>
          <w:szCs w:val="22"/>
        </w:rPr>
      </w:pPr>
    </w:p>
    <w:p w14:paraId="2B060B56" w14:textId="21B3B6BD" w:rsidR="00A33953" w:rsidRPr="005741DC" w:rsidRDefault="0073228E" w:rsidP="00FF78DD">
      <w:pPr>
        <w:pStyle w:val="Style1"/>
      </w:pPr>
      <w:r w:rsidRPr="005741DC">
        <w:rPr>
          <w:highlight w:val="lightGray"/>
        </w:rPr>
        <w:t>4.</w:t>
      </w:r>
      <w:r w:rsidRPr="005741DC">
        <w:tab/>
        <w:t>Indikace pro použití</w:t>
      </w:r>
    </w:p>
    <w:p w14:paraId="21EDB7D0" w14:textId="77777777" w:rsidR="00A33953" w:rsidRPr="005741DC" w:rsidRDefault="00A33953">
      <w:pPr>
        <w:rPr>
          <w:sz w:val="22"/>
          <w:szCs w:val="22"/>
        </w:rPr>
      </w:pPr>
    </w:p>
    <w:p w14:paraId="37B16AAC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Aktivní imunizace psů proti psince, infekční hepatitidě, infekční laryngotracheitidě, parvoviróze, leptospiróze, vzteklině a respiračním onemocněním způsobených virem parainfluenzy.</w:t>
      </w:r>
    </w:p>
    <w:p w14:paraId="2C562699" w14:textId="77777777" w:rsidR="00A33953" w:rsidRPr="005741DC" w:rsidRDefault="00A33953">
      <w:pPr>
        <w:rPr>
          <w:sz w:val="22"/>
          <w:szCs w:val="22"/>
        </w:rPr>
      </w:pPr>
    </w:p>
    <w:p w14:paraId="00137475" w14:textId="0AD9062D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Nástup imunity byl prokázán po 3 týdnech u psinky, parvovirózy, infekční laryngotracheitidy (CAV–2) a vztekliny, po 4 týdnech u infekční hepatitidy (CAV-1) a parainfluenzy, po 5 týdnech u </w:t>
      </w:r>
      <w:r w:rsidRPr="005741DC">
        <w:rPr>
          <w:i/>
          <w:sz w:val="22"/>
          <w:szCs w:val="22"/>
        </w:rPr>
        <w:t>L.</w:t>
      </w:r>
      <w:r w:rsidR="009F6AB2" w:rsidRPr="005741DC">
        <w:rPr>
          <w:i/>
          <w:sz w:val="22"/>
          <w:szCs w:val="22"/>
        </w:rPr>
        <w:t> </w:t>
      </w:r>
      <w:r w:rsidRPr="005741DC">
        <w:rPr>
          <w:i/>
          <w:sz w:val="22"/>
          <w:szCs w:val="22"/>
        </w:rPr>
        <w:t>canicola</w:t>
      </w:r>
      <w:r w:rsidRPr="005741DC">
        <w:rPr>
          <w:sz w:val="22"/>
          <w:szCs w:val="22"/>
        </w:rPr>
        <w:t xml:space="preserve"> a po 2 týdnech u </w:t>
      </w:r>
      <w:r w:rsidRPr="005741DC">
        <w:rPr>
          <w:i/>
          <w:sz w:val="22"/>
          <w:szCs w:val="22"/>
        </w:rPr>
        <w:t>L. icterohaemorrhagiae</w:t>
      </w:r>
      <w:r w:rsidRPr="005741DC">
        <w:rPr>
          <w:sz w:val="22"/>
          <w:szCs w:val="22"/>
        </w:rPr>
        <w:t>.</w:t>
      </w:r>
    </w:p>
    <w:p w14:paraId="05675AD0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Doba trvání imunity je jeden rok po primovakcinaci u všech složek.</w:t>
      </w:r>
    </w:p>
    <w:p w14:paraId="69139AC7" w14:textId="77777777" w:rsidR="00A33953" w:rsidRPr="005741DC" w:rsidRDefault="00A33953">
      <w:pPr>
        <w:rPr>
          <w:b/>
          <w:sz w:val="22"/>
          <w:szCs w:val="22"/>
        </w:rPr>
      </w:pPr>
    </w:p>
    <w:p w14:paraId="3025BB26" w14:textId="77777777" w:rsidR="00A33953" w:rsidRPr="005741DC" w:rsidRDefault="00A33953">
      <w:pPr>
        <w:rPr>
          <w:b/>
          <w:sz w:val="22"/>
          <w:szCs w:val="22"/>
        </w:rPr>
      </w:pPr>
    </w:p>
    <w:p w14:paraId="328975ED" w14:textId="4C5F4FC3" w:rsidR="00A33953" w:rsidRPr="005741DC" w:rsidRDefault="0073228E" w:rsidP="00FF78DD">
      <w:pPr>
        <w:pStyle w:val="Style1"/>
      </w:pPr>
      <w:r w:rsidRPr="005741DC">
        <w:rPr>
          <w:highlight w:val="lightGray"/>
        </w:rPr>
        <w:t>5.</w:t>
      </w:r>
      <w:r w:rsidRPr="005741DC">
        <w:tab/>
        <w:t>Kontraindikace</w:t>
      </w:r>
    </w:p>
    <w:p w14:paraId="5E7DC5C2" w14:textId="77777777" w:rsidR="00A33953" w:rsidRPr="005741DC" w:rsidRDefault="00A33953">
      <w:pPr>
        <w:rPr>
          <w:sz w:val="22"/>
          <w:szCs w:val="22"/>
        </w:rPr>
      </w:pPr>
    </w:p>
    <w:p w14:paraId="1A189A51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Nejsou.</w:t>
      </w:r>
    </w:p>
    <w:p w14:paraId="3CE4CC0D" w14:textId="77777777" w:rsidR="00A33953" w:rsidRPr="005741DC" w:rsidRDefault="00A33953">
      <w:pPr>
        <w:rPr>
          <w:sz w:val="22"/>
          <w:szCs w:val="22"/>
        </w:rPr>
      </w:pPr>
    </w:p>
    <w:p w14:paraId="3074D229" w14:textId="77777777" w:rsidR="00A33953" w:rsidRPr="005741DC" w:rsidRDefault="00A33953">
      <w:pPr>
        <w:rPr>
          <w:sz w:val="22"/>
          <w:szCs w:val="22"/>
        </w:rPr>
      </w:pPr>
    </w:p>
    <w:p w14:paraId="0CAF34A8" w14:textId="5D87EBE1" w:rsidR="00A33953" w:rsidRPr="005741DC" w:rsidRDefault="0073228E" w:rsidP="00FF78DD">
      <w:pPr>
        <w:pStyle w:val="Style1"/>
      </w:pPr>
      <w:r w:rsidRPr="005741DC">
        <w:rPr>
          <w:highlight w:val="lightGray"/>
        </w:rPr>
        <w:t>6.</w:t>
      </w:r>
      <w:r w:rsidRPr="005741DC">
        <w:tab/>
        <w:t>Zvláštní upozornění</w:t>
      </w:r>
    </w:p>
    <w:p w14:paraId="3883C8A1" w14:textId="77777777" w:rsidR="00A33953" w:rsidRPr="005741DC" w:rsidRDefault="00A33953">
      <w:pPr>
        <w:rPr>
          <w:sz w:val="22"/>
          <w:szCs w:val="22"/>
        </w:rPr>
      </w:pPr>
    </w:p>
    <w:p w14:paraId="32B499C9" w14:textId="77777777" w:rsidR="000522EB" w:rsidRPr="005741DC" w:rsidRDefault="000522EB" w:rsidP="000522EB">
      <w:pPr>
        <w:tabs>
          <w:tab w:val="left" w:pos="708"/>
        </w:tabs>
        <w:rPr>
          <w:sz w:val="22"/>
          <w:szCs w:val="22"/>
        </w:rPr>
      </w:pPr>
      <w:r w:rsidRPr="005741DC">
        <w:rPr>
          <w:sz w:val="22"/>
          <w:szCs w:val="22"/>
          <w:u w:val="single"/>
        </w:rPr>
        <w:lastRenderedPageBreak/>
        <w:t>Zvláštní upozornění</w:t>
      </w:r>
      <w:r w:rsidRPr="005741DC">
        <w:rPr>
          <w:sz w:val="22"/>
          <w:szCs w:val="22"/>
        </w:rPr>
        <w:t>:</w:t>
      </w:r>
    </w:p>
    <w:p w14:paraId="557C90EE" w14:textId="77777777" w:rsidR="004B1FD6" w:rsidRPr="005741DC" w:rsidRDefault="000522EB" w:rsidP="004B1FD6">
      <w:pPr>
        <w:rPr>
          <w:sz w:val="22"/>
          <w:szCs w:val="22"/>
        </w:rPr>
      </w:pPr>
      <w:r w:rsidRPr="005741DC">
        <w:rPr>
          <w:sz w:val="22"/>
          <w:szCs w:val="22"/>
        </w:rPr>
        <w:t>Vakcinovat pouze zdravá zvířata.</w:t>
      </w:r>
      <w:r w:rsidR="004B1FD6" w:rsidRPr="005741DC">
        <w:rPr>
          <w:sz w:val="22"/>
          <w:szCs w:val="22"/>
        </w:rPr>
        <w:t xml:space="preserve"> </w:t>
      </w:r>
    </w:p>
    <w:p w14:paraId="26D0DD4B" w14:textId="77777777" w:rsidR="004B1FD6" w:rsidRPr="005741DC" w:rsidRDefault="004B1FD6" w:rsidP="004B1FD6">
      <w:pPr>
        <w:rPr>
          <w:sz w:val="22"/>
          <w:szCs w:val="22"/>
        </w:rPr>
      </w:pPr>
      <w:r w:rsidRPr="005741DC">
        <w:rPr>
          <w:sz w:val="22"/>
          <w:szCs w:val="22"/>
        </w:rPr>
        <w:t>Doporučuje se provést odčervení alespoň 10 dnů před vakcinací.</w:t>
      </w:r>
    </w:p>
    <w:p w14:paraId="13FCB937" w14:textId="77777777" w:rsidR="000522EB" w:rsidRPr="005741DC" w:rsidRDefault="000522EB">
      <w:pPr>
        <w:rPr>
          <w:sz w:val="22"/>
          <w:szCs w:val="22"/>
        </w:rPr>
      </w:pPr>
    </w:p>
    <w:p w14:paraId="615A216F" w14:textId="44C726E0" w:rsidR="00A33953" w:rsidRPr="005741DC" w:rsidRDefault="00343D73">
      <w:pPr>
        <w:rPr>
          <w:sz w:val="22"/>
          <w:szCs w:val="22"/>
        </w:rPr>
      </w:pPr>
      <w:r w:rsidRPr="005741DC">
        <w:rPr>
          <w:sz w:val="22"/>
          <w:szCs w:val="22"/>
        </w:rPr>
        <w:t>Zvláštní opatření pro osobu, která podává veterinární léčivý přípravek zvířatům:</w:t>
      </w:r>
    </w:p>
    <w:p w14:paraId="71DE690F" w14:textId="77777777" w:rsidR="00A33953" w:rsidRPr="005741DC" w:rsidRDefault="0073228E">
      <w:pPr>
        <w:autoSpaceDE w:val="0"/>
        <w:autoSpaceDN w:val="0"/>
        <w:adjustRightInd w:val="0"/>
        <w:rPr>
          <w:sz w:val="22"/>
          <w:szCs w:val="22"/>
        </w:rPr>
      </w:pPr>
      <w:r w:rsidRPr="005741DC">
        <w:rPr>
          <w:sz w:val="22"/>
          <w:szCs w:val="22"/>
        </w:rPr>
        <w:t>V případě náhodného sebepoškození injekčně aplikovaným přípravkem, vyhledejte ihned lékařskou pomoc a ukažte příbalovou informaci nebo etiketu praktickému lékaři.</w:t>
      </w:r>
    </w:p>
    <w:p w14:paraId="7C71664C" w14:textId="77777777" w:rsidR="00A33953" w:rsidRPr="005741DC" w:rsidRDefault="00A33953" w:rsidP="00FF78DD">
      <w:pPr>
        <w:autoSpaceDE w:val="0"/>
        <w:autoSpaceDN w:val="0"/>
        <w:adjustRightInd w:val="0"/>
        <w:rPr>
          <w:sz w:val="22"/>
          <w:szCs w:val="22"/>
        </w:rPr>
      </w:pPr>
    </w:p>
    <w:p w14:paraId="256E6992" w14:textId="77777777" w:rsidR="00343D73" w:rsidRPr="005741DC" w:rsidRDefault="00343D73" w:rsidP="00FF78DD">
      <w:pPr>
        <w:autoSpaceDE w:val="0"/>
        <w:autoSpaceDN w:val="0"/>
        <w:adjustRightInd w:val="0"/>
        <w:rPr>
          <w:sz w:val="22"/>
          <w:szCs w:val="22"/>
        </w:rPr>
      </w:pPr>
      <w:r w:rsidRPr="005741DC">
        <w:rPr>
          <w:sz w:val="22"/>
          <w:szCs w:val="22"/>
          <w:u w:val="single"/>
        </w:rPr>
        <w:t>Březost a laktace</w:t>
      </w:r>
      <w:r w:rsidRPr="005741DC">
        <w:rPr>
          <w:sz w:val="22"/>
          <w:szCs w:val="22"/>
        </w:rPr>
        <w:t>:</w:t>
      </w:r>
    </w:p>
    <w:p w14:paraId="17D4D88A" w14:textId="77777777" w:rsidR="00343D73" w:rsidRPr="005741DC" w:rsidRDefault="00343D73" w:rsidP="00FF78DD">
      <w:pPr>
        <w:autoSpaceDE w:val="0"/>
        <w:autoSpaceDN w:val="0"/>
        <w:adjustRightInd w:val="0"/>
        <w:rPr>
          <w:sz w:val="22"/>
          <w:szCs w:val="22"/>
        </w:rPr>
      </w:pPr>
      <w:r w:rsidRPr="005741DC">
        <w:rPr>
          <w:sz w:val="22"/>
          <w:szCs w:val="22"/>
        </w:rPr>
        <w:t>Lze použít u březích fen, které již byly dříve vakcinovány vakcínami řady CANIGEN.</w:t>
      </w:r>
    </w:p>
    <w:p w14:paraId="5B83D915" w14:textId="77777777" w:rsidR="00A33953" w:rsidRPr="005741DC" w:rsidRDefault="00A33953" w:rsidP="00FF78DD">
      <w:pPr>
        <w:autoSpaceDE w:val="0"/>
        <w:autoSpaceDN w:val="0"/>
        <w:adjustRightInd w:val="0"/>
        <w:rPr>
          <w:sz w:val="22"/>
          <w:szCs w:val="22"/>
        </w:rPr>
      </w:pPr>
    </w:p>
    <w:p w14:paraId="6C2BE83F" w14:textId="77777777" w:rsidR="00DD2530" w:rsidRPr="005741DC" w:rsidRDefault="00DD2530" w:rsidP="00FF78DD">
      <w:pPr>
        <w:autoSpaceDE w:val="0"/>
        <w:autoSpaceDN w:val="0"/>
        <w:adjustRightInd w:val="0"/>
        <w:rPr>
          <w:sz w:val="22"/>
          <w:szCs w:val="22"/>
        </w:rPr>
      </w:pPr>
      <w:r w:rsidRPr="005741DC">
        <w:rPr>
          <w:sz w:val="22"/>
          <w:szCs w:val="22"/>
        </w:rPr>
        <w:t>Interakce s jinými léčivými přípravky a další formy interakce:</w:t>
      </w:r>
    </w:p>
    <w:p w14:paraId="6B79AF1F" w14:textId="77777777" w:rsidR="00DD2530" w:rsidRPr="005741DC" w:rsidRDefault="00DD2530" w:rsidP="00FF78DD">
      <w:pPr>
        <w:autoSpaceDE w:val="0"/>
        <w:autoSpaceDN w:val="0"/>
        <w:adjustRightInd w:val="0"/>
        <w:rPr>
          <w:sz w:val="22"/>
          <w:szCs w:val="22"/>
        </w:rPr>
      </w:pPr>
      <w:r w:rsidRPr="005741DC">
        <w:rPr>
          <w:sz w:val="22"/>
          <w:szCs w:val="22"/>
        </w:rPr>
        <w:t xml:space="preserve">Nejsou dostupné </w:t>
      </w:r>
      <w:r w:rsidRPr="005741DC">
        <w:rPr>
          <w:kern w:val="1"/>
          <w:sz w:val="22"/>
          <w:szCs w:val="22"/>
        </w:rPr>
        <w:t xml:space="preserve">informace o </w:t>
      </w:r>
      <w:r w:rsidRPr="005741DC">
        <w:rPr>
          <w:sz w:val="22"/>
          <w:szCs w:val="22"/>
        </w:rPr>
        <w:t>bezpečnosti a účinnosti této vakcíny, pokud je podávána zároveň s </w:t>
      </w:r>
      <w:r w:rsidRPr="005741DC">
        <w:rPr>
          <w:kern w:val="1"/>
          <w:sz w:val="22"/>
          <w:szCs w:val="22"/>
        </w:rPr>
        <w:t xml:space="preserve">jiným veterinárním léčivým přípravkem. </w:t>
      </w:r>
      <w:r w:rsidRPr="005741DC">
        <w:rPr>
          <w:sz w:val="22"/>
          <w:szCs w:val="22"/>
        </w:rPr>
        <w:t>Rozhodnutí o použití této vakcíny před nebo po jakémkoliv jiném veterinárním léčivém přípravku musí být provedeno na základě zvážení jednotlivých případů.</w:t>
      </w:r>
    </w:p>
    <w:p w14:paraId="36402A61" w14:textId="77777777" w:rsidR="00DD2530" w:rsidRPr="005741DC" w:rsidRDefault="00DD2530" w:rsidP="00FF78DD">
      <w:pPr>
        <w:autoSpaceDE w:val="0"/>
        <w:autoSpaceDN w:val="0"/>
        <w:adjustRightInd w:val="0"/>
        <w:rPr>
          <w:sz w:val="22"/>
          <w:szCs w:val="22"/>
        </w:rPr>
      </w:pPr>
    </w:p>
    <w:p w14:paraId="56A6974A" w14:textId="77777777" w:rsidR="004B1FD6" w:rsidRPr="005741DC" w:rsidRDefault="004B1FD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741DC">
        <w:rPr>
          <w:sz w:val="22"/>
          <w:szCs w:val="22"/>
          <w:u w:val="single"/>
        </w:rPr>
        <w:t>Zvláštní omezení pro použití a zvláštní podmínky pro použití:</w:t>
      </w:r>
    </w:p>
    <w:p w14:paraId="5006D9BC" w14:textId="77777777" w:rsidR="00343D73" w:rsidRPr="005741DC" w:rsidRDefault="000522EB">
      <w:pPr>
        <w:autoSpaceDE w:val="0"/>
        <w:autoSpaceDN w:val="0"/>
        <w:adjustRightInd w:val="0"/>
        <w:rPr>
          <w:sz w:val="22"/>
          <w:szCs w:val="22"/>
        </w:rPr>
      </w:pPr>
      <w:r w:rsidRPr="005741DC">
        <w:rPr>
          <w:sz w:val="22"/>
          <w:szCs w:val="22"/>
        </w:rPr>
        <w:t>Pro tento veterinární léčivý přípravek se vyžaduje úřední uvolňování šarží státní kontrolní autoritou.</w:t>
      </w:r>
    </w:p>
    <w:p w14:paraId="31DBD1B2" w14:textId="77777777" w:rsidR="000522EB" w:rsidRPr="005741DC" w:rsidRDefault="000522EB">
      <w:pPr>
        <w:autoSpaceDE w:val="0"/>
        <w:autoSpaceDN w:val="0"/>
        <w:adjustRightInd w:val="0"/>
        <w:rPr>
          <w:sz w:val="22"/>
          <w:szCs w:val="22"/>
        </w:rPr>
      </w:pPr>
    </w:p>
    <w:p w14:paraId="59086FAE" w14:textId="77777777" w:rsidR="000522EB" w:rsidRPr="005741DC" w:rsidRDefault="000522EB" w:rsidP="000522E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741DC">
        <w:rPr>
          <w:sz w:val="22"/>
          <w:szCs w:val="22"/>
          <w:u w:val="single"/>
        </w:rPr>
        <w:t>Hlavní inkompatibility:</w:t>
      </w:r>
    </w:p>
    <w:p w14:paraId="33B15422" w14:textId="77777777" w:rsidR="000522EB" w:rsidRPr="005741DC" w:rsidRDefault="000522EB" w:rsidP="00FF78DD">
      <w:pPr>
        <w:autoSpaceDE w:val="0"/>
        <w:autoSpaceDN w:val="0"/>
        <w:adjustRightInd w:val="0"/>
        <w:rPr>
          <w:sz w:val="22"/>
          <w:szCs w:val="22"/>
        </w:rPr>
      </w:pPr>
      <w:r w:rsidRPr="005741DC">
        <w:rPr>
          <w:sz w:val="22"/>
          <w:szCs w:val="22"/>
        </w:rPr>
        <w:t>Studie inkompatibility nejsou k dispozici, a proto tento veterinární léčivý přípravek nesmí být mísen s žádnými dalšími veterinárními léčivými přípravky.</w:t>
      </w:r>
    </w:p>
    <w:p w14:paraId="7269DC98" w14:textId="77777777" w:rsidR="00FF78DD" w:rsidRPr="005741DC" w:rsidRDefault="00FF78DD" w:rsidP="00FF78DD">
      <w:pPr>
        <w:autoSpaceDE w:val="0"/>
        <w:autoSpaceDN w:val="0"/>
        <w:adjustRightInd w:val="0"/>
        <w:rPr>
          <w:sz w:val="22"/>
          <w:szCs w:val="22"/>
        </w:rPr>
      </w:pPr>
    </w:p>
    <w:p w14:paraId="40EE181F" w14:textId="77777777" w:rsidR="00FF78DD" w:rsidRPr="005741DC" w:rsidRDefault="00FF78DD" w:rsidP="00FF78DD">
      <w:pPr>
        <w:autoSpaceDE w:val="0"/>
        <w:autoSpaceDN w:val="0"/>
        <w:adjustRightInd w:val="0"/>
        <w:rPr>
          <w:sz w:val="22"/>
          <w:szCs w:val="22"/>
        </w:rPr>
      </w:pPr>
    </w:p>
    <w:p w14:paraId="44B34AC7" w14:textId="673C7D4A" w:rsidR="00A33953" w:rsidRPr="005741DC" w:rsidRDefault="0073228E">
      <w:pPr>
        <w:pStyle w:val="Style1"/>
      </w:pPr>
      <w:r w:rsidRPr="005741DC">
        <w:rPr>
          <w:highlight w:val="lightGray"/>
        </w:rPr>
        <w:t>7.</w:t>
      </w:r>
      <w:r w:rsidRPr="005741DC">
        <w:tab/>
        <w:t>Nežádoucí účinky</w:t>
      </w:r>
    </w:p>
    <w:p w14:paraId="2D489A32" w14:textId="77777777" w:rsidR="00A33953" w:rsidRPr="005741DC" w:rsidRDefault="00A33953">
      <w:pPr>
        <w:rPr>
          <w:sz w:val="22"/>
          <w:szCs w:val="22"/>
        </w:rPr>
      </w:pPr>
    </w:p>
    <w:p w14:paraId="55504B33" w14:textId="77777777" w:rsidR="00343D73" w:rsidRPr="005741DC" w:rsidRDefault="00343D73">
      <w:pPr>
        <w:rPr>
          <w:sz w:val="22"/>
          <w:szCs w:val="22"/>
        </w:rPr>
      </w:pPr>
      <w:r w:rsidRPr="005741DC">
        <w:rPr>
          <w:sz w:val="22"/>
          <w:szCs w:val="22"/>
        </w:rPr>
        <w:t>Psi:</w:t>
      </w:r>
    </w:p>
    <w:tbl>
      <w:tblPr>
        <w:tblW w:w="87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4"/>
      </w:tblGrid>
      <w:tr w:rsidR="00343D73" w:rsidRPr="005741DC" w14:paraId="7A2778DC" w14:textId="77777777" w:rsidTr="00FF78DD">
        <w:trPr>
          <w:trHeight w:val="29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702E9" w14:textId="21D49BE2" w:rsidR="00343D73" w:rsidRPr="005741DC" w:rsidRDefault="00343D73" w:rsidP="00FF78DD">
            <w:pPr>
              <w:spacing w:before="60" w:after="60"/>
              <w:rPr>
                <w:sz w:val="22"/>
                <w:szCs w:val="22"/>
              </w:rPr>
            </w:pPr>
            <w:r w:rsidRPr="005741DC">
              <w:rPr>
                <w:sz w:val="22"/>
                <w:szCs w:val="22"/>
              </w:rPr>
              <w:t>Časté (1 až 10 zvířat / 100 ošetřených zvířat):</w:t>
            </w:r>
          </w:p>
        </w:tc>
      </w:tr>
      <w:tr w:rsidR="00343D73" w:rsidRPr="005741DC" w14:paraId="2C9EF4B0" w14:textId="77777777" w:rsidTr="00FF78DD">
        <w:trPr>
          <w:trHeight w:val="103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4966B" w14:textId="516FECA7" w:rsidR="00343D73" w:rsidRPr="005741DC" w:rsidRDefault="00343D73" w:rsidP="00343D73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</w:rPr>
            </w:pPr>
            <w:r w:rsidRPr="005741DC">
              <w:rPr>
                <w:sz w:val="22"/>
                <w:szCs w:val="22"/>
              </w:rPr>
              <w:t xml:space="preserve">Otok v místě </w:t>
            </w:r>
            <w:r w:rsidR="00E0443B" w:rsidRPr="005741DC">
              <w:rPr>
                <w:sz w:val="22"/>
                <w:szCs w:val="22"/>
              </w:rPr>
              <w:t xml:space="preserve">injekčního </w:t>
            </w:r>
            <w:r w:rsidRPr="005741DC">
              <w:rPr>
                <w:sz w:val="22"/>
                <w:szCs w:val="22"/>
              </w:rPr>
              <w:t xml:space="preserve">podání </w:t>
            </w:r>
            <w:r w:rsidRPr="005741DC">
              <w:rPr>
                <w:sz w:val="22"/>
                <w:szCs w:val="22"/>
                <w:vertAlign w:val="superscript"/>
              </w:rPr>
              <w:t>1,2, 3</w:t>
            </w:r>
            <w:r w:rsidRPr="005741DC">
              <w:rPr>
                <w:sz w:val="22"/>
                <w:szCs w:val="22"/>
              </w:rPr>
              <w:t xml:space="preserve">, Zánět v místě </w:t>
            </w:r>
            <w:r w:rsidR="00E0443B" w:rsidRPr="005741DC">
              <w:rPr>
                <w:sz w:val="22"/>
                <w:szCs w:val="22"/>
              </w:rPr>
              <w:t xml:space="preserve">injekčního </w:t>
            </w:r>
            <w:r w:rsidRPr="005741DC">
              <w:rPr>
                <w:sz w:val="22"/>
                <w:szCs w:val="22"/>
              </w:rPr>
              <w:t xml:space="preserve">podání </w:t>
            </w:r>
            <w:r w:rsidRPr="005741DC">
              <w:rPr>
                <w:sz w:val="22"/>
                <w:szCs w:val="22"/>
                <w:vertAlign w:val="superscript"/>
              </w:rPr>
              <w:t>1,2, 3</w:t>
            </w:r>
            <w:r w:rsidRPr="005741DC">
              <w:rPr>
                <w:sz w:val="22"/>
                <w:szCs w:val="22"/>
              </w:rPr>
              <w:t xml:space="preserve">, edém v místě </w:t>
            </w:r>
            <w:r w:rsidR="00E0443B" w:rsidRPr="005741DC">
              <w:rPr>
                <w:sz w:val="22"/>
                <w:szCs w:val="22"/>
              </w:rPr>
              <w:t xml:space="preserve">injekčního </w:t>
            </w:r>
            <w:r w:rsidRPr="005741DC">
              <w:rPr>
                <w:sz w:val="22"/>
                <w:szCs w:val="22"/>
              </w:rPr>
              <w:t xml:space="preserve">podání </w:t>
            </w:r>
            <w:r w:rsidRPr="005741DC">
              <w:rPr>
                <w:sz w:val="22"/>
                <w:szCs w:val="22"/>
                <w:vertAlign w:val="superscript"/>
              </w:rPr>
              <w:t>1, 2, 3</w:t>
            </w:r>
            <w:r w:rsidRPr="005741DC">
              <w:rPr>
                <w:sz w:val="22"/>
                <w:szCs w:val="22"/>
              </w:rPr>
              <w:t xml:space="preserve">, bulka v místě </w:t>
            </w:r>
            <w:r w:rsidR="00E0443B" w:rsidRPr="005741DC">
              <w:rPr>
                <w:sz w:val="22"/>
                <w:szCs w:val="22"/>
              </w:rPr>
              <w:t xml:space="preserve">injekčního </w:t>
            </w:r>
            <w:r w:rsidRPr="005741DC">
              <w:rPr>
                <w:sz w:val="22"/>
                <w:szCs w:val="22"/>
              </w:rPr>
              <w:t xml:space="preserve">podání </w:t>
            </w:r>
            <w:r w:rsidRPr="005741DC">
              <w:rPr>
                <w:sz w:val="22"/>
                <w:szCs w:val="22"/>
                <w:vertAlign w:val="superscript"/>
              </w:rPr>
              <w:t>1, 2, 4</w:t>
            </w:r>
          </w:p>
          <w:p w14:paraId="631B6282" w14:textId="77777777" w:rsidR="00343D73" w:rsidRPr="005741DC" w:rsidRDefault="00343D73" w:rsidP="00343D73">
            <w:pPr>
              <w:spacing w:before="60" w:after="60"/>
              <w:rPr>
                <w:sz w:val="22"/>
                <w:szCs w:val="22"/>
              </w:rPr>
            </w:pPr>
            <w:r w:rsidRPr="005741DC">
              <w:rPr>
                <w:sz w:val="22"/>
                <w:szCs w:val="22"/>
              </w:rPr>
              <w:t>Letargie</w:t>
            </w:r>
            <w:r w:rsidRPr="005741DC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43D73" w:rsidRPr="005741DC" w14:paraId="2E6BAE24" w14:textId="77777777" w:rsidTr="00FF78DD">
        <w:trPr>
          <w:trHeight w:val="285"/>
        </w:trPr>
        <w:tc>
          <w:tcPr>
            <w:tcW w:w="87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DD406" w14:textId="2940B022" w:rsidR="00343D73" w:rsidRPr="005741DC" w:rsidRDefault="00343D73" w:rsidP="00FF78DD">
            <w:pPr>
              <w:spacing w:before="60" w:after="60"/>
              <w:rPr>
                <w:sz w:val="22"/>
                <w:szCs w:val="22"/>
              </w:rPr>
            </w:pPr>
            <w:r w:rsidRPr="005741DC">
              <w:rPr>
                <w:sz w:val="22"/>
                <w:szCs w:val="22"/>
              </w:rPr>
              <w:t>Vzácné (1 až 10 zvířat / 10 000 ošetřených zvířat):</w:t>
            </w:r>
          </w:p>
        </w:tc>
      </w:tr>
      <w:tr w:rsidR="00343D73" w:rsidRPr="005741DC" w14:paraId="551C32D8" w14:textId="77777777" w:rsidTr="00FF78DD">
        <w:trPr>
          <w:trHeight w:val="1595"/>
        </w:trPr>
        <w:tc>
          <w:tcPr>
            <w:tcW w:w="87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46B40" w14:textId="19E88B45" w:rsidR="00343D73" w:rsidRPr="005741DC" w:rsidRDefault="00343D73" w:rsidP="00343D73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</w:rPr>
            </w:pPr>
            <w:r w:rsidRPr="005741DC">
              <w:rPr>
                <w:sz w:val="22"/>
                <w:szCs w:val="22"/>
              </w:rPr>
              <w:t xml:space="preserve">Bolest v místě </w:t>
            </w:r>
            <w:r w:rsidR="00E0443B" w:rsidRPr="005741DC">
              <w:rPr>
                <w:sz w:val="22"/>
                <w:szCs w:val="22"/>
              </w:rPr>
              <w:t xml:space="preserve">injekčního </w:t>
            </w:r>
            <w:r w:rsidRPr="005741DC">
              <w:rPr>
                <w:sz w:val="22"/>
                <w:szCs w:val="22"/>
              </w:rPr>
              <w:t xml:space="preserve">podání </w:t>
            </w:r>
            <w:r w:rsidRPr="005741DC">
              <w:rPr>
                <w:sz w:val="22"/>
                <w:szCs w:val="22"/>
                <w:vertAlign w:val="superscript"/>
              </w:rPr>
              <w:t>1, 2, 3</w:t>
            </w:r>
            <w:r w:rsidRPr="005741DC">
              <w:rPr>
                <w:sz w:val="22"/>
                <w:szCs w:val="22"/>
              </w:rPr>
              <w:t xml:space="preserve">, pruritus v místě </w:t>
            </w:r>
            <w:r w:rsidR="00E0443B" w:rsidRPr="005741DC">
              <w:rPr>
                <w:sz w:val="22"/>
                <w:szCs w:val="22"/>
              </w:rPr>
              <w:t xml:space="preserve">injekčního </w:t>
            </w:r>
            <w:r w:rsidRPr="005741DC">
              <w:rPr>
                <w:sz w:val="22"/>
                <w:szCs w:val="22"/>
              </w:rPr>
              <w:t xml:space="preserve">podání </w:t>
            </w:r>
            <w:r w:rsidRPr="005741DC">
              <w:rPr>
                <w:sz w:val="22"/>
                <w:szCs w:val="22"/>
                <w:vertAlign w:val="superscript"/>
              </w:rPr>
              <w:t>1, 3</w:t>
            </w:r>
          </w:p>
          <w:p w14:paraId="68935DB9" w14:textId="77777777" w:rsidR="00343D73" w:rsidRPr="005741DC" w:rsidRDefault="00343D73" w:rsidP="00343D73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</w:rPr>
            </w:pPr>
            <w:r w:rsidRPr="005741DC">
              <w:rPr>
                <w:sz w:val="22"/>
                <w:szCs w:val="22"/>
              </w:rPr>
              <w:t>Hypertermie</w:t>
            </w:r>
            <w:r w:rsidRPr="005741DC">
              <w:rPr>
                <w:sz w:val="22"/>
                <w:szCs w:val="22"/>
                <w:vertAlign w:val="superscript"/>
              </w:rPr>
              <w:t>1</w:t>
            </w:r>
            <w:r w:rsidRPr="005741DC">
              <w:rPr>
                <w:sz w:val="22"/>
                <w:szCs w:val="22"/>
              </w:rPr>
              <w:t>, anorexie</w:t>
            </w:r>
            <w:r w:rsidRPr="005741DC">
              <w:rPr>
                <w:sz w:val="22"/>
                <w:szCs w:val="22"/>
                <w:vertAlign w:val="superscript"/>
              </w:rPr>
              <w:t>1</w:t>
            </w:r>
          </w:p>
          <w:p w14:paraId="787F7C90" w14:textId="093388B9" w:rsidR="00343D73" w:rsidRPr="005741DC" w:rsidRDefault="00343D73" w:rsidP="00343D73">
            <w:pPr>
              <w:spacing w:before="60" w:line="276" w:lineRule="auto"/>
              <w:ind w:right="120"/>
              <w:rPr>
                <w:sz w:val="22"/>
                <w:szCs w:val="22"/>
              </w:rPr>
            </w:pPr>
            <w:r w:rsidRPr="005741DC">
              <w:rPr>
                <w:sz w:val="22"/>
                <w:szCs w:val="22"/>
              </w:rPr>
              <w:t xml:space="preserve">Poruchy </w:t>
            </w:r>
            <w:r w:rsidR="00E0443B" w:rsidRPr="005741DC">
              <w:rPr>
                <w:sz w:val="22"/>
                <w:szCs w:val="22"/>
              </w:rPr>
              <w:t>trávícího traktu</w:t>
            </w:r>
            <w:r w:rsidRPr="005741DC">
              <w:rPr>
                <w:sz w:val="22"/>
                <w:szCs w:val="22"/>
                <w:vertAlign w:val="superscript"/>
              </w:rPr>
              <w:t xml:space="preserve">1 </w:t>
            </w:r>
            <w:r w:rsidRPr="005741DC">
              <w:rPr>
                <w:sz w:val="22"/>
                <w:szCs w:val="22"/>
              </w:rPr>
              <w:t>(např. průjem, zvracení)</w:t>
            </w:r>
          </w:p>
          <w:p w14:paraId="4DDA91E7" w14:textId="11479183" w:rsidR="00343D73" w:rsidRPr="005741DC" w:rsidRDefault="002C036F" w:rsidP="002C036F">
            <w:pPr>
              <w:spacing w:before="60" w:after="60"/>
              <w:rPr>
                <w:sz w:val="22"/>
                <w:szCs w:val="22"/>
              </w:rPr>
            </w:pPr>
            <w:r w:rsidRPr="005741DC">
              <w:rPr>
                <w:sz w:val="22"/>
                <w:szCs w:val="22"/>
              </w:rPr>
              <w:t>Hypersensitivní reakce</w:t>
            </w:r>
            <w:r w:rsidRPr="005741DC">
              <w:rPr>
                <w:sz w:val="22"/>
                <w:szCs w:val="22"/>
                <w:vertAlign w:val="superscript"/>
              </w:rPr>
              <w:t>5</w:t>
            </w:r>
            <w:r w:rsidRPr="005741DC">
              <w:rPr>
                <w:sz w:val="22"/>
                <w:szCs w:val="22"/>
              </w:rPr>
              <w:t xml:space="preserve"> (např. A</w:t>
            </w:r>
            <w:r w:rsidR="00343D73" w:rsidRPr="005741DC">
              <w:rPr>
                <w:sz w:val="22"/>
                <w:szCs w:val="22"/>
              </w:rPr>
              <w:t>na</w:t>
            </w:r>
            <w:r w:rsidR="00021F28" w:rsidRPr="005741DC">
              <w:rPr>
                <w:sz w:val="22"/>
                <w:szCs w:val="22"/>
              </w:rPr>
              <w:t>f</w:t>
            </w:r>
            <w:r w:rsidR="00343D73" w:rsidRPr="005741DC">
              <w:rPr>
                <w:sz w:val="22"/>
                <w:szCs w:val="22"/>
              </w:rPr>
              <w:t>ylaxe</w:t>
            </w:r>
            <w:r w:rsidRPr="005741DC">
              <w:rPr>
                <w:sz w:val="22"/>
                <w:szCs w:val="22"/>
              </w:rPr>
              <w:t xml:space="preserve"> (závažná forma alergické reakce)</w:t>
            </w:r>
            <w:r w:rsidR="00343D73" w:rsidRPr="005741DC">
              <w:rPr>
                <w:sz w:val="22"/>
                <w:szCs w:val="22"/>
              </w:rPr>
              <w:t xml:space="preserve">, </w:t>
            </w:r>
            <w:r w:rsidRPr="005741DC">
              <w:rPr>
                <w:sz w:val="22"/>
                <w:szCs w:val="22"/>
              </w:rPr>
              <w:t>a</w:t>
            </w:r>
            <w:r w:rsidR="00343D73" w:rsidRPr="005741DC">
              <w:rPr>
                <w:sz w:val="22"/>
                <w:szCs w:val="22"/>
              </w:rPr>
              <w:t>lergická</w:t>
            </w:r>
            <w:r w:rsidRPr="005741DC">
              <w:rPr>
                <w:sz w:val="22"/>
                <w:szCs w:val="22"/>
              </w:rPr>
              <w:t xml:space="preserve"> kožní reakce, jako je </w:t>
            </w:r>
            <w:r w:rsidR="00343D73" w:rsidRPr="005741DC">
              <w:rPr>
                <w:sz w:val="22"/>
                <w:szCs w:val="22"/>
              </w:rPr>
              <w:t>alergický edém</w:t>
            </w:r>
            <w:r w:rsidRPr="005741DC">
              <w:rPr>
                <w:sz w:val="22"/>
                <w:szCs w:val="22"/>
              </w:rPr>
              <w:t xml:space="preserve"> (otok)</w:t>
            </w:r>
            <w:r w:rsidR="00343D73" w:rsidRPr="005741DC">
              <w:rPr>
                <w:sz w:val="22"/>
                <w:szCs w:val="22"/>
              </w:rPr>
              <w:t xml:space="preserve">, </w:t>
            </w:r>
            <w:r w:rsidRPr="005741DC">
              <w:rPr>
                <w:sz w:val="22"/>
                <w:szCs w:val="22"/>
              </w:rPr>
              <w:t xml:space="preserve">urtikariální </w:t>
            </w:r>
            <w:r w:rsidR="00343D73" w:rsidRPr="005741DC">
              <w:rPr>
                <w:sz w:val="22"/>
                <w:szCs w:val="22"/>
              </w:rPr>
              <w:t>erytém</w:t>
            </w:r>
            <w:r w:rsidRPr="005741DC">
              <w:rPr>
                <w:sz w:val="22"/>
                <w:szCs w:val="22"/>
              </w:rPr>
              <w:t xml:space="preserve"> (zarudnutí)</w:t>
            </w:r>
            <w:r w:rsidR="00343D73" w:rsidRPr="005741DC">
              <w:rPr>
                <w:sz w:val="22"/>
                <w:szCs w:val="22"/>
              </w:rPr>
              <w:t>, alergický pruritus)</w:t>
            </w:r>
          </w:p>
        </w:tc>
      </w:tr>
    </w:tbl>
    <w:p w14:paraId="35D75FD6" w14:textId="77777777" w:rsidR="00A33953" w:rsidRPr="005741DC" w:rsidRDefault="0073228E">
      <w:pPr>
        <w:spacing w:line="276" w:lineRule="auto"/>
        <w:rPr>
          <w:sz w:val="22"/>
          <w:szCs w:val="22"/>
        </w:rPr>
      </w:pPr>
      <w:r w:rsidRPr="005741DC">
        <w:rPr>
          <w:sz w:val="22"/>
          <w:szCs w:val="22"/>
        </w:rPr>
        <w:t xml:space="preserve"> </w:t>
      </w:r>
    </w:p>
    <w:p w14:paraId="228466A4" w14:textId="77777777" w:rsidR="00A33953" w:rsidRPr="005741DC" w:rsidRDefault="0073228E">
      <w:pPr>
        <w:spacing w:line="276" w:lineRule="auto"/>
        <w:rPr>
          <w:sz w:val="22"/>
          <w:szCs w:val="22"/>
        </w:rPr>
      </w:pPr>
      <w:r w:rsidRPr="005741DC">
        <w:rPr>
          <w:sz w:val="22"/>
          <w:szCs w:val="22"/>
          <w:vertAlign w:val="superscript"/>
        </w:rPr>
        <w:t>1</w:t>
      </w:r>
      <w:r w:rsidRPr="005741DC">
        <w:rPr>
          <w:sz w:val="22"/>
          <w:szCs w:val="22"/>
        </w:rPr>
        <w:t xml:space="preserve"> Přechodné</w:t>
      </w:r>
    </w:p>
    <w:p w14:paraId="4C626982" w14:textId="77777777" w:rsidR="00A33953" w:rsidRPr="005741DC" w:rsidRDefault="0073228E">
      <w:pPr>
        <w:spacing w:line="276" w:lineRule="auto"/>
        <w:jc w:val="both"/>
        <w:rPr>
          <w:sz w:val="22"/>
          <w:szCs w:val="22"/>
        </w:rPr>
      </w:pPr>
      <w:r w:rsidRPr="005741DC">
        <w:rPr>
          <w:sz w:val="22"/>
          <w:szCs w:val="22"/>
          <w:vertAlign w:val="superscript"/>
        </w:rPr>
        <w:t>2</w:t>
      </w:r>
      <w:r w:rsidRPr="005741DC">
        <w:rPr>
          <w:sz w:val="22"/>
          <w:szCs w:val="22"/>
        </w:rPr>
        <w:t xml:space="preserve"> Mírné</w:t>
      </w:r>
    </w:p>
    <w:p w14:paraId="76768873" w14:textId="40AB5604" w:rsidR="00A33953" w:rsidRPr="005741DC" w:rsidRDefault="0073228E">
      <w:pPr>
        <w:spacing w:line="276" w:lineRule="auto"/>
        <w:rPr>
          <w:sz w:val="22"/>
          <w:szCs w:val="22"/>
        </w:rPr>
      </w:pPr>
      <w:r w:rsidRPr="005741DC">
        <w:rPr>
          <w:sz w:val="22"/>
          <w:szCs w:val="22"/>
          <w:vertAlign w:val="superscript"/>
        </w:rPr>
        <w:t xml:space="preserve">3 </w:t>
      </w:r>
      <w:r w:rsidRPr="005741DC">
        <w:rPr>
          <w:sz w:val="22"/>
          <w:szCs w:val="22"/>
        </w:rPr>
        <w:t>Odezní spontánně během 7 až 14 dnů</w:t>
      </w:r>
    </w:p>
    <w:p w14:paraId="3C5D9705" w14:textId="77777777" w:rsidR="00A33953" w:rsidRPr="005741DC" w:rsidRDefault="0073228E">
      <w:pPr>
        <w:spacing w:line="276" w:lineRule="auto"/>
        <w:jc w:val="both"/>
        <w:rPr>
          <w:sz w:val="22"/>
          <w:szCs w:val="22"/>
        </w:rPr>
      </w:pPr>
      <w:r w:rsidRPr="005741DC">
        <w:rPr>
          <w:sz w:val="22"/>
          <w:szCs w:val="22"/>
          <w:vertAlign w:val="superscript"/>
        </w:rPr>
        <w:t xml:space="preserve">4 </w:t>
      </w:r>
      <w:r w:rsidRPr="005741DC">
        <w:rPr>
          <w:sz w:val="22"/>
          <w:szCs w:val="22"/>
        </w:rPr>
        <w:t>Odezní spontánně</w:t>
      </w:r>
    </w:p>
    <w:p w14:paraId="6D775C60" w14:textId="1D9B175B" w:rsidR="00A33953" w:rsidRPr="005741DC" w:rsidRDefault="0073228E" w:rsidP="00FF78DD">
      <w:pPr>
        <w:spacing w:line="276" w:lineRule="auto"/>
        <w:rPr>
          <w:sz w:val="22"/>
          <w:szCs w:val="22"/>
        </w:rPr>
      </w:pPr>
      <w:r w:rsidRPr="005741DC">
        <w:rPr>
          <w:sz w:val="22"/>
          <w:szCs w:val="22"/>
          <w:vertAlign w:val="superscript"/>
        </w:rPr>
        <w:t>5</w:t>
      </w:r>
      <w:r w:rsidRPr="005741DC">
        <w:rPr>
          <w:sz w:val="22"/>
          <w:szCs w:val="22"/>
        </w:rPr>
        <w:t xml:space="preserve"> V případě alergické reakce nebo anafylaktického šoku je třeba podat adekvátní symptomatickou léčbu</w:t>
      </w:r>
    </w:p>
    <w:p w14:paraId="171FCC9C" w14:textId="77777777" w:rsidR="00343D73" w:rsidRPr="005741DC" w:rsidRDefault="00343D73">
      <w:pPr>
        <w:rPr>
          <w:sz w:val="22"/>
          <w:szCs w:val="22"/>
        </w:rPr>
      </w:pPr>
    </w:p>
    <w:p w14:paraId="39F9285B" w14:textId="64EA716A" w:rsidR="00A33953" w:rsidRPr="005741DC" w:rsidRDefault="00343D73">
      <w:pPr>
        <w:rPr>
          <w:sz w:val="22"/>
          <w:szCs w:val="22"/>
        </w:rPr>
      </w:pPr>
      <w:r w:rsidRPr="005741DC">
        <w:rPr>
          <w:sz w:val="22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246D10" w:rsidRPr="005741DC">
        <w:rPr>
          <w:sz w:val="22"/>
          <w:szCs w:val="22"/>
        </w:rPr>
        <w:t>i</w:t>
      </w:r>
      <w:r w:rsidRPr="005741DC">
        <w:rPr>
          <w:sz w:val="22"/>
          <w:szCs w:val="22"/>
        </w:rPr>
        <w:t xml:space="preserve"> rozhodnutí o registraci nebo místní</w:t>
      </w:r>
      <w:r w:rsidR="00246D10" w:rsidRPr="005741DC">
        <w:rPr>
          <w:sz w:val="22"/>
          <w:szCs w:val="22"/>
        </w:rPr>
        <w:t>mu</w:t>
      </w:r>
      <w:r w:rsidRPr="005741DC">
        <w:rPr>
          <w:sz w:val="22"/>
          <w:szCs w:val="22"/>
        </w:rPr>
        <w:t xml:space="preserve"> zástupc</w:t>
      </w:r>
      <w:r w:rsidR="00246D10" w:rsidRPr="005741DC">
        <w:rPr>
          <w:sz w:val="22"/>
          <w:szCs w:val="22"/>
        </w:rPr>
        <w:t>i</w:t>
      </w:r>
      <w:r w:rsidRPr="005741DC">
        <w:rPr>
          <w:sz w:val="22"/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 </w:t>
      </w:r>
    </w:p>
    <w:p w14:paraId="268E00EE" w14:textId="77777777" w:rsidR="00343D73" w:rsidRPr="005741DC" w:rsidRDefault="00343D73">
      <w:pPr>
        <w:rPr>
          <w:sz w:val="22"/>
          <w:szCs w:val="22"/>
        </w:rPr>
      </w:pPr>
    </w:p>
    <w:p w14:paraId="30C66415" w14:textId="77777777" w:rsidR="00246D10" w:rsidRPr="005741DC" w:rsidRDefault="00246D10" w:rsidP="00246D10">
      <w:pPr>
        <w:rPr>
          <w:sz w:val="22"/>
          <w:szCs w:val="22"/>
        </w:rPr>
      </w:pPr>
      <w:r w:rsidRPr="005741DC">
        <w:rPr>
          <w:sz w:val="22"/>
          <w:szCs w:val="22"/>
        </w:rPr>
        <w:lastRenderedPageBreak/>
        <w:t xml:space="preserve">Ústav pro státní kontrolu veterinárních biopreparátů a léčiv </w:t>
      </w:r>
    </w:p>
    <w:p w14:paraId="45FA4741" w14:textId="77777777" w:rsidR="00246D10" w:rsidRPr="005741DC" w:rsidRDefault="00246D10" w:rsidP="00246D10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Hudcova 232/56a </w:t>
      </w:r>
    </w:p>
    <w:p w14:paraId="2D8C6959" w14:textId="77777777" w:rsidR="00246D10" w:rsidRPr="005741DC" w:rsidRDefault="00246D10" w:rsidP="00246D10">
      <w:pPr>
        <w:rPr>
          <w:sz w:val="22"/>
          <w:szCs w:val="22"/>
        </w:rPr>
      </w:pPr>
      <w:r w:rsidRPr="005741DC">
        <w:rPr>
          <w:sz w:val="22"/>
          <w:szCs w:val="22"/>
        </w:rPr>
        <w:t>621 00 Brno</w:t>
      </w:r>
    </w:p>
    <w:p w14:paraId="7EB241E9" w14:textId="77777777" w:rsidR="00246D10" w:rsidRPr="005741DC" w:rsidRDefault="00246D10" w:rsidP="00246D10">
      <w:pPr>
        <w:rPr>
          <w:sz w:val="22"/>
          <w:szCs w:val="22"/>
        </w:rPr>
      </w:pPr>
      <w:r w:rsidRPr="005741DC">
        <w:rPr>
          <w:sz w:val="22"/>
          <w:szCs w:val="22"/>
        </w:rPr>
        <w:t>e-mail: adr@uskvbl.cz</w:t>
      </w:r>
    </w:p>
    <w:p w14:paraId="616ADD8B" w14:textId="2113BF28" w:rsidR="00FF78DD" w:rsidRPr="005741DC" w:rsidRDefault="00246D10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Webové stránky: </w:t>
      </w:r>
      <w:hyperlink r:id="rId8" w:history="1">
        <w:r w:rsidR="00FF78DD" w:rsidRPr="005741DC">
          <w:rPr>
            <w:rStyle w:val="Hypertextovodkaz"/>
            <w:sz w:val="22"/>
            <w:szCs w:val="22"/>
          </w:rPr>
          <w:t>http://www.uskvbl.cz/cs/farmakovigilance</w:t>
        </w:r>
      </w:hyperlink>
    </w:p>
    <w:p w14:paraId="6F9E9C1D" w14:textId="77777777" w:rsidR="00FF78DD" w:rsidRPr="005741DC" w:rsidRDefault="00FF78DD">
      <w:pPr>
        <w:rPr>
          <w:sz w:val="22"/>
          <w:szCs w:val="22"/>
        </w:rPr>
      </w:pPr>
    </w:p>
    <w:p w14:paraId="21121676" w14:textId="77777777" w:rsidR="00A33953" w:rsidRPr="005741DC" w:rsidRDefault="00A33953">
      <w:pPr>
        <w:rPr>
          <w:sz w:val="22"/>
          <w:szCs w:val="22"/>
        </w:rPr>
      </w:pPr>
    </w:p>
    <w:p w14:paraId="4DF48150" w14:textId="77777777" w:rsidR="00A33953" w:rsidRPr="005741DC" w:rsidRDefault="0073228E">
      <w:pPr>
        <w:pStyle w:val="Style1"/>
      </w:pPr>
      <w:r w:rsidRPr="005741DC">
        <w:rPr>
          <w:highlight w:val="lightGray"/>
        </w:rPr>
        <w:t>8.</w:t>
      </w:r>
      <w:r w:rsidRPr="005741DC">
        <w:tab/>
        <w:t>Dávkování pro každý druh, cesty a způsob podání</w:t>
      </w:r>
    </w:p>
    <w:p w14:paraId="3811A8BD" w14:textId="77777777" w:rsidR="00A33953" w:rsidRPr="005741DC" w:rsidRDefault="00A33953">
      <w:pPr>
        <w:rPr>
          <w:sz w:val="22"/>
          <w:szCs w:val="22"/>
        </w:rPr>
      </w:pPr>
    </w:p>
    <w:p w14:paraId="188329DD" w14:textId="31B40996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Po smíchání </w:t>
      </w:r>
      <w:r w:rsidR="003D42BD" w:rsidRPr="005741DC">
        <w:rPr>
          <w:sz w:val="22"/>
          <w:szCs w:val="22"/>
        </w:rPr>
        <w:t xml:space="preserve">lyofilizátu a </w:t>
      </w:r>
      <w:r w:rsidR="009F6AB2" w:rsidRPr="005741DC">
        <w:rPr>
          <w:sz w:val="22"/>
          <w:szCs w:val="22"/>
        </w:rPr>
        <w:t>suspenze</w:t>
      </w:r>
      <w:r w:rsidRPr="005741DC">
        <w:rPr>
          <w:sz w:val="22"/>
          <w:szCs w:val="22"/>
        </w:rPr>
        <w:t xml:space="preserve"> podávejte subkutánně jednu dávku Canigenu DHA</w:t>
      </w:r>
      <w:r w:rsidRPr="005741DC">
        <w:rPr>
          <w:sz w:val="22"/>
          <w:szCs w:val="22"/>
          <w:vertAlign w:val="subscript"/>
        </w:rPr>
        <w:t>2</w:t>
      </w:r>
      <w:r w:rsidRPr="005741DC">
        <w:rPr>
          <w:sz w:val="22"/>
          <w:szCs w:val="22"/>
        </w:rPr>
        <w:t>PPi/LR dle následujícího vakcinačního schéma:</w:t>
      </w:r>
    </w:p>
    <w:p w14:paraId="7AE9B688" w14:textId="77777777" w:rsidR="00A33953" w:rsidRPr="005741DC" w:rsidRDefault="00A33953">
      <w:pPr>
        <w:rPr>
          <w:sz w:val="22"/>
          <w:szCs w:val="22"/>
        </w:rPr>
      </w:pPr>
    </w:p>
    <w:p w14:paraId="730C88E6" w14:textId="77777777" w:rsidR="00A33953" w:rsidRPr="005741DC" w:rsidRDefault="0073228E">
      <w:pPr>
        <w:rPr>
          <w:sz w:val="22"/>
          <w:szCs w:val="22"/>
          <w:u w:val="single"/>
        </w:rPr>
      </w:pPr>
      <w:r w:rsidRPr="005741DC">
        <w:rPr>
          <w:sz w:val="22"/>
          <w:szCs w:val="22"/>
          <w:u w:val="single"/>
        </w:rPr>
        <w:t>Primovakcinace</w:t>
      </w:r>
    </w:p>
    <w:p w14:paraId="42ECC562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Jedna injekce Canigenu DHA</w:t>
      </w:r>
      <w:r w:rsidRPr="005741DC">
        <w:rPr>
          <w:sz w:val="22"/>
          <w:szCs w:val="22"/>
          <w:vertAlign w:val="subscript"/>
        </w:rPr>
        <w:t>2</w:t>
      </w:r>
      <w:r w:rsidRPr="005741DC">
        <w:rPr>
          <w:sz w:val="22"/>
          <w:szCs w:val="22"/>
        </w:rPr>
        <w:t>PPi/LR u štěňat od 12 týdnů věku. Po 15-30 dnech druhá injekce Canigenu DHA</w:t>
      </w:r>
      <w:r w:rsidRPr="005741DC">
        <w:rPr>
          <w:sz w:val="22"/>
          <w:szCs w:val="22"/>
          <w:vertAlign w:val="subscript"/>
        </w:rPr>
        <w:t>2</w:t>
      </w:r>
      <w:r w:rsidRPr="005741DC">
        <w:rPr>
          <w:sz w:val="22"/>
          <w:szCs w:val="22"/>
        </w:rPr>
        <w:t>PPi/L.</w:t>
      </w:r>
    </w:p>
    <w:p w14:paraId="105D14C0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Nebo:</w:t>
      </w:r>
    </w:p>
    <w:p w14:paraId="5DF1BC8D" w14:textId="270C1701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Jedna injekce Canigenu DHA</w:t>
      </w:r>
      <w:r w:rsidRPr="005741DC">
        <w:rPr>
          <w:sz w:val="22"/>
          <w:szCs w:val="22"/>
          <w:vertAlign w:val="subscript"/>
        </w:rPr>
        <w:t>2</w:t>
      </w:r>
      <w:r w:rsidRPr="005741DC">
        <w:rPr>
          <w:sz w:val="22"/>
          <w:szCs w:val="22"/>
        </w:rPr>
        <w:t>PPi/LR u štěňat od 12 týdnů věku po předchozí aplikaci jedné dávky Canigenu DHA</w:t>
      </w:r>
      <w:r w:rsidRPr="005741DC">
        <w:rPr>
          <w:sz w:val="22"/>
          <w:szCs w:val="22"/>
          <w:vertAlign w:val="subscript"/>
        </w:rPr>
        <w:t>2</w:t>
      </w:r>
      <w:r w:rsidRPr="005741DC">
        <w:rPr>
          <w:sz w:val="22"/>
          <w:szCs w:val="22"/>
        </w:rPr>
        <w:t>PPi/L u štěňat od 8 týdnů věku.</w:t>
      </w:r>
    </w:p>
    <w:p w14:paraId="1DDB4CE9" w14:textId="77777777" w:rsidR="00A33953" w:rsidRPr="005741DC" w:rsidRDefault="00A33953">
      <w:pPr>
        <w:rPr>
          <w:sz w:val="22"/>
          <w:szCs w:val="22"/>
        </w:rPr>
      </w:pPr>
    </w:p>
    <w:p w14:paraId="01223867" w14:textId="77777777" w:rsidR="00A33953" w:rsidRPr="005741DC" w:rsidRDefault="0073228E">
      <w:pPr>
        <w:rPr>
          <w:sz w:val="22"/>
          <w:szCs w:val="22"/>
          <w:u w:val="single"/>
        </w:rPr>
      </w:pPr>
      <w:r w:rsidRPr="005741DC">
        <w:rPr>
          <w:sz w:val="22"/>
          <w:szCs w:val="22"/>
          <w:u w:val="single"/>
        </w:rPr>
        <w:t>Revakcinace</w:t>
      </w:r>
    </w:p>
    <w:p w14:paraId="18DA6BE9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Jednou ročně.</w:t>
      </w:r>
    </w:p>
    <w:p w14:paraId="0E6A8EBC" w14:textId="77777777" w:rsidR="00A33953" w:rsidRPr="005741DC" w:rsidRDefault="00A33953">
      <w:pPr>
        <w:rPr>
          <w:sz w:val="22"/>
          <w:szCs w:val="22"/>
        </w:rPr>
      </w:pPr>
    </w:p>
    <w:p w14:paraId="28F26D0C" w14:textId="77777777" w:rsidR="00A33953" w:rsidRPr="005741DC" w:rsidRDefault="00A33953">
      <w:pPr>
        <w:rPr>
          <w:sz w:val="22"/>
          <w:szCs w:val="22"/>
        </w:rPr>
      </w:pPr>
    </w:p>
    <w:p w14:paraId="0AD50313" w14:textId="77777777" w:rsidR="00A33953" w:rsidRPr="005741DC" w:rsidRDefault="0073228E">
      <w:pPr>
        <w:pStyle w:val="Style1"/>
      </w:pPr>
      <w:r w:rsidRPr="005741DC">
        <w:rPr>
          <w:highlight w:val="lightGray"/>
        </w:rPr>
        <w:t>9.</w:t>
      </w:r>
      <w:r w:rsidRPr="005741DC">
        <w:tab/>
        <w:t>Informace o správném podávání</w:t>
      </w:r>
    </w:p>
    <w:p w14:paraId="28E3B8F6" w14:textId="77777777" w:rsidR="00A33953" w:rsidRPr="005741DC" w:rsidRDefault="00A33953">
      <w:pPr>
        <w:rPr>
          <w:sz w:val="22"/>
          <w:szCs w:val="22"/>
        </w:rPr>
      </w:pPr>
    </w:p>
    <w:p w14:paraId="65106EE4" w14:textId="6B96DBB9" w:rsidR="00A33953" w:rsidRPr="005741DC" w:rsidRDefault="00FF78DD">
      <w:pPr>
        <w:rPr>
          <w:sz w:val="22"/>
          <w:szCs w:val="22"/>
        </w:rPr>
      </w:pPr>
      <w:r w:rsidRPr="005741DC">
        <w:rPr>
          <w:sz w:val="22"/>
          <w:szCs w:val="22"/>
        </w:rPr>
        <w:t>Rekonstituovaná vakcína je světle růžová suspenze.</w:t>
      </w:r>
    </w:p>
    <w:p w14:paraId="427B0229" w14:textId="77777777" w:rsidR="00A33953" w:rsidRPr="005741DC" w:rsidRDefault="00A33953">
      <w:pPr>
        <w:rPr>
          <w:sz w:val="22"/>
          <w:szCs w:val="22"/>
        </w:rPr>
      </w:pPr>
    </w:p>
    <w:p w14:paraId="752A31B7" w14:textId="77777777" w:rsidR="00FF78DD" w:rsidRPr="005741DC" w:rsidRDefault="00FF78DD">
      <w:pPr>
        <w:rPr>
          <w:sz w:val="22"/>
          <w:szCs w:val="22"/>
        </w:rPr>
      </w:pPr>
    </w:p>
    <w:p w14:paraId="040EB6DD" w14:textId="724A46B6" w:rsidR="00A33953" w:rsidRPr="005741DC" w:rsidRDefault="0073228E" w:rsidP="00FF78DD">
      <w:pPr>
        <w:pStyle w:val="Style1"/>
      </w:pPr>
      <w:r w:rsidRPr="005741DC">
        <w:rPr>
          <w:highlight w:val="lightGray"/>
        </w:rPr>
        <w:t>10.</w:t>
      </w:r>
      <w:r w:rsidRPr="005741DC">
        <w:tab/>
        <w:t>Ochranné lhůty</w:t>
      </w:r>
    </w:p>
    <w:p w14:paraId="4389F934" w14:textId="77777777" w:rsidR="00A33953" w:rsidRPr="005741DC" w:rsidRDefault="00A33953">
      <w:pPr>
        <w:rPr>
          <w:iCs/>
          <w:sz w:val="22"/>
          <w:szCs w:val="22"/>
        </w:rPr>
      </w:pPr>
    </w:p>
    <w:p w14:paraId="1F2A0D38" w14:textId="2687AC74" w:rsidR="00A33953" w:rsidRPr="005741DC" w:rsidRDefault="00DD2530">
      <w:pPr>
        <w:rPr>
          <w:sz w:val="22"/>
          <w:szCs w:val="22"/>
        </w:rPr>
      </w:pPr>
      <w:r w:rsidRPr="005741DC">
        <w:rPr>
          <w:sz w:val="22"/>
          <w:szCs w:val="22"/>
        </w:rPr>
        <w:t>Neuplatňuje se.</w:t>
      </w:r>
    </w:p>
    <w:p w14:paraId="2B49E234" w14:textId="77777777" w:rsidR="00A33953" w:rsidRPr="005741DC" w:rsidRDefault="00A33953">
      <w:pPr>
        <w:rPr>
          <w:sz w:val="22"/>
          <w:szCs w:val="22"/>
        </w:rPr>
      </w:pPr>
    </w:p>
    <w:p w14:paraId="4C77BBF5" w14:textId="77777777" w:rsidR="00A33953" w:rsidRPr="005741DC" w:rsidRDefault="00A33953">
      <w:pPr>
        <w:rPr>
          <w:iCs/>
          <w:sz w:val="22"/>
          <w:szCs w:val="22"/>
        </w:rPr>
      </w:pPr>
    </w:p>
    <w:p w14:paraId="5F9F75C0" w14:textId="2ED3FC7B" w:rsidR="00A33953" w:rsidRPr="005741DC" w:rsidRDefault="0073228E">
      <w:pPr>
        <w:pStyle w:val="Style1"/>
      </w:pPr>
      <w:r w:rsidRPr="005741DC">
        <w:rPr>
          <w:highlight w:val="lightGray"/>
        </w:rPr>
        <w:t>11.</w:t>
      </w:r>
      <w:r w:rsidRPr="005741DC">
        <w:tab/>
        <w:t>Zvláštní opatření pro uchovávání</w:t>
      </w:r>
    </w:p>
    <w:p w14:paraId="037521B8" w14:textId="77777777" w:rsidR="00A33953" w:rsidRPr="005741DC" w:rsidRDefault="00A33953">
      <w:pPr>
        <w:rPr>
          <w:sz w:val="22"/>
          <w:szCs w:val="22"/>
        </w:rPr>
      </w:pPr>
    </w:p>
    <w:p w14:paraId="3F9B3096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Uchovávejte mimo </w:t>
      </w:r>
      <w:r w:rsidR="00DD2530" w:rsidRPr="005741DC">
        <w:rPr>
          <w:sz w:val="22"/>
          <w:szCs w:val="22"/>
        </w:rPr>
        <w:t xml:space="preserve">dohled a </w:t>
      </w:r>
      <w:r w:rsidRPr="005741DC">
        <w:rPr>
          <w:sz w:val="22"/>
          <w:szCs w:val="22"/>
        </w:rPr>
        <w:t>dosah dětí.</w:t>
      </w:r>
    </w:p>
    <w:p w14:paraId="3FA3D2CB" w14:textId="77777777" w:rsidR="00A33953" w:rsidRPr="005741DC" w:rsidRDefault="0073228E">
      <w:pPr>
        <w:ind w:right="-318"/>
        <w:rPr>
          <w:sz w:val="22"/>
          <w:szCs w:val="22"/>
        </w:rPr>
      </w:pPr>
      <w:r w:rsidRPr="005741DC">
        <w:rPr>
          <w:sz w:val="22"/>
          <w:szCs w:val="22"/>
        </w:rPr>
        <w:t>Uchovávejte a přepravujte chlazené (2</w:t>
      </w:r>
      <w:r w:rsidR="00DD2530" w:rsidRPr="005741DC">
        <w:rPr>
          <w:sz w:val="22"/>
          <w:szCs w:val="22"/>
        </w:rPr>
        <w:t xml:space="preserve"> </w:t>
      </w:r>
      <w:r w:rsidRPr="005741DC">
        <w:rPr>
          <w:sz w:val="22"/>
          <w:szCs w:val="22"/>
        </w:rPr>
        <w:sym w:font="Symbol" w:char="F0B0"/>
      </w:r>
      <w:r w:rsidRPr="005741DC">
        <w:rPr>
          <w:sz w:val="22"/>
          <w:szCs w:val="22"/>
        </w:rPr>
        <w:t>C – 8</w:t>
      </w:r>
      <w:r w:rsidR="00DD2530" w:rsidRPr="005741DC">
        <w:rPr>
          <w:sz w:val="22"/>
          <w:szCs w:val="22"/>
        </w:rPr>
        <w:t xml:space="preserve"> </w:t>
      </w:r>
      <w:r w:rsidRPr="005741DC">
        <w:rPr>
          <w:sz w:val="22"/>
          <w:szCs w:val="22"/>
        </w:rPr>
        <w:sym w:font="Symbol" w:char="F0B0"/>
      </w:r>
      <w:r w:rsidRPr="005741DC">
        <w:rPr>
          <w:sz w:val="22"/>
          <w:szCs w:val="22"/>
        </w:rPr>
        <w:t>C).</w:t>
      </w:r>
    </w:p>
    <w:p w14:paraId="0ADA8998" w14:textId="77777777" w:rsidR="00A33953" w:rsidRPr="005741DC" w:rsidRDefault="0073228E">
      <w:pPr>
        <w:ind w:right="-318"/>
        <w:rPr>
          <w:sz w:val="22"/>
          <w:szCs w:val="22"/>
        </w:rPr>
      </w:pPr>
      <w:r w:rsidRPr="005741DC">
        <w:rPr>
          <w:sz w:val="22"/>
          <w:szCs w:val="22"/>
        </w:rPr>
        <w:t>Chraňte před mrazem.</w:t>
      </w:r>
    </w:p>
    <w:p w14:paraId="7CDD4982" w14:textId="77777777" w:rsidR="00A33953" w:rsidRPr="005741DC" w:rsidRDefault="0073228E">
      <w:pPr>
        <w:ind w:right="-318"/>
        <w:rPr>
          <w:sz w:val="22"/>
          <w:szCs w:val="22"/>
        </w:rPr>
      </w:pPr>
      <w:r w:rsidRPr="005741DC">
        <w:rPr>
          <w:sz w:val="22"/>
          <w:szCs w:val="22"/>
        </w:rPr>
        <w:t>Chraňte před světlem.</w:t>
      </w:r>
    </w:p>
    <w:p w14:paraId="5059F065" w14:textId="5BBDB6B1" w:rsidR="00A33953" w:rsidRPr="005741DC" w:rsidRDefault="0073228E">
      <w:pPr>
        <w:ind w:right="-2"/>
        <w:rPr>
          <w:sz w:val="22"/>
          <w:szCs w:val="22"/>
        </w:rPr>
      </w:pPr>
      <w:r w:rsidRPr="005741DC">
        <w:rPr>
          <w:sz w:val="22"/>
          <w:szCs w:val="22"/>
        </w:rPr>
        <w:t>Nepoužívejte tento veterinární léčivý přípravek po uplynutí doby použitelnosti uvedené na etiketě</w:t>
      </w:r>
      <w:r w:rsidR="00DD2530" w:rsidRPr="005741DC">
        <w:rPr>
          <w:sz w:val="22"/>
          <w:szCs w:val="22"/>
        </w:rPr>
        <w:t xml:space="preserve"> po </w:t>
      </w:r>
      <w:r w:rsidR="009F6AB2" w:rsidRPr="005741DC">
        <w:rPr>
          <w:sz w:val="22"/>
          <w:szCs w:val="22"/>
        </w:rPr>
        <w:t>Exp.</w:t>
      </w:r>
    </w:p>
    <w:p w14:paraId="25682963" w14:textId="2F862D7B" w:rsidR="00A33953" w:rsidRPr="005741DC" w:rsidRDefault="00DD2530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Doba </w:t>
      </w:r>
      <w:r w:rsidR="009F6AB2" w:rsidRPr="005741DC">
        <w:rPr>
          <w:sz w:val="22"/>
          <w:szCs w:val="22"/>
        </w:rPr>
        <w:t>použitelnosti</w:t>
      </w:r>
      <w:r w:rsidR="0073228E" w:rsidRPr="005741DC">
        <w:rPr>
          <w:sz w:val="22"/>
          <w:szCs w:val="22"/>
        </w:rPr>
        <w:t xml:space="preserve"> po</w:t>
      </w:r>
      <w:r w:rsidRPr="005741DC">
        <w:rPr>
          <w:sz w:val="22"/>
          <w:szCs w:val="22"/>
        </w:rPr>
        <w:t xml:space="preserve"> rekonstituci podle návodu: spotřebujte ihned.</w:t>
      </w:r>
    </w:p>
    <w:p w14:paraId="28087483" w14:textId="77777777" w:rsidR="00A33953" w:rsidRPr="005741DC" w:rsidRDefault="00A33953">
      <w:pPr>
        <w:rPr>
          <w:sz w:val="22"/>
          <w:szCs w:val="22"/>
        </w:rPr>
      </w:pPr>
    </w:p>
    <w:p w14:paraId="676A8C3F" w14:textId="77777777" w:rsidR="00A33953" w:rsidRPr="005741DC" w:rsidRDefault="00A33953">
      <w:pPr>
        <w:ind w:right="-318"/>
        <w:rPr>
          <w:sz w:val="22"/>
          <w:szCs w:val="22"/>
        </w:rPr>
      </w:pPr>
    </w:p>
    <w:p w14:paraId="12E80C3C" w14:textId="77777777" w:rsidR="00A33953" w:rsidRPr="005741DC" w:rsidRDefault="0073228E">
      <w:pPr>
        <w:pStyle w:val="Style1"/>
      </w:pPr>
      <w:r w:rsidRPr="005741DC">
        <w:rPr>
          <w:highlight w:val="lightGray"/>
        </w:rPr>
        <w:t>12.</w:t>
      </w:r>
      <w:r w:rsidRPr="005741DC">
        <w:tab/>
        <w:t>Zvláštní opatření pro likvidaci</w:t>
      </w:r>
    </w:p>
    <w:p w14:paraId="5FBAC44E" w14:textId="77777777" w:rsidR="00A33953" w:rsidRPr="005741DC" w:rsidRDefault="00A33953">
      <w:pPr>
        <w:ind w:right="-318"/>
        <w:rPr>
          <w:sz w:val="22"/>
          <w:szCs w:val="22"/>
        </w:rPr>
      </w:pPr>
    </w:p>
    <w:p w14:paraId="1B09BCD4" w14:textId="3592AB60" w:rsidR="00A33953" w:rsidRPr="005741DC" w:rsidRDefault="00DD2530">
      <w:pPr>
        <w:rPr>
          <w:sz w:val="22"/>
          <w:szCs w:val="22"/>
        </w:rPr>
      </w:pPr>
      <w:r w:rsidRPr="005741DC">
        <w:rPr>
          <w:sz w:val="22"/>
          <w:szCs w:val="22"/>
        </w:rPr>
        <w:t>Léčivé přípravky se nesmí likvidovat prostřednictvím odpadní vody či domovního odpadu.</w:t>
      </w:r>
    </w:p>
    <w:p w14:paraId="5F9DD859" w14:textId="77777777" w:rsidR="00A33953" w:rsidRPr="005741DC" w:rsidRDefault="00A33953">
      <w:pPr>
        <w:rPr>
          <w:b/>
          <w:sz w:val="22"/>
          <w:szCs w:val="22"/>
        </w:rPr>
      </w:pPr>
    </w:p>
    <w:p w14:paraId="4581A52D" w14:textId="77777777" w:rsidR="00DD2530" w:rsidRPr="005741DC" w:rsidRDefault="00DD2530">
      <w:pPr>
        <w:rPr>
          <w:sz w:val="22"/>
          <w:szCs w:val="22"/>
        </w:rPr>
      </w:pPr>
      <w:r w:rsidRPr="005741DC">
        <w:rPr>
          <w:sz w:val="22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9AA76D5" w14:textId="77777777" w:rsidR="00DD2530" w:rsidRPr="005741DC" w:rsidRDefault="00DD2530">
      <w:pPr>
        <w:rPr>
          <w:sz w:val="22"/>
          <w:szCs w:val="22"/>
        </w:rPr>
      </w:pPr>
    </w:p>
    <w:p w14:paraId="3B9D87CB" w14:textId="77777777" w:rsidR="00246D10" w:rsidRPr="005741DC" w:rsidRDefault="00246D10" w:rsidP="00246D10">
      <w:pPr>
        <w:tabs>
          <w:tab w:val="left" w:pos="708"/>
        </w:tabs>
        <w:rPr>
          <w:sz w:val="22"/>
          <w:szCs w:val="22"/>
        </w:rPr>
      </w:pPr>
      <w:bookmarkStart w:id="0" w:name="_Hlk125636917"/>
      <w:r w:rsidRPr="005741DC">
        <w:rPr>
          <w:sz w:val="22"/>
          <w:szCs w:val="22"/>
        </w:rPr>
        <w:t>O možnostech likvidace nepotřebných léčivých přípravků se poraďte s vaším veterinárním lékařem nebo lékárníkem.</w:t>
      </w:r>
      <w:bookmarkEnd w:id="0"/>
    </w:p>
    <w:p w14:paraId="256F5C5A" w14:textId="77777777" w:rsidR="00246D10" w:rsidRPr="005741DC" w:rsidRDefault="00246D10">
      <w:pPr>
        <w:rPr>
          <w:sz w:val="22"/>
          <w:szCs w:val="22"/>
        </w:rPr>
      </w:pPr>
    </w:p>
    <w:p w14:paraId="3C36A7DC" w14:textId="77777777" w:rsidR="00A33953" w:rsidRPr="005741DC" w:rsidRDefault="00A33953">
      <w:pPr>
        <w:rPr>
          <w:b/>
          <w:sz w:val="22"/>
          <w:szCs w:val="22"/>
        </w:rPr>
      </w:pPr>
    </w:p>
    <w:p w14:paraId="17D2817C" w14:textId="77777777" w:rsidR="00A33953" w:rsidRPr="005741DC" w:rsidRDefault="0073228E">
      <w:pPr>
        <w:pStyle w:val="Style1"/>
      </w:pPr>
      <w:r w:rsidRPr="005741DC">
        <w:rPr>
          <w:highlight w:val="lightGray"/>
        </w:rPr>
        <w:t>13.</w:t>
      </w:r>
      <w:r w:rsidRPr="005741DC">
        <w:tab/>
        <w:t>Klasifikace veterinárních léčivých přípravků</w:t>
      </w:r>
    </w:p>
    <w:p w14:paraId="4C9452CE" w14:textId="6EDFE853" w:rsidR="00A33953" w:rsidRPr="005741DC" w:rsidRDefault="00246D10">
      <w:pPr>
        <w:rPr>
          <w:sz w:val="22"/>
          <w:szCs w:val="22"/>
        </w:rPr>
      </w:pPr>
      <w:r w:rsidRPr="005741DC">
        <w:rPr>
          <w:sz w:val="22"/>
          <w:szCs w:val="22"/>
        </w:rPr>
        <w:lastRenderedPageBreak/>
        <w:t xml:space="preserve"> </w:t>
      </w:r>
    </w:p>
    <w:p w14:paraId="26B2E6A0" w14:textId="77777777" w:rsidR="00A33953" w:rsidRPr="005741DC" w:rsidRDefault="0073228E">
      <w:pPr>
        <w:ind w:right="566"/>
        <w:rPr>
          <w:sz w:val="22"/>
          <w:szCs w:val="22"/>
        </w:rPr>
      </w:pPr>
      <w:r w:rsidRPr="005741DC">
        <w:rPr>
          <w:sz w:val="22"/>
          <w:szCs w:val="22"/>
        </w:rPr>
        <w:t>Veterinární léčivý přípravek je vydáván pouze na předpis.</w:t>
      </w:r>
    </w:p>
    <w:p w14:paraId="384646EA" w14:textId="77777777" w:rsidR="00A33953" w:rsidRPr="005741DC" w:rsidRDefault="00A33953">
      <w:pPr>
        <w:ind w:right="566"/>
        <w:rPr>
          <w:sz w:val="22"/>
          <w:szCs w:val="22"/>
        </w:rPr>
      </w:pPr>
    </w:p>
    <w:p w14:paraId="035B51B0" w14:textId="77777777" w:rsidR="00A33953" w:rsidRPr="005741DC" w:rsidRDefault="00A33953">
      <w:pPr>
        <w:rPr>
          <w:sz w:val="22"/>
          <w:szCs w:val="22"/>
        </w:rPr>
      </w:pPr>
    </w:p>
    <w:p w14:paraId="6159764C" w14:textId="77777777" w:rsidR="00A33953" w:rsidRPr="005741DC" w:rsidRDefault="0073228E">
      <w:pPr>
        <w:pStyle w:val="Style1"/>
      </w:pPr>
      <w:r w:rsidRPr="005741DC">
        <w:rPr>
          <w:highlight w:val="lightGray"/>
        </w:rPr>
        <w:t>14.</w:t>
      </w:r>
      <w:r w:rsidRPr="005741DC">
        <w:tab/>
        <w:t>Registrační čísla a velikosti balení</w:t>
      </w:r>
    </w:p>
    <w:p w14:paraId="401C25A4" w14:textId="77777777" w:rsidR="00A33953" w:rsidRPr="005741DC" w:rsidRDefault="00A33953">
      <w:pPr>
        <w:rPr>
          <w:sz w:val="22"/>
          <w:szCs w:val="22"/>
        </w:rPr>
      </w:pPr>
    </w:p>
    <w:p w14:paraId="12DCCADD" w14:textId="77777777" w:rsidR="00DD2530" w:rsidRPr="005741DC" w:rsidRDefault="00DD2530" w:rsidP="00DD2530">
      <w:pPr>
        <w:ind w:right="566"/>
        <w:rPr>
          <w:sz w:val="22"/>
          <w:szCs w:val="22"/>
        </w:rPr>
      </w:pPr>
      <w:r w:rsidRPr="005741DC">
        <w:rPr>
          <w:sz w:val="22"/>
          <w:szCs w:val="22"/>
        </w:rPr>
        <w:t>97/962/94-C</w:t>
      </w:r>
    </w:p>
    <w:p w14:paraId="3B5F424C" w14:textId="77777777" w:rsidR="00DD2530" w:rsidRPr="005741DC" w:rsidRDefault="00DD2530" w:rsidP="00DD2530">
      <w:pPr>
        <w:ind w:right="566"/>
        <w:rPr>
          <w:sz w:val="22"/>
          <w:szCs w:val="22"/>
        </w:rPr>
      </w:pPr>
    </w:p>
    <w:p w14:paraId="507F386C" w14:textId="77777777" w:rsidR="00DD2530" w:rsidRPr="005741DC" w:rsidRDefault="00DD2530" w:rsidP="00DD2530">
      <w:pPr>
        <w:ind w:right="566"/>
        <w:rPr>
          <w:sz w:val="22"/>
          <w:szCs w:val="22"/>
        </w:rPr>
      </w:pPr>
      <w:r w:rsidRPr="005741DC">
        <w:rPr>
          <w:sz w:val="22"/>
          <w:szCs w:val="22"/>
        </w:rPr>
        <w:t>Velikosti balení: 10x1 dávka, 25x1 dávka, 50x1 dávka</w:t>
      </w:r>
    </w:p>
    <w:p w14:paraId="3BA466C5" w14:textId="77777777" w:rsidR="00A33953" w:rsidRPr="005741DC" w:rsidRDefault="00DD2530" w:rsidP="00DD2530">
      <w:pPr>
        <w:rPr>
          <w:sz w:val="22"/>
          <w:szCs w:val="22"/>
        </w:rPr>
      </w:pPr>
      <w:r w:rsidRPr="005741DC">
        <w:rPr>
          <w:sz w:val="22"/>
          <w:szCs w:val="22"/>
        </w:rPr>
        <w:t>Na trhu nemusí být všechny velikosti balení.</w:t>
      </w:r>
    </w:p>
    <w:p w14:paraId="2D075DBF" w14:textId="77777777" w:rsidR="00A33953" w:rsidRPr="005741DC" w:rsidRDefault="00A33953">
      <w:pPr>
        <w:rPr>
          <w:sz w:val="22"/>
          <w:szCs w:val="22"/>
        </w:rPr>
      </w:pPr>
    </w:p>
    <w:p w14:paraId="0EA43B7C" w14:textId="77777777" w:rsidR="00BF6D52" w:rsidRPr="005741DC" w:rsidRDefault="00BF6D52">
      <w:pPr>
        <w:rPr>
          <w:sz w:val="22"/>
          <w:szCs w:val="22"/>
        </w:rPr>
      </w:pPr>
    </w:p>
    <w:p w14:paraId="4D8AC862" w14:textId="77777777" w:rsidR="00A33953" w:rsidRPr="005741DC" w:rsidRDefault="0073228E">
      <w:pPr>
        <w:pStyle w:val="Style1"/>
      </w:pPr>
      <w:r w:rsidRPr="005741DC">
        <w:rPr>
          <w:highlight w:val="lightGray"/>
        </w:rPr>
        <w:t>15.</w:t>
      </w:r>
      <w:r w:rsidRPr="005741DC">
        <w:tab/>
        <w:t>Datum poslední revize příbalové informace</w:t>
      </w:r>
    </w:p>
    <w:p w14:paraId="60362440" w14:textId="77777777" w:rsidR="00A33953" w:rsidRPr="005741DC" w:rsidRDefault="00A33953">
      <w:pPr>
        <w:ind w:right="-318"/>
        <w:rPr>
          <w:sz w:val="22"/>
          <w:szCs w:val="22"/>
        </w:rPr>
      </w:pPr>
    </w:p>
    <w:p w14:paraId="1819A47D" w14:textId="30F5DEC6" w:rsidR="00A33953" w:rsidRPr="005741DC" w:rsidRDefault="001533EC" w:rsidP="009A1AE0">
      <w:pPr>
        <w:ind w:right="-318"/>
        <w:rPr>
          <w:sz w:val="22"/>
          <w:szCs w:val="22"/>
        </w:rPr>
      </w:pPr>
      <w:r w:rsidRPr="005741DC">
        <w:rPr>
          <w:sz w:val="22"/>
          <w:szCs w:val="22"/>
        </w:rPr>
        <w:t>0</w:t>
      </w:r>
      <w:r w:rsidR="003D42BD" w:rsidRPr="005741DC">
        <w:rPr>
          <w:sz w:val="22"/>
          <w:szCs w:val="22"/>
        </w:rPr>
        <w:t>2</w:t>
      </w:r>
      <w:r w:rsidR="00BF6D52" w:rsidRPr="005741DC">
        <w:rPr>
          <w:sz w:val="22"/>
          <w:szCs w:val="22"/>
        </w:rPr>
        <w:t>/202</w:t>
      </w:r>
      <w:r w:rsidRPr="005741DC">
        <w:rPr>
          <w:sz w:val="22"/>
          <w:szCs w:val="22"/>
        </w:rPr>
        <w:t>4</w:t>
      </w:r>
    </w:p>
    <w:p w14:paraId="2AC7FED7" w14:textId="77777777" w:rsidR="00A33953" w:rsidRPr="005741DC" w:rsidRDefault="00A33953">
      <w:pPr>
        <w:ind w:right="-318"/>
        <w:rPr>
          <w:sz w:val="22"/>
          <w:szCs w:val="22"/>
        </w:rPr>
      </w:pPr>
    </w:p>
    <w:p w14:paraId="5588571F" w14:textId="77777777" w:rsidR="00A33953" w:rsidRPr="005741DC" w:rsidRDefault="0073228E">
      <w:pPr>
        <w:ind w:right="-318"/>
        <w:rPr>
          <w:sz w:val="22"/>
          <w:szCs w:val="22"/>
        </w:rPr>
      </w:pPr>
      <w:r w:rsidRPr="005741DC">
        <w:rPr>
          <w:sz w:val="22"/>
          <w:szCs w:val="22"/>
        </w:rPr>
        <w:t>Podrobné informace o tomto veterinárním léčivém přípravku jsou k dispozici v databázi přípravků Unie (</w:t>
      </w:r>
      <w:hyperlink r:id="rId9" w:history="1">
        <w:r w:rsidRPr="005741DC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5741DC">
        <w:rPr>
          <w:sz w:val="22"/>
          <w:szCs w:val="22"/>
        </w:rPr>
        <w:t>).</w:t>
      </w:r>
    </w:p>
    <w:p w14:paraId="6A831202" w14:textId="77777777" w:rsidR="00A33953" w:rsidRPr="005741DC" w:rsidRDefault="00A33953">
      <w:pPr>
        <w:ind w:right="-318"/>
        <w:rPr>
          <w:sz w:val="22"/>
          <w:szCs w:val="22"/>
        </w:rPr>
      </w:pPr>
    </w:p>
    <w:p w14:paraId="5D374425" w14:textId="77777777" w:rsidR="001533EC" w:rsidRPr="005741DC" w:rsidRDefault="001533EC" w:rsidP="001533EC">
      <w:pPr>
        <w:ind w:right="-318"/>
        <w:rPr>
          <w:sz w:val="22"/>
          <w:szCs w:val="22"/>
        </w:rPr>
      </w:pPr>
      <w:bookmarkStart w:id="1" w:name="_Hlk148432335"/>
      <w:r w:rsidRPr="005741DC">
        <w:rPr>
          <w:sz w:val="22"/>
          <w:szCs w:val="22"/>
        </w:rPr>
        <w:t>Podrobné informace o tomto veterinárním léčivém přípravku naleznete také v národní databázi (</w:t>
      </w:r>
      <w:hyperlink r:id="rId10" w:history="1">
        <w:r w:rsidRPr="005741DC">
          <w:rPr>
            <w:rStyle w:val="Hypertextovodkaz"/>
            <w:sz w:val="22"/>
            <w:szCs w:val="22"/>
          </w:rPr>
          <w:t>https://www.uskvbl.cz</w:t>
        </w:r>
      </w:hyperlink>
      <w:r w:rsidRPr="005741DC">
        <w:rPr>
          <w:sz w:val="22"/>
          <w:szCs w:val="22"/>
        </w:rPr>
        <w:t>).</w:t>
      </w:r>
    </w:p>
    <w:bookmarkEnd w:id="1"/>
    <w:p w14:paraId="4156B716" w14:textId="77777777" w:rsidR="00A33953" w:rsidRPr="005741DC" w:rsidRDefault="00A33953">
      <w:pPr>
        <w:ind w:right="-318"/>
        <w:rPr>
          <w:sz w:val="22"/>
          <w:szCs w:val="22"/>
        </w:rPr>
      </w:pPr>
    </w:p>
    <w:p w14:paraId="517EDF24" w14:textId="77777777" w:rsidR="001533EC" w:rsidRPr="005741DC" w:rsidRDefault="001533EC">
      <w:pPr>
        <w:ind w:right="-318"/>
        <w:rPr>
          <w:sz w:val="22"/>
          <w:szCs w:val="22"/>
        </w:rPr>
      </w:pPr>
    </w:p>
    <w:p w14:paraId="36BA9119" w14:textId="77777777" w:rsidR="00A33953" w:rsidRPr="005741DC" w:rsidRDefault="0073228E">
      <w:pPr>
        <w:pStyle w:val="Style1"/>
      </w:pPr>
      <w:r w:rsidRPr="005741DC">
        <w:rPr>
          <w:highlight w:val="lightGray"/>
        </w:rPr>
        <w:t>16.</w:t>
      </w:r>
      <w:r w:rsidRPr="005741DC">
        <w:tab/>
        <w:t>Kontaktní údaje</w:t>
      </w:r>
    </w:p>
    <w:p w14:paraId="2E5D3836" w14:textId="77777777" w:rsidR="00A33953" w:rsidRPr="005741DC" w:rsidRDefault="00A33953">
      <w:pPr>
        <w:rPr>
          <w:b/>
          <w:sz w:val="22"/>
          <w:szCs w:val="22"/>
        </w:rPr>
      </w:pPr>
    </w:p>
    <w:p w14:paraId="49423813" w14:textId="77777777" w:rsidR="00A33953" w:rsidRPr="005741DC" w:rsidRDefault="0073228E">
      <w:pPr>
        <w:rPr>
          <w:iCs/>
          <w:sz w:val="22"/>
          <w:szCs w:val="22"/>
        </w:rPr>
      </w:pPr>
      <w:r w:rsidRPr="005741DC">
        <w:rPr>
          <w:iCs/>
          <w:sz w:val="22"/>
          <w:szCs w:val="22"/>
          <w:u w:val="single"/>
        </w:rPr>
        <w:t>Držitel rozhodnutí o registraci a výrobce</w:t>
      </w:r>
      <w:r w:rsidR="00BF6D52" w:rsidRPr="005741DC">
        <w:rPr>
          <w:iCs/>
          <w:sz w:val="22"/>
          <w:szCs w:val="22"/>
          <w:u w:val="single"/>
          <w:lang w:eastAsia="en-US"/>
        </w:rPr>
        <w:t xml:space="preserve"> </w:t>
      </w:r>
      <w:r w:rsidR="00BF6D52" w:rsidRPr="005741DC">
        <w:rPr>
          <w:iCs/>
          <w:sz w:val="22"/>
          <w:szCs w:val="22"/>
          <w:u w:val="single"/>
        </w:rPr>
        <w:t>odpovědný za uvolnění šarže</w:t>
      </w:r>
      <w:r w:rsidRPr="005741DC">
        <w:rPr>
          <w:iCs/>
          <w:sz w:val="22"/>
          <w:szCs w:val="22"/>
        </w:rPr>
        <w:t>:</w:t>
      </w:r>
    </w:p>
    <w:p w14:paraId="0C6DFD2F" w14:textId="77777777" w:rsidR="00A33953" w:rsidRPr="005741DC" w:rsidRDefault="00A33953">
      <w:pPr>
        <w:rPr>
          <w:sz w:val="22"/>
          <w:szCs w:val="22"/>
        </w:rPr>
      </w:pPr>
    </w:p>
    <w:p w14:paraId="7296A41A" w14:textId="0EF778E9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VIRBAC</w:t>
      </w:r>
    </w:p>
    <w:p w14:paraId="182263D9" w14:textId="3D5F0EC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1</w:t>
      </w:r>
      <w:r w:rsidR="00BF6D52" w:rsidRPr="005741DC">
        <w:rPr>
          <w:sz w:val="22"/>
          <w:szCs w:val="22"/>
        </w:rPr>
        <w:t>è</w:t>
      </w:r>
      <w:r w:rsidRPr="005741DC">
        <w:rPr>
          <w:sz w:val="22"/>
          <w:szCs w:val="22"/>
        </w:rPr>
        <w:t xml:space="preserve">re </w:t>
      </w:r>
      <w:r w:rsidR="00BF6D52" w:rsidRPr="005741DC">
        <w:rPr>
          <w:sz w:val="22"/>
          <w:szCs w:val="22"/>
        </w:rPr>
        <w:t>a</w:t>
      </w:r>
      <w:r w:rsidRPr="005741DC">
        <w:rPr>
          <w:sz w:val="22"/>
          <w:szCs w:val="22"/>
        </w:rPr>
        <w:t>venue</w:t>
      </w:r>
      <w:r w:rsidR="00BF6D52" w:rsidRPr="005741DC">
        <w:rPr>
          <w:sz w:val="22"/>
          <w:szCs w:val="22"/>
        </w:rPr>
        <w:t xml:space="preserve"> </w:t>
      </w:r>
      <w:r w:rsidRPr="005741DC">
        <w:rPr>
          <w:sz w:val="22"/>
          <w:szCs w:val="22"/>
        </w:rPr>
        <w:t>2065m</w:t>
      </w:r>
      <w:r w:rsidR="00BF6D52" w:rsidRPr="005741DC">
        <w:rPr>
          <w:sz w:val="22"/>
          <w:szCs w:val="22"/>
        </w:rPr>
        <w:t xml:space="preserve"> LID</w:t>
      </w:r>
    </w:p>
    <w:p w14:paraId="7A5D2C9B" w14:textId="20262C1A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06516 Carros</w:t>
      </w:r>
    </w:p>
    <w:p w14:paraId="63854006" w14:textId="77777777" w:rsidR="00A33953" w:rsidRPr="005741DC" w:rsidRDefault="0073228E">
      <w:pPr>
        <w:rPr>
          <w:sz w:val="22"/>
          <w:szCs w:val="22"/>
        </w:rPr>
      </w:pPr>
      <w:r w:rsidRPr="005741DC">
        <w:rPr>
          <w:sz w:val="22"/>
          <w:szCs w:val="22"/>
        </w:rPr>
        <w:t>Francie</w:t>
      </w:r>
    </w:p>
    <w:p w14:paraId="09F620FE" w14:textId="77777777" w:rsidR="00A33953" w:rsidRPr="005741DC" w:rsidRDefault="00A33953">
      <w:pPr>
        <w:rPr>
          <w:sz w:val="22"/>
          <w:szCs w:val="22"/>
        </w:rPr>
      </w:pPr>
    </w:p>
    <w:p w14:paraId="425C5896" w14:textId="77777777" w:rsidR="00BF6D52" w:rsidRPr="005741DC" w:rsidRDefault="00BF6D52">
      <w:pPr>
        <w:rPr>
          <w:sz w:val="22"/>
          <w:szCs w:val="22"/>
          <w:u w:val="single"/>
        </w:rPr>
      </w:pPr>
      <w:r w:rsidRPr="005741DC">
        <w:rPr>
          <w:sz w:val="22"/>
          <w:szCs w:val="22"/>
          <w:u w:val="single"/>
        </w:rPr>
        <w:t>Místní zástupci a kontaktní údaje pro hlášení podezření na nežádoucí účinky:</w:t>
      </w:r>
    </w:p>
    <w:p w14:paraId="40CE97BA" w14:textId="77777777" w:rsidR="001533EC" w:rsidRPr="005741DC" w:rsidRDefault="001533EC">
      <w:pPr>
        <w:rPr>
          <w:bCs/>
          <w:sz w:val="22"/>
          <w:szCs w:val="22"/>
        </w:rPr>
      </w:pPr>
    </w:p>
    <w:p w14:paraId="6BBF41B0" w14:textId="77777777" w:rsidR="00BF6D52" w:rsidRPr="005741DC" w:rsidRDefault="00BF6D52">
      <w:pPr>
        <w:rPr>
          <w:bCs/>
          <w:sz w:val="22"/>
          <w:szCs w:val="22"/>
        </w:rPr>
      </w:pPr>
      <w:r w:rsidRPr="005741DC">
        <w:rPr>
          <w:bCs/>
          <w:sz w:val="22"/>
          <w:szCs w:val="22"/>
        </w:rPr>
        <w:t xml:space="preserve">VIRBAC Czech Republic s.r.o. </w:t>
      </w:r>
    </w:p>
    <w:p w14:paraId="2347FCEB" w14:textId="77777777" w:rsidR="00BF6D52" w:rsidRPr="005741DC" w:rsidRDefault="00BF6D52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Žitavského 496 </w:t>
      </w:r>
    </w:p>
    <w:p w14:paraId="1BBE8024" w14:textId="77777777" w:rsidR="00BF6D52" w:rsidRPr="005741DC" w:rsidRDefault="00BF6D52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156 00 Praha 5 </w:t>
      </w:r>
    </w:p>
    <w:p w14:paraId="7646A477" w14:textId="77777777" w:rsidR="00BF6D52" w:rsidRPr="005741DC" w:rsidRDefault="00BF6D52">
      <w:pPr>
        <w:rPr>
          <w:sz w:val="22"/>
          <w:szCs w:val="22"/>
        </w:rPr>
      </w:pPr>
      <w:r w:rsidRPr="005741DC">
        <w:rPr>
          <w:sz w:val="22"/>
          <w:szCs w:val="22"/>
        </w:rPr>
        <w:t xml:space="preserve">Česká republika </w:t>
      </w:r>
    </w:p>
    <w:p w14:paraId="0F205CB3" w14:textId="77777777" w:rsidR="00BF6D52" w:rsidRPr="005741DC" w:rsidRDefault="00BF6D52">
      <w:pPr>
        <w:rPr>
          <w:sz w:val="22"/>
          <w:szCs w:val="22"/>
        </w:rPr>
      </w:pPr>
      <w:r w:rsidRPr="005741DC">
        <w:rPr>
          <w:sz w:val="22"/>
          <w:szCs w:val="22"/>
        </w:rPr>
        <w:t>Tel.: +420 608 836 529</w:t>
      </w:r>
    </w:p>
    <w:p w14:paraId="6790EF0E" w14:textId="77777777" w:rsidR="00BF6D52" w:rsidRPr="005741DC" w:rsidRDefault="00BF6D52">
      <w:pPr>
        <w:rPr>
          <w:sz w:val="22"/>
          <w:szCs w:val="22"/>
        </w:rPr>
      </w:pPr>
    </w:p>
    <w:p w14:paraId="3E2FD67C" w14:textId="77777777" w:rsidR="00BF6D52" w:rsidRPr="005741DC" w:rsidRDefault="00BF6D52">
      <w:pPr>
        <w:rPr>
          <w:sz w:val="22"/>
          <w:szCs w:val="22"/>
        </w:rPr>
      </w:pPr>
      <w:r w:rsidRPr="005741DC">
        <w:rPr>
          <w:sz w:val="22"/>
          <w:szCs w:val="22"/>
        </w:rPr>
        <w:t>Pokud chcete získat informace o tomto veterinárním léčivém přípravku, kontaktujte prosím příslušného místního zástupce držitele rozhodnutí o registraci.</w:t>
      </w:r>
      <w:bookmarkStart w:id="2" w:name="_GoBack"/>
      <w:bookmarkEnd w:id="2"/>
    </w:p>
    <w:sectPr w:rsidR="00BF6D52" w:rsidRPr="005741DC" w:rsidSect="001218BC">
      <w:footerReference w:type="default" r:id="rId11"/>
      <w:footerReference w:type="first" r:id="rId12"/>
      <w:pgSz w:w="11918" w:h="16840" w:code="9"/>
      <w:pgMar w:top="1134" w:right="1418" w:bottom="1134" w:left="1418" w:header="737" w:footer="737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29C87C" w16cex:dateUtc="2023-12-20T17:45:00Z"/>
  <w16cex:commentExtensible w16cex:durableId="10DCCFC6" w16cex:dateUtc="2023-12-20T17:45:00Z"/>
  <w16cex:commentExtensible w16cex:durableId="07B353D8" w16cex:dateUtc="2023-12-20T17:46:00Z"/>
  <w16cex:commentExtensible w16cex:durableId="46ED2BC9" w16cex:dateUtc="2023-12-20T17:4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E7DF2" w14:textId="77777777" w:rsidR="00CF63A7" w:rsidRDefault="00CF63A7">
      <w:r>
        <w:separator/>
      </w:r>
    </w:p>
  </w:endnote>
  <w:endnote w:type="continuationSeparator" w:id="0">
    <w:p w14:paraId="50C787D5" w14:textId="77777777" w:rsidR="00CF63A7" w:rsidRDefault="00CF63A7">
      <w:r>
        <w:continuationSeparator/>
      </w:r>
    </w:p>
  </w:endnote>
  <w:endnote w:type="continuationNotice" w:id="1">
    <w:p w14:paraId="14A2BDBE" w14:textId="77777777" w:rsidR="00CF63A7" w:rsidRDefault="00CF6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773F7" w14:textId="77777777" w:rsidR="0073228E" w:rsidRDefault="0073228E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6788B653" w14:textId="77777777" w:rsidR="0073228E" w:rsidRDefault="0073228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5741DC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B9598" w14:textId="77777777" w:rsidR="0073228E" w:rsidRDefault="0073228E">
    <w:pPr>
      <w:pStyle w:val="Zpat"/>
      <w:tabs>
        <w:tab w:val="clear" w:pos="8930"/>
        <w:tab w:val="right" w:pos="8931"/>
      </w:tabs>
    </w:pPr>
  </w:p>
  <w:p w14:paraId="2666C283" w14:textId="77777777" w:rsidR="0073228E" w:rsidRDefault="0073228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5741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239BE" w14:textId="77777777" w:rsidR="00CF63A7" w:rsidRDefault="00CF63A7">
      <w:r>
        <w:separator/>
      </w:r>
    </w:p>
  </w:footnote>
  <w:footnote w:type="continuationSeparator" w:id="0">
    <w:p w14:paraId="16ED79FB" w14:textId="77777777" w:rsidR="00CF63A7" w:rsidRDefault="00CF63A7">
      <w:r>
        <w:continuationSeparator/>
      </w:r>
    </w:p>
  </w:footnote>
  <w:footnote w:type="continuationNotice" w:id="1">
    <w:p w14:paraId="1185CE7F" w14:textId="77777777" w:rsidR="00CF63A7" w:rsidRDefault="00CF63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2"/>
  </w:num>
  <w:num w:numId="7">
    <w:abstractNumId w:val="22"/>
  </w:num>
  <w:num w:numId="8">
    <w:abstractNumId w:val="21"/>
  </w:num>
  <w:num w:numId="9">
    <w:abstractNumId w:val="7"/>
  </w:num>
  <w:num w:numId="10">
    <w:abstractNumId w:val="32"/>
  </w:num>
  <w:num w:numId="11">
    <w:abstractNumId w:val="33"/>
  </w:num>
  <w:num w:numId="12">
    <w:abstractNumId w:val="17"/>
  </w:num>
  <w:num w:numId="13">
    <w:abstractNumId w:val="14"/>
  </w:num>
  <w:num w:numId="14">
    <w:abstractNumId w:val="2"/>
  </w:num>
  <w:num w:numId="15">
    <w:abstractNumId w:val="31"/>
  </w:num>
  <w:num w:numId="16">
    <w:abstractNumId w:val="19"/>
  </w:num>
  <w:num w:numId="17">
    <w:abstractNumId w:val="36"/>
  </w:num>
  <w:num w:numId="18">
    <w:abstractNumId w:val="8"/>
  </w:num>
  <w:num w:numId="19">
    <w:abstractNumId w:val="1"/>
  </w:num>
  <w:num w:numId="20">
    <w:abstractNumId w:val="18"/>
  </w:num>
  <w:num w:numId="21">
    <w:abstractNumId w:val="3"/>
  </w:num>
  <w:num w:numId="22">
    <w:abstractNumId w:val="6"/>
  </w:num>
  <w:num w:numId="23">
    <w:abstractNumId w:val="25"/>
  </w:num>
  <w:num w:numId="24">
    <w:abstractNumId w:val="11"/>
  </w:num>
  <w:num w:numId="25">
    <w:abstractNumId w:val="30"/>
  </w:num>
  <w:num w:numId="26">
    <w:abstractNumId w:val="24"/>
  </w:num>
  <w:num w:numId="27">
    <w:abstractNumId w:val="13"/>
  </w:num>
  <w:num w:numId="28">
    <w:abstractNumId w:val="10"/>
  </w:num>
  <w:num w:numId="29">
    <w:abstractNumId w:val="20"/>
  </w:num>
  <w:num w:numId="30">
    <w:abstractNumId w:val="23"/>
  </w:num>
  <w:num w:numId="31">
    <w:abstractNumId w:val="15"/>
  </w:num>
  <w:num w:numId="32">
    <w:abstractNumId w:val="9"/>
  </w:num>
  <w:num w:numId="33">
    <w:abstractNumId w:val="28"/>
  </w:num>
  <w:num w:numId="34">
    <w:abstractNumId w:val="29"/>
  </w:num>
  <w:num w:numId="35">
    <w:abstractNumId w:val="27"/>
  </w:num>
  <w:num w:numId="36">
    <w:abstractNumId w:val="16"/>
  </w:num>
  <w:num w:numId="37">
    <w:abstractNumId w:val="4"/>
  </w:num>
  <w:num w:numId="38">
    <w:abstractNumId w:val="3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53"/>
    <w:rsid w:val="00021F28"/>
    <w:rsid w:val="000353E7"/>
    <w:rsid w:val="000522EB"/>
    <w:rsid w:val="0007206D"/>
    <w:rsid w:val="001218BC"/>
    <w:rsid w:val="001533EC"/>
    <w:rsid w:val="0016417D"/>
    <w:rsid w:val="00206796"/>
    <w:rsid w:val="00227E0B"/>
    <w:rsid w:val="00232FAB"/>
    <w:rsid w:val="00246D10"/>
    <w:rsid w:val="002529A5"/>
    <w:rsid w:val="00284015"/>
    <w:rsid w:val="002C036F"/>
    <w:rsid w:val="002D48EA"/>
    <w:rsid w:val="00337C81"/>
    <w:rsid w:val="00343D73"/>
    <w:rsid w:val="003473C3"/>
    <w:rsid w:val="00350C16"/>
    <w:rsid w:val="003D42BD"/>
    <w:rsid w:val="00484E57"/>
    <w:rsid w:val="004B1FD6"/>
    <w:rsid w:val="004E3905"/>
    <w:rsid w:val="0052214E"/>
    <w:rsid w:val="005741DC"/>
    <w:rsid w:val="005D5B48"/>
    <w:rsid w:val="00651604"/>
    <w:rsid w:val="006B52FE"/>
    <w:rsid w:val="0072750E"/>
    <w:rsid w:val="0073228E"/>
    <w:rsid w:val="0080415D"/>
    <w:rsid w:val="008146B1"/>
    <w:rsid w:val="008247D4"/>
    <w:rsid w:val="0090387B"/>
    <w:rsid w:val="00937FBA"/>
    <w:rsid w:val="00984968"/>
    <w:rsid w:val="009A1AE0"/>
    <w:rsid w:val="009F1567"/>
    <w:rsid w:val="009F333A"/>
    <w:rsid w:val="009F3600"/>
    <w:rsid w:val="009F4453"/>
    <w:rsid w:val="009F6AB2"/>
    <w:rsid w:val="00A17DD2"/>
    <w:rsid w:val="00A33953"/>
    <w:rsid w:val="00AA7F72"/>
    <w:rsid w:val="00B265B7"/>
    <w:rsid w:val="00BF6D52"/>
    <w:rsid w:val="00C448D3"/>
    <w:rsid w:val="00C5408E"/>
    <w:rsid w:val="00CF2DCB"/>
    <w:rsid w:val="00CF63A7"/>
    <w:rsid w:val="00DD2530"/>
    <w:rsid w:val="00E0443B"/>
    <w:rsid w:val="00FB0ADD"/>
    <w:rsid w:val="00FB3E68"/>
    <w:rsid w:val="00FB6E2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60069"/>
  <w15:chartTrackingRefBased/>
  <w15:docId w15:val="{4A0BAF61-9057-459B-960A-F24315CB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Pr>
      <w:rFonts w:ascii="Arial" w:hAnsi="Arial"/>
      <w:color w:val="0000FF"/>
      <w:sz w:val="20"/>
    </w:rPr>
  </w:style>
  <w:style w:type="character" w:customStyle="1" w:styleId="erven">
    <w:name w:val="červený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spacing w:after="120"/>
    </w:pPr>
  </w:style>
  <w:style w:type="paragraph" w:customStyle="1" w:styleId="kurz">
    <w:name w:val="kurz"/>
    <w:basedOn w:val="Normln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pPr>
      <w:numPr>
        <w:numId w:val="2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pPr>
      <w:ind w:left="567" w:hanging="567"/>
      <w:jc w:val="both"/>
    </w:pPr>
    <w:rPr>
      <w:b/>
      <w:sz w:val="22"/>
      <w:szCs w:val="20"/>
      <w:lang w:eastAsia="en-US"/>
    </w:rPr>
  </w:style>
  <w:style w:type="paragraph" w:styleId="Zpat">
    <w:name w:val="footer"/>
    <w:basedOn w:val="Normln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semiHidden/>
    <w:pPr>
      <w:widowControl w:val="0"/>
    </w:pPr>
    <w:rPr>
      <w:rFonts w:ascii="Comic Sans MS" w:hAnsi="Comic Sans MS"/>
      <w:sz w:val="22"/>
      <w:szCs w:val="20"/>
    </w:rPr>
  </w:style>
  <w:style w:type="character" w:customStyle="1" w:styleId="longtext">
    <w:name w:val="long_text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  <w:lang w:val="cs-CZ" w:eastAsia="cs-CZ"/>
    </w:rPr>
  </w:style>
  <w:style w:type="numbering" w:customStyle="1" w:styleId="BulletsAgency">
    <w:name w:val="Bullets (Agency)"/>
    <w:basedOn w:val="Bezseznamu"/>
    <w:pPr>
      <w:numPr>
        <w:numId w:val="39"/>
      </w:numPr>
    </w:pPr>
  </w:style>
  <w:style w:type="paragraph" w:customStyle="1" w:styleId="Style1">
    <w:name w:val="Style1"/>
    <w:basedOn w:val="Normln"/>
    <w:qFormat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Pr>
      <w:sz w:val="24"/>
      <w:szCs w:val="24"/>
      <w:lang w:val="cs-CZ" w:eastAsia="cs-CZ"/>
    </w:rPr>
  </w:style>
  <w:style w:type="character" w:styleId="slodku">
    <w:name w:val="line number"/>
    <w:basedOn w:val="Standardnpsmoodstavce"/>
    <w:rsid w:val="0080415D"/>
  </w:style>
  <w:style w:type="paragraph" w:styleId="Revize">
    <w:name w:val="Revision"/>
    <w:hidden/>
    <w:uiPriority w:val="99"/>
    <w:semiHidden/>
    <w:rsid w:val="0007206D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6BCB-4E1D-459D-851F-07B27124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1000</Words>
  <Characters>5904</Characters>
  <Application>Microsoft Office Word</Application>
  <DocSecurity>0</DocSecurity>
  <Lines>49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Pokyn</vt:lpstr>
      <vt:lpstr>Pokyn</vt:lpstr>
      <vt:lpstr>Pokyn</vt:lpstr>
    </vt:vector>
  </TitlesOfParts>
  <Company>USKVBL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/>
  <dc:creator>formankova</dc:creator>
  <cp:keywords/>
  <cp:lastModifiedBy>Nepejchalová Leona</cp:lastModifiedBy>
  <cp:revision>11</cp:revision>
  <cp:lastPrinted>2024-03-08T10:18:00Z</cp:lastPrinted>
  <dcterms:created xsi:type="dcterms:W3CDTF">2024-01-24T12:23:00Z</dcterms:created>
  <dcterms:modified xsi:type="dcterms:W3CDTF">2024-03-08T10:18:00Z</dcterms:modified>
</cp:coreProperties>
</file>