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85A089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0801E3" w14:textId="1B3D3F81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9E9C5" w14:textId="5249DCFE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AFDF7A" w14:textId="541D380A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BC70C" w14:textId="79101B61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75A89" w14:textId="2159352E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59DF7A" w14:textId="70DF4D3E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A34287" w14:textId="2F3C0A63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74D89" w14:textId="6F1644E0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5D49D9" w14:textId="49E6E911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805D8" w14:textId="0F55130D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C89C8F" w14:textId="77777777" w:rsidR="007D7F4C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AE7CA" w14:textId="77777777" w:rsidR="009D351B" w:rsidRPr="009D351B" w:rsidRDefault="009D351B" w:rsidP="009D351B">
      <w:pPr>
        <w:rPr>
          <w:bCs/>
        </w:rPr>
      </w:pPr>
      <w:r w:rsidRPr="009D351B">
        <w:rPr>
          <w:bCs/>
        </w:rPr>
        <w:t>Cobactan LC 75 mg intramamární suspenze</w:t>
      </w:r>
    </w:p>
    <w:p w14:paraId="7DAAF9A2" w14:textId="1C073BA5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7F06C" w14:textId="77777777" w:rsidR="009D351B" w:rsidRPr="00B41D57" w:rsidRDefault="009D35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8EEE94" w14:textId="595E19EB" w:rsidR="009D351B" w:rsidRDefault="007D7F4C" w:rsidP="009D351B">
      <w:r>
        <w:t>Každý</w:t>
      </w:r>
      <w:r w:rsidR="009D351B" w:rsidRPr="00FF0D21">
        <w:t xml:space="preserve"> aplikátor (8 g) obsahuje:</w:t>
      </w:r>
    </w:p>
    <w:p w14:paraId="6A690156" w14:textId="77777777" w:rsidR="00722B1D" w:rsidRPr="00FF0D21" w:rsidRDefault="00722B1D" w:rsidP="009D351B"/>
    <w:p w14:paraId="4B636015" w14:textId="77777777" w:rsidR="009D351B" w:rsidRPr="007D7F4C" w:rsidRDefault="009D351B" w:rsidP="009D351B">
      <w:pPr>
        <w:rPr>
          <w:b/>
          <w:bCs/>
        </w:rPr>
      </w:pPr>
      <w:r w:rsidRPr="007D7F4C">
        <w:rPr>
          <w:b/>
          <w:bCs/>
        </w:rPr>
        <w:t>Léčivá látka:</w:t>
      </w:r>
    </w:p>
    <w:p w14:paraId="3E69E7EF" w14:textId="0A1528FC" w:rsidR="009D351B" w:rsidRPr="00A6770C" w:rsidRDefault="009D351B" w:rsidP="009D351B">
      <w:pPr>
        <w:rPr>
          <w:noProof/>
        </w:rPr>
      </w:pPr>
      <w:r w:rsidRPr="00A6770C">
        <w:rPr>
          <w:noProof/>
        </w:rPr>
        <w:t>Cefquinomum (</w:t>
      </w:r>
      <w:r w:rsidR="00722B1D">
        <w:rPr>
          <w:noProof/>
        </w:rPr>
        <w:t>jako</w:t>
      </w:r>
      <w:r w:rsidR="00722B1D" w:rsidRPr="00A6770C">
        <w:rPr>
          <w:noProof/>
        </w:rPr>
        <w:t xml:space="preserve"> </w:t>
      </w:r>
      <w:r w:rsidRPr="00A6770C">
        <w:rPr>
          <w:noProof/>
        </w:rPr>
        <w:t xml:space="preserve">sulfas) 75 mg </w:t>
      </w:r>
    </w:p>
    <w:p w14:paraId="14C3125A" w14:textId="3DA9EC0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121DC5" w14:textId="5E1CB93A" w:rsidR="009D351B" w:rsidRPr="00FF0D21" w:rsidRDefault="007D7F4C" w:rsidP="009D351B">
      <w:r>
        <w:t>B</w:t>
      </w:r>
      <w:r w:rsidR="009D351B" w:rsidRPr="00FF0D21">
        <w:t>ílá až nažloutlá</w:t>
      </w:r>
      <w:r w:rsidR="00722B1D">
        <w:t>,</w:t>
      </w:r>
      <w:r w:rsidR="009D351B" w:rsidRPr="00FF0D21">
        <w:t xml:space="preserve"> olejovitá</w:t>
      </w:r>
      <w:r>
        <w:t>, viskózní a homogenní</w:t>
      </w:r>
      <w:r w:rsidR="009D351B" w:rsidRPr="00FF0D21">
        <w:t xml:space="preserve"> suspenze.</w:t>
      </w:r>
    </w:p>
    <w:p w14:paraId="3AD08443" w14:textId="32550405" w:rsidR="009D351B" w:rsidRDefault="009D35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880232" w14:textId="77777777" w:rsidR="009D351B" w:rsidRPr="00B41D57" w:rsidRDefault="009D35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FF0483" w14:textId="69ACDCF2" w:rsidR="009D351B" w:rsidRDefault="009D351B" w:rsidP="009D351B">
      <w:r>
        <w:t>Krávy v laktaci.</w:t>
      </w:r>
    </w:p>
    <w:p w14:paraId="27A513A5" w14:textId="77777777" w:rsidR="009D351B" w:rsidRDefault="009D351B" w:rsidP="009D351B"/>
    <w:p w14:paraId="7FB4B398" w14:textId="77777777" w:rsidR="00E65154" w:rsidRPr="00B41D57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EA4BFA" w14:textId="0EFAC229" w:rsidR="009D351B" w:rsidRPr="00BF11E5" w:rsidRDefault="009D351B" w:rsidP="009D351B">
      <w:r>
        <w:t xml:space="preserve">Léčba klinických mastitid u krav v laktaci vyvolaných zárodky citlivými </w:t>
      </w:r>
      <w:r w:rsidR="002934D1">
        <w:t xml:space="preserve">k </w:t>
      </w:r>
      <w:proofErr w:type="spellStart"/>
      <w:r>
        <w:t>cefchinom</w:t>
      </w:r>
      <w:r w:rsidR="002934D1">
        <w:t>u</w:t>
      </w:r>
      <w:proofErr w:type="spellEnd"/>
      <w:r>
        <w:t xml:space="preserve">: </w:t>
      </w:r>
      <w:proofErr w:type="spellStart"/>
      <w:r>
        <w:rPr>
          <w:i/>
          <w:iCs/>
        </w:rPr>
        <w:t>Streptococcus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uberis</w:t>
      </w:r>
      <w:proofErr w:type="spellEnd"/>
      <w:r>
        <w:t xml:space="preserve">, </w:t>
      </w:r>
      <w:proofErr w:type="spellStart"/>
      <w:r>
        <w:rPr>
          <w:i/>
          <w:iCs/>
        </w:rPr>
        <w:t>Staphylococcus</w:t>
      </w:r>
      <w:proofErr w:type="spellEnd"/>
      <w:r>
        <w:rPr>
          <w:i/>
          <w:iCs/>
        </w:rPr>
        <w:t xml:space="preserve"> aureus</w:t>
      </w:r>
      <w:r>
        <w:t xml:space="preserve">, </w:t>
      </w:r>
      <w:r>
        <w:rPr>
          <w:i/>
          <w:iCs/>
        </w:rPr>
        <w:t xml:space="preserve">Streptococcus dysgalactiae, Streptococcus agalactiae </w:t>
      </w:r>
      <w:r>
        <w:t>a</w:t>
      </w:r>
      <w:r>
        <w:rPr>
          <w:i/>
          <w:iCs/>
        </w:rPr>
        <w:t xml:space="preserve"> Escherichia coli</w:t>
      </w:r>
      <w:r>
        <w:t>.</w:t>
      </w:r>
    </w:p>
    <w:p w14:paraId="14C31260" w14:textId="53353E9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AFA95C" w14:textId="77777777" w:rsidR="009D351B" w:rsidRPr="00B41D57" w:rsidRDefault="009D35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6A5563" w14:textId="44F75B70" w:rsidR="009D351B" w:rsidRDefault="009D351B" w:rsidP="009D351B">
      <w:r>
        <w:t>Nepoužívat v případ</w:t>
      </w:r>
      <w:r w:rsidR="002934D1">
        <w:t>ech</w:t>
      </w:r>
      <w:r>
        <w:t xml:space="preserve"> přecitlivělosti na léčivou látku nebo na některou z pomocných látek.</w:t>
      </w:r>
    </w:p>
    <w:p w14:paraId="335A8BC9" w14:textId="77777777" w:rsidR="009D351B" w:rsidRDefault="009D351B" w:rsidP="009D351B">
      <w:r>
        <w:t>Nepoužívat u zvířat alergických na cefalosporinová antibiotika nebo jiná beta-laktamová antibiotika.</w:t>
      </w:r>
    </w:p>
    <w:p w14:paraId="33B1692C" w14:textId="77777777" w:rsidR="009D351B" w:rsidRDefault="009D351B" w:rsidP="009D351B">
      <w:r>
        <w:t>Nepoužívat čistící ubrousky na poraněné struky.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7561A0F" w14:textId="77777777" w:rsidR="009D351B" w:rsidRPr="00601133" w:rsidRDefault="009D351B" w:rsidP="009D351B">
      <w:pPr>
        <w:jc w:val="both"/>
      </w:pPr>
      <w:r>
        <w:t>Indikační omezení:</w:t>
      </w:r>
    </w:p>
    <w:p w14:paraId="1D3283CC" w14:textId="30D8F5F0" w:rsidR="009D351B" w:rsidRPr="00C21F55" w:rsidRDefault="009D351B" w:rsidP="009D351B">
      <w:pPr>
        <w:autoSpaceDE w:val="0"/>
        <w:autoSpaceDN w:val="0"/>
        <w:adjustRightInd w:val="0"/>
        <w:spacing w:line="240" w:lineRule="atLeast"/>
        <w:rPr>
          <w:rFonts w:ascii="TimesNewRoman" w:hAnsi="TimesNewRoman" w:cs="TimesNewRoman"/>
          <w:szCs w:val="22"/>
        </w:rPr>
      </w:pPr>
      <w:r w:rsidRPr="00C21F55">
        <w:t>Doporučuje se ponechat cefalosporiny 4.</w:t>
      </w:r>
      <w:r w:rsidR="007D7F4C">
        <w:t xml:space="preserve"> </w:t>
      </w:r>
      <w:r w:rsidRPr="00C21F55">
        <w:t xml:space="preserve">generace </w:t>
      </w:r>
      <w:r w:rsidRPr="00C21F55">
        <w:rPr>
          <w:rFonts w:ascii="TimesNewRoman" w:hAnsi="TimesNewRoman" w:cs="TimesNewRoman"/>
          <w:szCs w:val="22"/>
        </w:rPr>
        <w:t>na léčbu klinických stavů</w:t>
      </w:r>
      <w:r w:rsidRPr="00C21F55">
        <w:t xml:space="preserve">, </w:t>
      </w:r>
      <w:r w:rsidRPr="00C21F55">
        <w:rPr>
          <w:rFonts w:ascii="TimesNewRoman" w:hAnsi="TimesNewRoman" w:cs="TimesNewRoman"/>
          <w:szCs w:val="22"/>
        </w:rPr>
        <w:t>které měly slabou odezvu, nebo se očekává slabá odezva na ostatní skupiny antibiotik.</w:t>
      </w:r>
    </w:p>
    <w:p w14:paraId="35F6F47D" w14:textId="18E275B1" w:rsidR="009D351B" w:rsidRPr="00C21F55" w:rsidRDefault="009D351B" w:rsidP="009D351B">
      <w:pPr>
        <w:autoSpaceDE w:val="0"/>
        <w:autoSpaceDN w:val="0"/>
        <w:adjustRightInd w:val="0"/>
        <w:spacing w:line="240" w:lineRule="atLeast"/>
      </w:pPr>
      <w:r w:rsidRPr="00C21F55">
        <w:t>Použití cefalosporinů 4.</w:t>
      </w:r>
      <w:r w:rsidR="007D7F4C">
        <w:t xml:space="preserve"> </w:t>
      </w:r>
      <w:r w:rsidRPr="00C21F55">
        <w:t xml:space="preserve">generace by mělo být, pokud je to možné, založeno na </w:t>
      </w:r>
      <w:r w:rsidRPr="00C21F55">
        <w:rPr>
          <w:rFonts w:ascii="TimesNewRoman" w:hAnsi="TimesNewRoman" w:cs="TimesNewRoman"/>
          <w:szCs w:val="22"/>
        </w:rPr>
        <w:t>výsledku testu citlivosti</w:t>
      </w:r>
      <w:r w:rsidRPr="00C21F55">
        <w:t xml:space="preserve">. </w:t>
      </w:r>
    </w:p>
    <w:p w14:paraId="5E0E2EE8" w14:textId="7091025F" w:rsidR="009D351B" w:rsidRPr="00C21F55" w:rsidRDefault="009D351B" w:rsidP="009D351B">
      <w:pPr>
        <w:autoSpaceDE w:val="0"/>
        <w:autoSpaceDN w:val="0"/>
        <w:adjustRightInd w:val="0"/>
        <w:spacing w:line="240" w:lineRule="atLeast"/>
      </w:pPr>
      <w:r w:rsidRPr="00C21F55">
        <w:t xml:space="preserve">Použití </w:t>
      </w:r>
      <w:r w:rsidR="00925C6E">
        <w:rPr>
          <w:szCs w:val="22"/>
        </w:rPr>
        <w:t>veterinárního léčivého</w:t>
      </w:r>
      <w:r w:rsidR="00925C6E" w:rsidRPr="00C21F55">
        <w:t xml:space="preserve"> </w:t>
      </w:r>
      <w:r w:rsidRPr="00C21F55">
        <w:t>přípravku, které je odlišné od pokynů uvedených v tomto souhrnu údajů o přípravku (SPC), může zvýšit prevalenci bakterií rezistentních na vybrané cefalosporiny.</w:t>
      </w:r>
    </w:p>
    <w:p w14:paraId="612A6FC4" w14:textId="60D1FCA3" w:rsidR="009D351B" w:rsidRPr="00C21F55" w:rsidRDefault="009D351B" w:rsidP="009D351B">
      <w:pPr>
        <w:autoSpaceDE w:val="0"/>
        <w:autoSpaceDN w:val="0"/>
        <w:adjustRightInd w:val="0"/>
        <w:spacing w:line="240" w:lineRule="atLeast"/>
      </w:pPr>
      <w:r w:rsidRPr="00C21F55">
        <w:t xml:space="preserve">Při použití </w:t>
      </w:r>
      <w:r w:rsidR="00925C6E">
        <w:rPr>
          <w:szCs w:val="22"/>
        </w:rPr>
        <w:t>veterinárního léčivého</w:t>
      </w:r>
      <w:r w:rsidR="00925C6E" w:rsidRPr="00C21F55">
        <w:t xml:space="preserve"> </w:t>
      </w:r>
      <w:r w:rsidRPr="00C21F55">
        <w:t xml:space="preserve">přípravku je nutno vzít v úvahu oficiální a místní pravidla antibiotické politiky. </w:t>
      </w:r>
    </w:p>
    <w:p w14:paraId="6AEF857A" w14:textId="77777777" w:rsidR="009D351B" w:rsidRDefault="009D351B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7133CA94" w:rsidR="00F354C5" w:rsidRPr="00B41D57" w:rsidRDefault="006C6ABC" w:rsidP="00BD2FED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0DDE7E2" w14:textId="7404B811" w:rsidR="009D351B" w:rsidRPr="00BC57A9" w:rsidRDefault="009D351B" w:rsidP="009D351B">
      <w:pPr>
        <w:rPr>
          <w:szCs w:val="22"/>
        </w:rPr>
      </w:pPr>
      <w:r w:rsidRPr="00BC57A9">
        <w:rPr>
          <w:szCs w:val="22"/>
        </w:rPr>
        <w:t>Peniciliny a cefalosporiny mohou po injekci, inhalaci, požití nebo po kožním kontaktu vyvolat hypersensitivitu (alergii). Hypersensitivita na peniciliny může vést ke zkříženým reakcím s</w:t>
      </w:r>
      <w:r w:rsidR="00224D1A">
        <w:rPr>
          <w:szCs w:val="22"/>
        </w:rPr>
        <w:t> </w:t>
      </w:r>
      <w:r w:rsidRPr="00BC57A9">
        <w:rPr>
          <w:szCs w:val="22"/>
        </w:rPr>
        <w:t xml:space="preserve">cefalosporiny a naopak. </w:t>
      </w:r>
      <w:r w:rsidR="00224D1A" w:rsidRPr="00E00612">
        <w:rPr>
          <w:szCs w:val="22"/>
        </w:rPr>
        <w:t>Alergické reakce na tyto látky mohou být v některých případech vážné</w:t>
      </w:r>
      <w:r w:rsidRPr="00BC57A9">
        <w:rPr>
          <w:szCs w:val="22"/>
        </w:rPr>
        <w:t>.</w:t>
      </w:r>
      <w:r w:rsidRPr="00BC57A9">
        <w:rPr>
          <w:szCs w:val="22"/>
        </w:rPr>
        <w:br/>
        <w:t xml:space="preserve">Lidé se známou přecitlivělostí na peniciliny a/nebo cefalosporiny by se měli vyhnout kontaktu </w:t>
      </w:r>
      <w:r w:rsidRPr="00BC57A9">
        <w:rPr>
          <w:szCs w:val="22"/>
        </w:rPr>
        <w:lastRenderedPageBreak/>
        <w:t>s veterinárním léčivým přípravkem.</w:t>
      </w:r>
      <w:r w:rsidRPr="00BC57A9">
        <w:rPr>
          <w:szCs w:val="22"/>
        </w:rPr>
        <w:br/>
        <w:t xml:space="preserve">Pokud se rozvinou postexpoziční příznaky jako kožní vyrážka, vyhledejte lékařskou pomoc a ukažte příbalovou informaci nebo etiketu praktickému lékaři. Otok obličeje, rtů, očí </w:t>
      </w:r>
      <w:r w:rsidR="00224D1A">
        <w:rPr>
          <w:szCs w:val="22"/>
        </w:rPr>
        <w:t xml:space="preserve">nebo potíže s </w:t>
      </w:r>
      <w:r w:rsidRPr="00BC57A9">
        <w:rPr>
          <w:szCs w:val="22"/>
        </w:rPr>
        <w:t>dýchání</w:t>
      </w:r>
      <w:r w:rsidR="00224D1A">
        <w:rPr>
          <w:szCs w:val="22"/>
        </w:rPr>
        <w:t>m</w:t>
      </w:r>
      <w:r w:rsidRPr="00BC57A9">
        <w:rPr>
          <w:szCs w:val="22"/>
        </w:rPr>
        <w:t xml:space="preserve"> jsou vážn</w:t>
      </w:r>
      <w:r w:rsidR="00224D1A">
        <w:rPr>
          <w:szCs w:val="22"/>
        </w:rPr>
        <w:t>é</w:t>
      </w:r>
      <w:r w:rsidRPr="00BC57A9">
        <w:rPr>
          <w:szCs w:val="22"/>
        </w:rPr>
        <w:t xml:space="preserve"> příznaky a vyžadují </w:t>
      </w:r>
      <w:r w:rsidR="00224D1A">
        <w:rPr>
          <w:szCs w:val="22"/>
        </w:rPr>
        <w:t xml:space="preserve">okamžitou </w:t>
      </w:r>
      <w:r w:rsidRPr="00BC57A9">
        <w:rPr>
          <w:szCs w:val="22"/>
        </w:rPr>
        <w:t>lékařsk</w:t>
      </w:r>
      <w:r w:rsidR="00224D1A">
        <w:rPr>
          <w:szCs w:val="22"/>
        </w:rPr>
        <w:t>ou pomoc</w:t>
      </w:r>
      <w:r w:rsidRPr="00BC57A9">
        <w:rPr>
          <w:szCs w:val="22"/>
        </w:rPr>
        <w:t>.</w:t>
      </w:r>
    </w:p>
    <w:p w14:paraId="7C1595C0" w14:textId="77777777" w:rsidR="009D351B" w:rsidRPr="00BC57A9" w:rsidRDefault="009D351B" w:rsidP="009D351B">
      <w:pPr>
        <w:rPr>
          <w:szCs w:val="22"/>
        </w:rPr>
      </w:pPr>
      <w:r w:rsidRPr="00BC57A9">
        <w:rPr>
          <w:szCs w:val="22"/>
        </w:rPr>
        <w:t>Po aplikaci přípravku si umyjte ruce.</w:t>
      </w:r>
    </w:p>
    <w:p w14:paraId="631EDFFB" w14:textId="77777777" w:rsidR="009D351B" w:rsidRPr="00BC57A9" w:rsidRDefault="009D351B" w:rsidP="009D351B">
      <w:pPr>
        <w:rPr>
          <w:szCs w:val="22"/>
        </w:rPr>
      </w:pPr>
    </w:p>
    <w:p w14:paraId="32839C7E" w14:textId="741659BC" w:rsidR="009D351B" w:rsidRPr="00BC57A9" w:rsidRDefault="009D351B" w:rsidP="009D351B">
      <w:pPr>
        <w:jc w:val="both"/>
        <w:rPr>
          <w:szCs w:val="22"/>
        </w:rPr>
      </w:pPr>
      <w:r w:rsidRPr="00BC57A9">
        <w:rPr>
          <w:szCs w:val="22"/>
        </w:rPr>
        <w:t>Izopropylalkohol může způsobit kožní vyrážku, proto si po používání čistících ubrousků umyjte ruce</w:t>
      </w:r>
      <w:r w:rsidR="00224D1A">
        <w:rPr>
          <w:szCs w:val="22"/>
        </w:rPr>
        <w:t>,</w:t>
      </w:r>
      <w:r w:rsidRPr="00BC57A9">
        <w:rPr>
          <w:szCs w:val="22"/>
        </w:rPr>
        <w:t xml:space="preserve"> nebo používejte ochranné rukavice.</w:t>
      </w:r>
    </w:p>
    <w:p w14:paraId="7E174E5C" w14:textId="77777777" w:rsidR="009D351B" w:rsidRPr="00BC57A9" w:rsidRDefault="009D351B" w:rsidP="009D351B">
      <w:pPr>
        <w:jc w:val="both"/>
        <w:rPr>
          <w:szCs w:val="22"/>
        </w:rPr>
      </w:pPr>
      <w:r w:rsidRPr="00BC57A9">
        <w:rPr>
          <w:szCs w:val="22"/>
        </w:rPr>
        <w:t xml:space="preserve"> </w:t>
      </w:r>
    </w:p>
    <w:p w14:paraId="5F260F4A" w14:textId="187D815A" w:rsidR="009D351B" w:rsidRPr="00BC57A9" w:rsidRDefault="009D351B" w:rsidP="009D351B">
      <w:pPr>
        <w:jc w:val="both"/>
        <w:rPr>
          <w:szCs w:val="22"/>
        </w:rPr>
      </w:pPr>
      <w:r w:rsidRPr="00BC57A9">
        <w:rPr>
          <w:szCs w:val="22"/>
        </w:rPr>
        <w:t>Aplikátor použijte pouze jedenkrát. Aplikátory se zbytky přípravku by se měly zlikvidovat viz bod 1</w:t>
      </w:r>
      <w:r w:rsidR="002934D1">
        <w:rPr>
          <w:szCs w:val="22"/>
        </w:rPr>
        <w:t>2</w:t>
      </w:r>
      <w:r w:rsidRPr="00BC57A9">
        <w:rPr>
          <w:szCs w:val="22"/>
        </w:rPr>
        <w:t xml:space="preserve">. </w:t>
      </w:r>
    </w:p>
    <w:p w14:paraId="425E8C07" w14:textId="77777777" w:rsidR="009D351B" w:rsidRDefault="009D351B" w:rsidP="005B1FD0">
      <w:pPr>
        <w:rPr>
          <w:szCs w:val="22"/>
          <w:u w:val="single"/>
        </w:rPr>
      </w:pPr>
    </w:p>
    <w:p w14:paraId="14C31276" w14:textId="6D1DA68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492C65B" w14:textId="5352CF79" w:rsidR="007D7F4C" w:rsidRDefault="00925C6E" w:rsidP="007D7F4C">
      <w:r>
        <w:rPr>
          <w:szCs w:val="22"/>
        </w:rPr>
        <w:t>Veterinární léčivý přípravek</w:t>
      </w:r>
      <w:r w:rsidR="007D7F4C">
        <w:t xml:space="preserve"> je určen k použití během laktace. </w:t>
      </w:r>
    </w:p>
    <w:p w14:paraId="1DD07397" w14:textId="03F029BE" w:rsidR="007D7F4C" w:rsidRDefault="007D7F4C" w:rsidP="007D7F4C">
      <w:r>
        <w:t xml:space="preserve">Laboratorní studie u skotu neprokázaly teratogenní </w:t>
      </w:r>
      <w:proofErr w:type="spellStart"/>
      <w:r>
        <w:t>fetotoxické</w:t>
      </w:r>
      <w:proofErr w:type="spellEnd"/>
      <w:r w:rsidR="00BD2FED">
        <w:t xml:space="preserve"> </w:t>
      </w:r>
      <w:r>
        <w:t>účinky ani maternální toxicitu.</w:t>
      </w:r>
    </w:p>
    <w:p w14:paraId="60EF3C39" w14:textId="77777777" w:rsidR="007D7F4C" w:rsidRDefault="007D7F4C" w:rsidP="007D7F4C">
      <w:r w:rsidRPr="00BB7FDB">
        <w:t>Při studiích reprodukční toxicity u laboratorních zvířat se neprokázal žádný účinek cefchinomu na</w:t>
      </w:r>
      <w:r>
        <w:t xml:space="preserve"> reprodukční nebo teratogenní potenciál.</w:t>
      </w:r>
    </w:p>
    <w:p w14:paraId="14C3127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0"/>
    <w:p w14:paraId="29D20656" w14:textId="23B9916E" w:rsidR="007D7F4C" w:rsidRDefault="007D7F4C" w:rsidP="007D7F4C">
      <w:r>
        <w:t xml:space="preserve">Je známo, že existuje zkřížená citlivost </w:t>
      </w:r>
      <w:r w:rsidR="009F6336">
        <w:t>k</w:t>
      </w:r>
      <w:r>
        <w:t xml:space="preserve"> cefalosporin</w:t>
      </w:r>
      <w:r w:rsidR="009F6336">
        <w:t>ům</w:t>
      </w:r>
      <w:r>
        <w:t xml:space="preserve"> u zárodků citlivých </w:t>
      </w:r>
      <w:r w:rsidR="009F6336">
        <w:t>k</w:t>
      </w:r>
      <w:r>
        <w:t xml:space="preserve"> </w:t>
      </w:r>
      <w:proofErr w:type="spellStart"/>
      <w:r>
        <w:t>cefalosporinov</w:t>
      </w:r>
      <w:r w:rsidR="009F6336">
        <w:t>é</w:t>
      </w:r>
      <w:proofErr w:type="spellEnd"/>
      <w:r>
        <w:t xml:space="preserve"> skupin</w:t>
      </w:r>
      <w:r w:rsidR="009F6336">
        <w:t>ě</w:t>
      </w:r>
      <w:r>
        <w:t xml:space="preserve">. 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BEB2E39" w14:textId="76EF3B2E" w:rsidR="00585343" w:rsidRDefault="007D7F4C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52BE3BB6" w14:textId="77777777" w:rsidR="007D7F4C" w:rsidRPr="00B41D57" w:rsidRDefault="007D7F4C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9AB1771" w14:textId="210CE847" w:rsidR="007D7F4C" w:rsidRDefault="00722B1D" w:rsidP="007D7F4C">
      <w:r>
        <w:t>Nejsou známy.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1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25EDCF" w14:textId="77777777" w:rsidR="002B1151" w:rsidRDefault="002B1151" w:rsidP="002B1151">
      <w:r>
        <w:t>Krávy v laktaci.</w:t>
      </w:r>
    </w:p>
    <w:p w14:paraId="546BC68E" w14:textId="343053D0" w:rsidR="009D351B" w:rsidRDefault="009D351B" w:rsidP="009D35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2765"/>
      </w:tblGrid>
      <w:tr w:rsidR="002B1151" w:rsidRPr="00B41D57" w14:paraId="54C6F566" w14:textId="77777777" w:rsidTr="00E25634">
        <w:tc>
          <w:tcPr>
            <w:tcW w:w="3474" w:type="pct"/>
          </w:tcPr>
          <w:p w14:paraId="00E66E5C" w14:textId="77777777" w:rsidR="002B1151" w:rsidRPr="00B41D57" w:rsidRDefault="002B1151" w:rsidP="00E2563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324729A" w14:textId="77777777" w:rsidR="002B1151" w:rsidRPr="00B41D57" w:rsidRDefault="002B1151" w:rsidP="00E25634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1526" w:type="pct"/>
          </w:tcPr>
          <w:p w14:paraId="484D33BF" w14:textId="77777777" w:rsidR="002B1151" w:rsidRPr="00B41D57" w:rsidRDefault="002B1151" w:rsidP="00E2563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Anafylaktická reakce</w:t>
            </w:r>
          </w:p>
        </w:tc>
      </w:tr>
    </w:tbl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010E89D4" w:rsidR="0064285A" w:rsidRPr="00B41D57" w:rsidRDefault="0064285A" w:rsidP="0064285A">
      <w:pPr>
        <w:rPr>
          <w:szCs w:val="22"/>
        </w:rPr>
      </w:pPr>
      <w:r w:rsidRPr="00B0504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</w:p>
    <w:p w14:paraId="19CCDFD2" w14:textId="4ADD9F74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A6482F">
        <w:rPr>
          <w:szCs w:val="22"/>
        </w:rPr>
        <w:t>Ústav pro státní kontrolu veterinárních biopreparátů a léčiv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 w:rsidR="00FF395A">
        <w:rPr>
          <w:szCs w:val="22"/>
        </w:rPr>
        <w:t>232/</w:t>
      </w:r>
      <w:proofErr w:type="gramStart"/>
      <w:r w:rsidRPr="00A6482F">
        <w:rPr>
          <w:szCs w:val="22"/>
        </w:rPr>
        <w:t>56a</w:t>
      </w:r>
      <w:proofErr w:type="gramEnd"/>
      <w:r w:rsidR="00CF3084">
        <w:rPr>
          <w:szCs w:val="22"/>
        </w:rPr>
        <w:t xml:space="preserve">, </w:t>
      </w:r>
      <w:r w:rsidRPr="00A6482F">
        <w:rPr>
          <w:szCs w:val="22"/>
        </w:rPr>
        <w:t>621 00 Brno</w:t>
      </w:r>
      <w:r w:rsidR="00CF3084">
        <w:rPr>
          <w:szCs w:val="22"/>
        </w:rPr>
        <w:t xml:space="preserve">, </w:t>
      </w:r>
      <w:r w:rsidR="00217431"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  <w:r w:rsidR="00CF3084">
        <w:rPr>
          <w:rStyle w:val="Hypertextovodkaz"/>
          <w:szCs w:val="22"/>
        </w:rPr>
        <w:t xml:space="preserve">, </w:t>
      </w: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F52270" w14:textId="77777777" w:rsidR="009D351B" w:rsidRDefault="009D351B" w:rsidP="009D351B">
      <w:pPr>
        <w:tabs>
          <w:tab w:val="left" w:pos="0"/>
        </w:tabs>
      </w:pPr>
      <w:r>
        <w:t>Intramamární podání</w:t>
      </w:r>
    </w:p>
    <w:p w14:paraId="7436F76E" w14:textId="5B6953A7" w:rsidR="009D351B" w:rsidRPr="00585822" w:rsidRDefault="009D351B" w:rsidP="009D351B">
      <w:pPr>
        <w:tabs>
          <w:tab w:val="left" w:pos="0"/>
        </w:tabs>
      </w:pPr>
      <w:r w:rsidRPr="00585822">
        <w:t>Obsah jednoho aplikátoru se jemně aplikuje do struku postižené čtvrt</w:t>
      </w:r>
      <w:r w:rsidR="007D7F4C">
        <w:t>i</w:t>
      </w:r>
      <w:r w:rsidRPr="00585822">
        <w:t xml:space="preserve"> mléčné žlázy </w:t>
      </w:r>
      <w:r w:rsidRPr="00585822">
        <w:rPr>
          <w:u w:val="single"/>
        </w:rPr>
        <w:t xml:space="preserve">každých 12 hodin </w:t>
      </w:r>
      <w:r w:rsidR="00350EB9" w:rsidRPr="00350EB9">
        <w:rPr>
          <w:u w:val="single"/>
        </w:rPr>
        <w:t>po každém ze tří po sobě jdoucích dojení</w:t>
      </w:r>
      <w:r w:rsidRPr="00585822">
        <w:t>.</w:t>
      </w:r>
    </w:p>
    <w:p w14:paraId="77F84E56" w14:textId="77777777" w:rsidR="009D351B" w:rsidRDefault="009D351B" w:rsidP="00B13B6D">
      <w:pPr>
        <w:pStyle w:val="Style1"/>
        <w:rPr>
          <w:highlight w:val="lightGray"/>
        </w:rPr>
      </w:pPr>
    </w:p>
    <w:p w14:paraId="7FC88755" w14:textId="77777777" w:rsidR="009D351B" w:rsidRDefault="009D351B" w:rsidP="00B13B6D">
      <w:pPr>
        <w:pStyle w:val="Style1"/>
        <w:rPr>
          <w:highlight w:val="lightGray"/>
        </w:rPr>
      </w:pPr>
    </w:p>
    <w:p w14:paraId="14C3128F" w14:textId="0BE232EE" w:rsidR="00C114FF" w:rsidRPr="00B41D57" w:rsidRDefault="006C6ABC" w:rsidP="00BD2FED">
      <w:pPr>
        <w:pStyle w:val="Style1"/>
        <w:keepNext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BD2FE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926FC30" w14:textId="72BB06DE" w:rsidR="009D351B" w:rsidRDefault="009D351B" w:rsidP="009D351B">
      <w:pPr>
        <w:tabs>
          <w:tab w:val="left" w:pos="0"/>
        </w:tabs>
      </w:pPr>
      <w:r w:rsidRPr="00585822">
        <w:t>Před aplikací se postižená čtvrť mléčné žlázy úplně vydojí, struk se důkladně očistí a vydezinfikuje přiloženým čistícím ubrouskem. Přes strukový kanálek se do každé postižené čtvrt</w:t>
      </w:r>
      <w:r w:rsidR="007D7F4C">
        <w:t>i</w:t>
      </w:r>
      <w:r w:rsidRPr="00585822">
        <w:t xml:space="preserve"> pomalu vytlačí celý obsah aplikátoru a čtvrť se jemně masíruje směrem k bázi mléčné žlázy.</w:t>
      </w:r>
    </w:p>
    <w:p w14:paraId="57A58285" w14:textId="77777777" w:rsidR="009D351B" w:rsidRDefault="009D351B" w:rsidP="009D351B">
      <w:pPr>
        <w:tabs>
          <w:tab w:val="left" w:pos="0"/>
        </w:tabs>
      </w:pPr>
    </w:p>
    <w:p w14:paraId="038D144B" w14:textId="0C03690A" w:rsidR="009D351B" w:rsidRDefault="009D351B" w:rsidP="009D351B">
      <w:r>
        <w:t xml:space="preserve">Léčba po kratší </w:t>
      </w:r>
      <w:proofErr w:type="gramStart"/>
      <w:r>
        <w:t>dobu</w:t>
      </w:r>
      <w:proofErr w:type="gramEnd"/>
      <w:r>
        <w:t xml:space="preserve"> než se doporučuje, může podporovat u bakterií vznik rezistence, a proto je třeba přípravek používat dle výše uvedeného schématu.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2225AB" w14:textId="54F27C5C" w:rsidR="000E11D0" w:rsidRDefault="000E11D0" w:rsidP="009D351B">
      <w:r>
        <w:t xml:space="preserve">Maso: </w:t>
      </w:r>
      <w:r w:rsidR="009D351B">
        <w:t>4 dny</w:t>
      </w:r>
    </w:p>
    <w:p w14:paraId="183E4AE8" w14:textId="26525314" w:rsidR="009D351B" w:rsidRPr="00B02181" w:rsidRDefault="000E11D0" w:rsidP="009D351B">
      <w:r>
        <w:t>M</w:t>
      </w:r>
      <w:r w:rsidR="009D351B">
        <w:t>léko</w:t>
      </w:r>
      <w:r>
        <w:t>:</w:t>
      </w:r>
      <w:r w:rsidR="009D351B">
        <w:t xml:space="preserve"> 5 dnů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B41D57">
        <w:t>Uchovávejte mimo dohled a dosah dětí.</w:t>
      </w:r>
    </w:p>
    <w:bookmarkEnd w:id="3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3DB287C" w14:textId="657B1569" w:rsidR="009D351B" w:rsidRDefault="009D351B" w:rsidP="009D351B">
      <w:pPr>
        <w:ind w:right="-2"/>
      </w:pPr>
      <w:r w:rsidRPr="00064948">
        <w:t xml:space="preserve">Uchovávejte při teplotě do </w:t>
      </w:r>
      <w:r>
        <w:t>25</w:t>
      </w:r>
      <w:r w:rsidR="00722B1D">
        <w:t xml:space="preserve"> </w:t>
      </w:r>
      <w:r w:rsidRPr="00064948">
        <w:sym w:font="Symbol" w:char="F0B0"/>
      </w:r>
      <w:r w:rsidRPr="00064948">
        <w:t>C</w:t>
      </w:r>
      <w:r>
        <w:t>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19A3B6AB" w:rsidR="003C426E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</w:t>
      </w:r>
      <w:r>
        <w:t xml:space="preserve"> </w:t>
      </w:r>
      <w:r w:rsidR="00722B1D">
        <w:t xml:space="preserve">a krabičce </w:t>
      </w:r>
      <w:r>
        <w:t xml:space="preserve">po Exp. </w:t>
      </w:r>
      <w:r w:rsidRPr="00B41D57">
        <w:t>Doba použitelnosti končí posledním dnem v uvedeném měsíci.</w:t>
      </w:r>
    </w:p>
    <w:p w14:paraId="70293E83" w14:textId="13BFE0BD" w:rsidR="00706E24" w:rsidRPr="00B41D57" w:rsidRDefault="00706E24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GoBack"/>
      <w:r w:rsidRPr="002F70DD">
        <w:rPr>
          <w:szCs w:val="22"/>
        </w:rPr>
        <w:t xml:space="preserve">Doba použitelnosti </w:t>
      </w:r>
      <w:bookmarkStart w:id="5" w:name="_Hlk160638456"/>
      <w:r w:rsidRPr="002F70DD">
        <w:rPr>
          <w:szCs w:val="22"/>
        </w:rPr>
        <w:t>po prvním otevření vnitřního obalu: spotřebujte ihned.</w:t>
      </w:r>
      <w:bookmarkEnd w:id="5"/>
      <w:bookmarkEnd w:id="4"/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AF7103">
      <w:pPr>
        <w:pStyle w:val="Style1"/>
        <w:keepNext/>
        <w:jc w:val="both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F71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41D57" w:rsidRDefault="00515FDE" w:rsidP="00AF71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F71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41D57" w:rsidRDefault="00D774A4" w:rsidP="00AF7103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AF7103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41D57" w:rsidRDefault="00381AFD" w:rsidP="00AF710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6"/>
    <w:p w14:paraId="14C312C3" w14:textId="77777777" w:rsidR="00DB468A" w:rsidRPr="00B41D57" w:rsidRDefault="00DB468A" w:rsidP="00AF71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380BEF40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1511D" w14:textId="77777777" w:rsidR="00EE2D78" w:rsidRDefault="00EE2D78" w:rsidP="00EE2D78">
      <w:r w:rsidRPr="008800F4">
        <w:t>96/011/</w:t>
      </w:r>
      <w:proofErr w:type="gramStart"/>
      <w:r w:rsidRPr="008800F4">
        <w:t>03-C</w:t>
      </w:r>
      <w:proofErr w:type="gramEnd"/>
    </w:p>
    <w:p w14:paraId="3CE6358E" w14:textId="1BD09B7C" w:rsidR="00EE2D78" w:rsidRDefault="00EE2D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3CD94F" w14:textId="50FD0E73" w:rsidR="007D7F4C" w:rsidRDefault="007D7F4C" w:rsidP="007D7F4C">
      <w:pPr>
        <w:tabs>
          <w:tab w:val="left" w:pos="709"/>
        </w:tabs>
      </w:pPr>
      <w:r>
        <w:t>Velikosti b</w:t>
      </w:r>
      <w:r w:rsidRPr="00585822">
        <w:t>alení: 3 x 8 g, 15 x 8 g, 20 x 8 g, 24 x 8 g</w:t>
      </w:r>
    </w:p>
    <w:p w14:paraId="2CE9A3AA" w14:textId="77777777" w:rsidR="007D7F4C" w:rsidRPr="00B41D57" w:rsidRDefault="007D7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1F68EA34" w:rsidR="00DB468A" w:rsidRPr="00B41D57" w:rsidRDefault="00732C7D" w:rsidP="00DB468A">
      <w:pPr>
        <w:rPr>
          <w:szCs w:val="22"/>
        </w:rPr>
      </w:pPr>
      <w:r>
        <w:t>Březen 2024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6414D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7"/>
    <w:p w14:paraId="14C312D7" w14:textId="56DAE99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A10A0A" w14:textId="77777777" w:rsidR="002B1151" w:rsidRPr="009C2CAE" w:rsidRDefault="002B1151" w:rsidP="002B1151">
      <w:pPr>
        <w:rPr>
          <w:rStyle w:val="markedcontent"/>
          <w:szCs w:val="22"/>
        </w:rPr>
      </w:pPr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</w:p>
    <w:p w14:paraId="27405246" w14:textId="77777777" w:rsidR="002B1151" w:rsidRPr="00B41D57" w:rsidRDefault="002B115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1B1192" w:rsidRDefault="001F4547" w:rsidP="001F4547"/>
    <w:p w14:paraId="1302E961" w14:textId="7B633F86" w:rsidR="00B74508" w:rsidRPr="00B74508" w:rsidRDefault="00B74508" w:rsidP="00B74508">
      <w:r w:rsidRPr="00B74508">
        <w:rPr>
          <w:u w:val="single"/>
        </w:rPr>
        <w:t>Držitel rozhodnutí o registraci: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6DDD7396" w:rsidR="00B74508" w:rsidRDefault="00B74508" w:rsidP="00B74508">
      <w:pPr>
        <w:rPr>
          <w:u w:val="single"/>
        </w:rPr>
      </w:pPr>
    </w:p>
    <w:p w14:paraId="455B1B77" w14:textId="77777777" w:rsidR="009D351B" w:rsidRDefault="009D351B" w:rsidP="009D351B">
      <w:pPr>
        <w:pStyle w:val="Style4"/>
        <w:rPr>
          <w:u w:val="single"/>
        </w:rPr>
      </w:pPr>
      <w:bookmarkStart w:id="8" w:name="_Hlk127684423"/>
      <w:r w:rsidRPr="009D351B">
        <w:rPr>
          <w:u w:val="single"/>
        </w:rPr>
        <w:t>Výrobce odpovědný za uvolnění šarže:</w:t>
      </w:r>
      <w:bookmarkEnd w:id="8"/>
    </w:p>
    <w:p w14:paraId="0D36A8D5" w14:textId="16ED90EE" w:rsidR="009D351B" w:rsidRDefault="009D351B" w:rsidP="009D351B">
      <w:proofErr w:type="spellStart"/>
      <w:r>
        <w:t>Intervet</w:t>
      </w:r>
      <w:proofErr w:type="spellEnd"/>
      <w:r>
        <w:t xml:space="preserve"> International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Feldstrasse</w:t>
      </w:r>
      <w:proofErr w:type="spellEnd"/>
      <w:r>
        <w:t xml:space="preserve"> </w:t>
      </w:r>
      <w:proofErr w:type="gramStart"/>
      <w:r>
        <w:t>1a</w:t>
      </w:r>
      <w:proofErr w:type="gramEnd"/>
      <w:r>
        <w:t xml:space="preserve">, 85716 </w:t>
      </w:r>
      <w:proofErr w:type="spellStart"/>
      <w:r>
        <w:t>Unterschleissheim</w:t>
      </w:r>
      <w:proofErr w:type="spellEnd"/>
      <w:r>
        <w:t>, Německo</w:t>
      </w:r>
    </w:p>
    <w:p w14:paraId="0CC52F3A" w14:textId="77777777" w:rsidR="002B1151" w:rsidRPr="00B74508" w:rsidRDefault="002B1151" w:rsidP="002B1151">
      <w:pPr>
        <w:ind w:left="567" w:hanging="567"/>
      </w:pPr>
      <w:r w:rsidRPr="00B74508">
        <w:t>Intervet International B.V., Wim de Körverstraat 35, 5831 AN Boxmeer, Nizozemsko</w:t>
      </w:r>
    </w:p>
    <w:p w14:paraId="63A829DE" w14:textId="77777777" w:rsidR="009D351B" w:rsidRPr="00B74508" w:rsidRDefault="009D351B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22372E59" w14:textId="6C94689B" w:rsidR="00B77015" w:rsidRDefault="00B77015" w:rsidP="001F4547">
      <w:pPr>
        <w:pStyle w:val="Style4"/>
        <w:rPr>
          <w:u w:val="single"/>
        </w:rPr>
      </w:pPr>
    </w:p>
    <w:p w14:paraId="147E00B7" w14:textId="77777777" w:rsidR="002B1151" w:rsidRDefault="002B1151" w:rsidP="001F4547">
      <w:pPr>
        <w:pStyle w:val="Style4"/>
        <w:rPr>
          <w:u w:val="single"/>
        </w:rPr>
      </w:pPr>
    </w:p>
    <w:p w14:paraId="1645EED0" w14:textId="77777777" w:rsidR="00B77015" w:rsidRPr="00E86301" w:rsidRDefault="00B77015" w:rsidP="00B77015">
      <w:bookmarkStart w:id="9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9"/>
    <w:p w14:paraId="42A6DBAA" w14:textId="6698AE84" w:rsidR="00B77015" w:rsidRDefault="00B77015" w:rsidP="001F4547">
      <w:pPr>
        <w:pStyle w:val="Style4"/>
      </w:pPr>
    </w:p>
    <w:p w14:paraId="0A6BF791" w14:textId="11B20084" w:rsidR="006A5017" w:rsidRDefault="00732C7D" w:rsidP="001F4547">
      <w:pPr>
        <w:pStyle w:val="Style4"/>
      </w:pPr>
      <w:r>
        <w:t>Přípravek s indikačním omezením.</w:t>
      </w:r>
    </w:p>
    <w:sectPr w:rsidR="006A501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3D91" w14:textId="77777777" w:rsidR="005612DD" w:rsidRDefault="005612DD">
      <w:pPr>
        <w:spacing w:line="240" w:lineRule="auto"/>
      </w:pPr>
      <w:r>
        <w:separator/>
      </w:r>
    </w:p>
  </w:endnote>
  <w:endnote w:type="continuationSeparator" w:id="0">
    <w:p w14:paraId="089D8801" w14:textId="77777777" w:rsidR="005612DD" w:rsidRDefault="0056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083B" w14:textId="77777777" w:rsidR="005612DD" w:rsidRDefault="005612DD">
      <w:pPr>
        <w:spacing w:line="240" w:lineRule="auto"/>
      </w:pPr>
      <w:r>
        <w:separator/>
      </w:r>
    </w:p>
  </w:footnote>
  <w:footnote w:type="continuationSeparator" w:id="0">
    <w:p w14:paraId="711EC1E6" w14:textId="77777777" w:rsidR="005612DD" w:rsidRDefault="0056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53E0" w14:textId="77777777" w:rsidR="007D2755" w:rsidRPr="007D2755" w:rsidRDefault="007D2755" w:rsidP="007D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6869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4A72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1D0"/>
    <w:rsid w:val="000E195C"/>
    <w:rsid w:val="000E3602"/>
    <w:rsid w:val="000E705A"/>
    <w:rsid w:val="000F38DA"/>
    <w:rsid w:val="000F5822"/>
    <w:rsid w:val="000F6991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CAE"/>
    <w:rsid w:val="001B1192"/>
    <w:rsid w:val="001B1C77"/>
    <w:rsid w:val="001B26EB"/>
    <w:rsid w:val="001B6F4A"/>
    <w:rsid w:val="001B766B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24D1A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CFE"/>
    <w:rsid w:val="00282E7B"/>
    <w:rsid w:val="002838C8"/>
    <w:rsid w:val="00290805"/>
    <w:rsid w:val="00290C2A"/>
    <w:rsid w:val="002931DD"/>
    <w:rsid w:val="002934D1"/>
    <w:rsid w:val="00295140"/>
    <w:rsid w:val="002A0E7C"/>
    <w:rsid w:val="002A0EED"/>
    <w:rsid w:val="002A21ED"/>
    <w:rsid w:val="002A3F88"/>
    <w:rsid w:val="002A5B3A"/>
    <w:rsid w:val="002A710D"/>
    <w:rsid w:val="002B0F11"/>
    <w:rsid w:val="002B115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EB9"/>
    <w:rsid w:val="003535E0"/>
    <w:rsid w:val="003543AC"/>
    <w:rsid w:val="00355AB8"/>
    <w:rsid w:val="00355D02"/>
    <w:rsid w:val="00365C0D"/>
    <w:rsid w:val="00366F56"/>
    <w:rsid w:val="00370347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0CCA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443D"/>
    <w:rsid w:val="003F677F"/>
    <w:rsid w:val="004008F6"/>
    <w:rsid w:val="00407722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12DD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97B2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22CE"/>
    <w:rsid w:val="006D3509"/>
    <w:rsid w:val="006D7C6E"/>
    <w:rsid w:val="006E15A2"/>
    <w:rsid w:val="006E2F95"/>
    <w:rsid w:val="006F148B"/>
    <w:rsid w:val="00705EAF"/>
    <w:rsid w:val="00706E24"/>
    <w:rsid w:val="0070773E"/>
    <w:rsid w:val="007101CC"/>
    <w:rsid w:val="00711081"/>
    <w:rsid w:val="00715A24"/>
    <w:rsid w:val="00715C55"/>
    <w:rsid w:val="00722B1D"/>
    <w:rsid w:val="00724E3B"/>
    <w:rsid w:val="00725EEA"/>
    <w:rsid w:val="007264EA"/>
    <w:rsid w:val="007276B6"/>
    <w:rsid w:val="00730908"/>
    <w:rsid w:val="00730CE9"/>
    <w:rsid w:val="00731D0A"/>
    <w:rsid w:val="00732C7D"/>
    <w:rsid w:val="0073373D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2755"/>
    <w:rsid w:val="007D73FB"/>
    <w:rsid w:val="007D7608"/>
    <w:rsid w:val="007D7F4C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4B03"/>
    <w:rsid w:val="0081517F"/>
    <w:rsid w:val="00815370"/>
    <w:rsid w:val="0082153D"/>
    <w:rsid w:val="008255AA"/>
    <w:rsid w:val="00830FF3"/>
    <w:rsid w:val="00832437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5C6E"/>
    <w:rsid w:val="009311ED"/>
    <w:rsid w:val="00931D41"/>
    <w:rsid w:val="00933D18"/>
    <w:rsid w:val="0094054D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351B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6336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19F4"/>
    <w:rsid w:val="00AD4DB9"/>
    <w:rsid w:val="00AD63C0"/>
    <w:rsid w:val="00AE35B2"/>
    <w:rsid w:val="00AE6AA0"/>
    <w:rsid w:val="00AE72C8"/>
    <w:rsid w:val="00AF406C"/>
    <w:rsid w:val="00AF45ED"/>
    <w:rsid w:val="00AF7103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D2FED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9AD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5222"/>
    <w:rsid w:val="00D774A4"/>
    <w:rsid w:val="00D825A9"/>
    <w:rsid w:val="00D83661"/>
    <w:rsid w:val="00D9216A"/>
    <w:rsid w:val="00D95BBB"/>
    <w:rsid w:val="00D97E7D"/>
    <w:rsid w:val="00DB2647"/>
    <w:rsid w:val="00DB3439"/>
    <w:rsid w:val="00DB3618"/>
    <w:rsid w:val="00DB468A"/>
    <w:rsid w:val="00DC05A6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2D78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31A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0750"/>
    <w:rsid w:val="00F90A54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EAC"/>
    <w:rsid w:val="00FC752C"/>
    <w:rsid w:val="00FD0492"/>
    <w:rsid w:val="00FD13EC"/>
    <w:rsid w:val="00FD1E45"/>
    <w:rsid w:val="00FD1E5A"/>
    <w:rsid w:val="00FD4DA8"/>
    <w:rsid w:val="00FD4EEF"/>
    <w:rsid w:val="00FD5461"/>
    <w:rsid w:val="00FD642D"/>
    <w:rsid w:val="00FD6BDB"/>
    <w:rsid w:val="00FD6F00"/>
    <w:rsid w:val="00FD6FF1"/>
    <w:rsid w:val="00FD74D4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F3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C404-EC46-4DFB-841D-493D94C4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23</cp:revision>
  <cp:lastPrinted>2008-06-03T12:50:00Z</cp:lastPrinted>
  <dcterms:created xsi:type="dcterms:W3CDTF">2024-02-07T11:15:00Z</dcterms:created>
  <dcterms:modified xsi:type="dcterms:W3CDTF">2024-03-14T10:39:00Z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