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D448D" w14:textId="75507A04" w:rsidR="001D3039" w:rsidRPr="00474E66" w:rsidRDefault="00A713E3" w:rsidP="00D743A6">
      <w:pPr>
        <w:pStyle w:val="Style2"/>
        <w:widowControl/>
        <w:tabs>
          <w:tab w:val="left" w:pos="390"/>
        </w:tabs>
        <w:rPr>
          <w:rStyle w:val="FontStyle28"/>
          <w:rFonts w:asciiTheme="minorHAnsi" w:hAnsiTheme="minorHAnsi" w:cstheme="minorHAnsi"/>
        </w:rPr>
      </w:pPr>
      <w:r w:rsidRPr="00474E66">
        <w:rPr>
          <w:rStyle w:val="FontStyle28"/>
          <w:rFonts w:asciiTheme="minorHAnsi" w:hAnsiTheme="minorHAnsi" w:cstheme="minorHAnsi"/>
        </w:rPr>
        <w:t>Test RealPCR</w:t>
      </w:r>
      <w:r w:rsidR="001D3039" w:rsidRPr="00474E66">
        <w:rPr>
          <w:rStyle w:val="FontStyle28"/>
          <w:rFonts w:asciiTheme="minorHAnsi" w:hAnsiTheme="minorHAnsi" w:cstheme="minorHAnsi"/>
        </w:rPr>
        <w:t xml:space="preserve"> PCV2/PCV3 Multiplex DNA</w:t>
      </w:r>
    </w:p>
    <w:p w14:paraId="1FC62E3E" w14:textId="77777777" w:rsidR="001D3039" w:rsidRPr="00474E66" w:rsidRDefault="001D3039" w:rsidP="00D743A6">
      <w:pPr>
        <w:pStyle w:val="Style3"/>
        <w:widowControl/>
        <w:spacing w:before="53"/>
        <w:ind w:right="440"/>
        <w:rPr>
          <w:rStyle w:val="FontStyle27"/>
          <w:rFonts w:asciiTheme="minorHAnsi" w:hAnsiTheme="minorHAnsi" w:cstheme="minorHAnsi"/>
          <w:sz w:val="22"/>
          <w:szCs w:val="22"/>
        </w:rPr>
      </w:pPr>
      <w:r w:rsidRPr="00474E66">
        <w:rPr>
          <w:rStyle w:val="FontStyle27"/>
          <w:rFonts w:asciiTheme="minorHAnsi" w:hAnsiTheme="minorHAnsi" w:cstheme="minorHAnsi"/>
          <w:sz w:val="22"/>
          <w:szCs w:val="22"/>
        </w:rPr>
        <w:t>Pouze pro veterinární účely.</w:t>
      </w:r>
    </w:p>
    <w:p w14:paraId="10E8BB1F" w14:textId="77777777" w:rsidR="001D3039" w:rsidRPr="00474E66" w:rsidRDefault="001D3039" w:rsidP="00726964">
      <w:pPr>
        <w:pStyle w:val="Style6"/>
        <w:widowControl/>
        <w:rPr>
          <w:rFonts w:asciiTheme="minorHAnsi" w:hAnsiTheme="minorHAnsi" w:cstheme="minorHAnsi"/>
          <w:sz w:val="22"/>
          <w:szCs w:val="22"/>
        </w:rPr>
      </w:pPr>
    </w:p>
    <w:p w14:paraId="4B5F4963" w14:textId="77777777" w:rsidR="001D3039" w:rsidRPr="00474E66" w:rsidRDefault="001D3039" w:rsidP="00726964">
      <w:pPr>
        <w:pStyle w:val="Style6"/>
        <w:widowControl/>
        <w:spacing w:before="77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 xml:space="preserve">Název </w:t>
      </w:r>
      <w:r w:rsidR="00AC0D08" w:rsidRPr="00474E66">
        <w:rPr>
          <w:rStyle w:val="FontStyle36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určené použití</w:t>
      </w:r>
    </w:p>
    <w:p w14:paraId="218F2C7D" w14:textId="77777777" w:rsidR="001D3039" w:rsidRPr="00474E66" w:rsidRDefault="001D3039" w:rsidP="00726964">
      <w:pPr>
        <w:pStyle w:val="Style5"/>
        <w:widowControl/>
        <w:spacing w:before="91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Test RealPCR PCV2/PCV3 Multiplex DNA je určen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detekci, diferenciaci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kvantifikaci DNA prasečího cirkoviru typu 2 (PCV2)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prasečího cirkoviru typu 3 (PCV3). Test je možné použít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DNA extrahovanou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z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prasečího séra, orálních tekutin, tkání, plicní laváže, procesních tekutin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tkání plodů/mrtvě narozených selat (PCV3). Test může být použit pro testování směsných vzorků sestávajících až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z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10 vzorků.</w:t>
      </w:r>
    </w:p>
    <w:p w14:paraId="0CAA82DE" w14:textId="77777777" w:rsidR="001D3039" w:rsidRPr="00474E66" w:rsidRDefault="001D3039" w:rsidP="00726964">
      <w:pPr>
        <w:pStyle w:val="Style6"/>
        <w:widowControl/>
        <w:spacing w:before="211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Obecné informace</w:t>
      </w:r>
    </w:p>
    <w:p w14:paraId="046B2EC2" w14:textId="77777777" w:rsidR="001D3039" w:rsidRPr="00474E66" w:rsidRDefault="001D3039" w:rsidP="00726964">
      <w:pPr>
        <w:pStyle w:val="Style5"/>
        <w:widowControl/>
        <w:spacing w:before="86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Prasečí cirkovirus typu 2 (PCV2) je ekonomicky významný patogen, který je spojen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širokou škálou klinických onemocnění včetně PCV2 systémového onemocnění (PCV2-SD), respiračního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střevního onemocnění, poruch reprodukce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syndromu dermatitidy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nefropatie prasat. PCV2-SD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subklinické infekce jsou celosvětově velmi rozšířené. Předpokládá se, že infekce prasat prasečím cirkovirem typu 3 (PCV3) je spojena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okolnostmi, které připomínají onemocnění vyvolané prasečím cirkovirem</w:t>
      </w:r>
      <w:r w:rsidRPr="00474E66">
        <w:rPr>
          <w:rStyle w:val="FontStyle39"/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. PCV3 byl identifikován ve většině zemí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rozvinutou produkcí prasat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retrospektivní studie naznačují, že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populacích prasat koluje již několik desetiletí. Detekce DNA virů PCV2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PCV3 pomocí multiplexní 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reálném čase je mimořádně citlivým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rychlým prostředkem kvantifikace virové nálože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diferenciace klinicky významných infekcí prasečím cirkovirem během jedné reakce.  </w:t>
      </w:r>
    </w:p>
    <w:p w14:paraId="1EED6D1E" w14:textId="77777777" w:rsidR="001D3039" w:rsidRPr="00474E66" w:rsidRDefault="00AC0D08" w:rsidP="00726964">
      <w:pPr>
        <w:pStyle w:val="Style5"/>
        <w:widowControl/>
        <w:spacing w:before="91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vytvoření standardní křivky pro kvantifikaci virové nálože ve vzorcích je možné použít standardy RealPCR PCV2/PCV3 DNA Quantification Standards (PCV2 DNA QS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PCV3 DNA QS), obsahující syntetickou DNA PCV2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>PCV3.</w:t>
      </w:r>
    </w:p>
    <w:p w14:paraId="157FEAEC" w14:textId="72AD938E" w:rsidR="001D3039" w:rsidRPr="00474E66" w:rsidRDefault="001D3039" w:rsidP="00726964">
      <w:pPr>
        <w:pStyle w:val="Style5"/>
        <w:widowControl/>
        <w:spacing w:before="91" w:line="240" w:lineRule="auto"/>
        <w:jc w:val="both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IDEXX RealPCR je modulární systém,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němž jsou cílové směsi specifické pro dané onemocnění spárovány se standardizovanými směsmi vzorové DNA nebo RNA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jednou směsnou pozitivní kontrolou. Reagencie jsou baleny individuálně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prodávány zvlášť, aby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nimi bylo možné </w:t>
      </w:r>
      <w:r w:rsidR="00D743A6" w:rsidRPr="00474E66">
        <w:rPr>
          <w:rStyle w:val="FontStyle39"/>
          <w:rFonts w:asciiTheme="minorHAnsi" w:hAnsiTheme="minorHAnsi" w:cstheme="minorHAnsi"/>
          <w:sz w:val="22"/>
          <w:szCs w:val="22"/>
        </w:rPr>
        <w:t>manipulovat,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 pokud možno flexibilně.</w:t>
      </w:r>
    </w:p>
    <w:p w14:paraId="67641D19" w14:textId="2F4D8D41" w:rsidR="001D3039" w:rsidRPr="00474E66" w:rsidRDefault="001D3039" w:rsidP="00726964">
      <w:pPr>
        <w:pStyle w:val="Style5"/>
        <w:widowControl/>
        <w:spacing w:before="91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Směs RealPCR PCV2/PCV3 Multiplex DNA Mix (PCV2/PCV3 DNA Mix) obsahuje primery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sondy pro</w:t>
      </w:r>
      <w:r w:rsidR="00474E66" w:rsidRPr="00474E66">
        <w:rPr>
          <w:rStyle w:val="FontStyle39"/>
          <w:rFonts w:asciiTheme="minorHAnsi" w:hAnsiTheme="minorHAnsi" w:cstheme="minorHAnsi"/>
          <w:sz w:val="22"/>
          <w:szCs w:val="22"/>
        </w:rPr>
        <w:t>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multiplexní detekci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diferenciaci DNA virů PCV2 PCV3 při amplifikaci se směsí vzorové RealPCR Master DNA (DNA MMx). Design pro typ PCV2 využívá sondu FAM™, zatímco design pro PCV3 signalizuje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kanálu Cy5. Interní kontrola testu vychází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z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průkazu sekvence genomové DNA ve vzorku, která je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u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prasat zachována. Tento genomový cíl se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tomto protokolu označuje jako interní kontrola vzorku (ISC). Průkaz endogenní DNA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testovaných vzorcích kontroluje adici, extrakci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amplifikaci vzorku. Směs PCV2/PCV3 DNA Mix obsahuje primery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sondu pro průkaz interní kontroly vzorku.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dispozici je také volitelná interní pozitivní kontrola, jmenovitě interní pozitivní kontrola RealPCR (IPC&gt; v1.1), kterou je třeba použít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případě nízké hladiny endogenní hostitelské DNA nebo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situaci, kdy je její přítomnost po extrakci nepravděpodobná. IPC obsahuje syntetickou verzi porcinního cíle ISC DNA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je tudíž kompatibilní se směsí PCV2/PCV3 DNA Mix. Viz pokyny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příbalovém letáku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interní pozitivní kontrole RealPCR (REF 99-56330).</w:t>
      </w:r>
    </w:p>
    <w:p w14:paraId="06BD3F39" w14:textId="77777777" w:rsidR="001D3039" w:rsidRPr="00474E66" w:rsidRDefault="001D3039" w:rsidP="00726964">
      <w:pPr>
        <w:pStyle w:val="Style4"/>
        <w:widowControl/>
        <w:rPr>
          <w:rFonts w:asciiTheme="minorHAnsi" w:hAnsiTheme="minorHAnsi" w:cstheme="minorHAnsi"/>
          <w:sz w:val="22"/>
          <w:szCs w:val="22"/>
        </w:rPr>
      </w:pPr>
    </w:p>
    <w:p w14:paraId="252F19D7" w14:textId="77777777" w:rsidR="001D3039" w:rsidRPr="00474E66" w:rsidRDefault="001D3039" w:rsidP="00726964">
      <w:pPr>
        <w:pStyle w:val="Style4"/>
        <w:widowControl/>
        <w:spacing w:before="197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1. Segales J, Allan GM, Domingo M, </w:t>
      </w:r>
      <w:r w:rsidRPr="00474E66">
        <w:rPr>
          <w:rStyle w:val="FontStyle29"/>
          <w:rFonts w:asciiTheme="minorHAnsi" w:hAnsiTheme="minorHAnsi" w:cstheme="minorHAnsi"/>
          <w:sz w:val="22"/>
          <w:szCs w:val="22"/>
        </w:rPr>
        <w:t xml:space="preserve">et al. 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2019. Diseases of swine. 11</w:t>
      </w:r>
      <w:r w:rsidRPr="00474E66">
        <w:rPr>
          <w:rStyle w:val="FontStyle37"/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 edition. Wiley Blackwell. Kapitola 30, str. 473.</w:t>
      </w:r>
    </w:p>
    <w:p w14:paraId="1AFF266C" w14:textId="77777777" w:rsidR="001D3039" w:rsidRPr="00474E66" w:rsidRDefault="001D3039" w:rsidP="00726964">
      <w:pPr>
        <w:pStyle w:val="Style4"/>
        <w:widowControl/>
        <w:spacing w:before="197"/>
        <w:rPr>
          <w:rStyle w:val="FontStyle37"/>
          <w:rFonts w:asciiTheme="minorHAnsi" w:hAnsiTheme="minorHAnsi" w:cstheme="minorHAnsi"/>
          <w:sz w:val="22"/>
          <w:szCs w:val="22"/>
          <w:lang w:eastAsia="en-US"/>
        </w:rPr>
        <w:sectPr w:rsidR="001D3039" w:rsidRPr="00474E66" w:rsidSect="00D743A6">
          <w:headerReference w:type="default" r:id="rId8"/>
          <w:type w:val="continuous"/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pPr w:leftFromText="141" w:rightFromText="141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1276"/>
        <w:gridCol w:w="1417"/>
        <w:gridCol w:w="1560"/>
        <w:gridCol w:w="1280"/>
      </w:tblGrid>
      <w:tr w:rsidR="001D3039" w:rsidRPr="00474E66" w14:paraId="2C8BE5A6" w14:textId="77777777" w:rsidTr="00D743A6">
        <w:tc>
          <w:tcPr>
            <w:tcW w:w="8505" w:type="dxa"/>
            <w:gridSpan w:val="6"/>
          </w:tcPr>
          <w:p w14:paraId="4971C47E" w14:textId="77777777" w:rsidR="001D3039" w:rsidRPr="00474E66" w:rsidRDefault="001D3039" w:rsidP="00D743A6">
            <w:pPr>
              <w:pStyle w:val="Style7"/>
              <w:widowControl/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Materiál </w:t>
            </w:r>
            <w:r w:rsidR="00AC0D08" w:rsidRPr="00474E66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t>uchovávání</w:t>
            </w:r>
          </w:p>
        </w:tc>
      </w:tr>
      <w:tr w:rsidR="001D3039" w:rsidRPr="00474E66" w14:paraId="5EF62A09" w14:textId="77777777" w:rsidTr="00E3670E">
        <w:trPr>
          <w:trHeight w:val="568"/>
        </w:trPr>
        <w:tc>
          <w:tcPr>
            <w:tcW w:w="1980" w:type="dxa"/>
            <w:shd w:val="clear" w:color="auto" w:fill="F2F2F2" w:themeFill="background1" w:themeFillShade="F2"/>
          </w:tcPr>
          <w:p w14:paraId="0DF5DCE9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left="302"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Označení / obecné informace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2894B0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Barva uzávěru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DCE6B3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Množství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48B34CC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Uchovávání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6E6172FB" w14:textId="77777777" w:rsidR="00D743A6" w:rsidRPr="00474E66" w:rsidRDefault="001D3039" w:rsidP="00D743A6">
            <w:pPr>
              <w:pStyle w:val="Style9"/>
              <w:widowControl/>
              <w:spacing w:line="240" w:lineRule="auto"/>
              <w:jc w:val="left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Cykly zmrazení/</w:t>
            </w:r>
          </w:p>
          <w:p w14:paraId="7B7552CB" w14:textId="0153293B" w:rsidR="001D3039" w:rsidRPr="00474E66" w:rsidRDefault="001D3039" w:rsidP="00D743A6">
            <w:pPr>
              <w:pStyle w:val="Style9"/>
              <w:widowControl/>
              <w:spacing w:line="240" w:lineRule="auto"/>
              <w:jc w:val="left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rozmrazení</w:t>
            </w:r>
          </w:p>
        </w:tc>
      </w:tr>
      <w:tr w:rsidR="001D3039" w:rsidRPr="00474E66" w14:paraId="6FD16D01" w14:textId="77777777" w:rsidTr="00E3670E">
        <w:trPr>
          <w:trHeight w:val="593"/>
        </w:trPr>
        <w:tc>
          <w:tcPr>
            <w:tcW w:w="1980" w:type="dxa"/>
            <w:shd w:val="clear" w:color="auto" w:fill="F2F2F2" w:themeFill="background1" w:themeFillShade="F2"/>
          </w:tcPr>
          <w:p w14:paraId="24B77184" w14:textId="77777777" w:rsidR="001D3039" w:rsidRPr="00474E66" w:rsidRDefault="001D3039" w:rsidP="00D743A6">
            <w:pPr>
              <w:widowControl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8A8B0E" w14:textId="77777777" w:rsidR="001D3039" w:rsidRPr="00474E66" w:rsidRDefault="001D3039" w:rsidP="00D743A6">
            <w:pPr>
              <w:widowControl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A05511B" w14:textId="77777777" w:rsidR="001D3039" w:rsidRPr="00474E66" w:rsidRDefault="001D3039" w:rsidP="00D743A6">
            <w:pPr>
              <w:widowControl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055B6B" w14:textId="77777777" w:rsidR="001D3039" w:rsidRPr="00474E66" w:rsidRDefault="001D3039" w:rsidP="00D743A6">
            <w:pPr>
              <w:widowControl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D90CCD8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100 testů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70F646B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Při převzetí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48C30B7" w14:textId="77777777" w:rsidR="001D3039" w:rsidRPr="00474E66" w:rsidRDefault="001D3039" w:rsidP="00D743A6">
            <w:pPr>
              <w:pStyle w:val="Style9"/>
              <w:widowControl/>
              <w:spacing w:line="240" w:lineRule="auto"/>
              <w:jc w:val="left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Po rekonstituci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7135C022" w14:textId="77777777" w:rsidR="001D3039" w:rsidRPr="00474E66" w:rsidRDefault="001D3039" w:rsidP="00D743A6">
            <w:pPr>
              <w:pStyle w:val="Style9"/>
              <w:widowControl/>
              <w:spacing w:line="240" w:lineRule="auto"/>
              <w:jc w:val="left"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618C885" w14:textId="77777777" w:rsidR="001D3039" w:rsidRPr="00474E66" w:rsidRDefault="001D3039" w:rsidP="00D743A6">
            <w:pPr>
              <w:pStyle w:val="Style9"/>
              <w:widowControl/>
              <w:spacing w:line="240" w:lineRule="auto"/>
              <w:jc w:val="left"/>
              <w:rPr>
                <w:rStyle w:val="FontStyle3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D3039" w:rsidRPr="00474E66" w14:paraId="4171A3AE" w14:textId="77777777" w:rsidTr="00E3670E">
        <w:tc>
          <w:tcPr>
            <w:tcW w:w="1980" w:type="dxa"/>
            <w:vAlign w:val="center"/>
          </w:tcPr>
          <w:p w14:paraId="504FC5A2" w14:textId="77777777" w:rsidR="001D3039" w:rsidRPr="00474E66" w:rsidRDefault="001D3039" w:rsidP="00D743A6">
            <w:pPr>
              <w:pStyle w:val="Style11"/>
              <w:widowControl/>
              <w:spacing w:line="240" w:lineRule="auto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Směs RealPCR PCV2/PCV3 Multiplex DNA Mix (PCV2/PCV3 DNA Mix), suchá</w:t>
            </w:r>
          </w:p>
        </w:tc>
        <w:tc>
          <w:tcPr>
            <w:tcW w:w="992" w:type="dxa"/>
            <w:vAlign w:val="center"/>
          </w:tcPr>
          <w:p w14:paraId="1F5DC4E0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Zelená</w:t>
            </w:r>
          </w:p>
        </w:tc>
        <w:tc>
          <w:tcPr>
            <w:tcW w:w="1276" w:type="dxa"/>
            <w:vAlign w:val="center"/>
          </w:tcPr>
          <w:p w14:paraId="6B5683DD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1 x 1,0 ml</w:t>
            </w:r>
          </w:p>
        </w:tc>
        <w:tc>
          <w:tcPr>
            <w:tcW w:w="1417" w:type="dxa"/>
            <w:vAlign w:val="center"/>
          </w:tcPr>
          <w:p w14:paraId="710DA1DB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1560" w:type="dxa"/>
            <w:vAlign w:val="center"/>
          </w:tcPr>
          <w:p w14:paraId="3307300B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-15 °C</w:t>
            </w:r>
          </w:p>
        </w:tc>
        <w:tc>
          <w:tcPr>
            <w:tcW w:w="1280" w:type="dxa"/>
            <w:vAlign w:val="center"/>
          </w:tcPr>
          <w:p w14:paraId="35CAD59C" w14:textId="50032459" w:rsidR="001D3039" w:rsidRPr="00474E66" w:rsidRDefault="00E3670E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≤</w:t>
            </w:r>
            <w:r w:rsidR="001D3039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D3039" w:rsidRPr="00474E66" w14:paraId="175AC343" w14:textId="77777777" w:rsidTr="00D743A6">
        <w:tc>
          <w:tcPr>
            <w:tcW w:w="8505" w:type="dxa"/>
            <w:gridSpan w:val="6"/>
          </w:tcPr>
          <w:p w14:paraId="3FA1142A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99-56040</w:t>
            </w:r>
          </w:p>
          <w:p w14:paraId="218F73D0" w14:textId="035483E9" w:rsidR="001D3039" w:rsidRPr="00474E66" w:rsidRDefault="001D3039" w:rsidP="00D743A6">
            <w:pPr>
              <w:pStyle w:val="Style10"/>
              <w:widowControl/>
              <w:spacing w:line="240" w:lineRule="auto"/>
              <w:ind w:right="216" w:firstLine="5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Rekonstituujte pomocí čištěné vody určené pro metodu PCR (PCR Grade Water) pro dosažení objemu 1 ml. Směs PCV2/PCV3 DNA Mix uchovávejte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temnu. Datum </w:t>
            </w:r>
            <w:r w:rsidR="00474E66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exspirace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 na lahvičce platí pro suchou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i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rekonstituovanou formu. Etiketa na zkumavce se směsí PCV2/PCV3 DNA Mix označuje verzi PC, která je kompatibilní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cílovou směsí. Příklad: PC &gt; v1.4 znamená, že cílovou směs je možné použít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PC verzí 1.4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novějšími verzemi.</w:t>
            </w:r>
          </w:p>
        </w:tc>
      </w:tr>
      <w:tr w:rsidR="00D743A6" w:rsidRPr="00474E66" w14:paraId="24C79C00" w14:textId="77777777" w:rsidTr="00E3670E">
        <w:tc>
          <w:tcPr>
            <w:tcW w:w="1980" w:type="dxa"/>
            <w:vAlign w:val="center"/>
          </w:tcPr>
          <w:p w14:paraId="1001ACDF" w14:textId="77777777" w:rsidR="00D743A6" w:rsidRPr="00474E66" w:rsidRDefault="00D743A6" w:rsidP="00D743A6">
            <w:pPr>
              <w:pStyle w:val="Style11"/>
              <w:widowControl/>
              <w:spacing w:line="240" w:lineRule="auto"/>
              <w:ind w:right="168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Vzorová směs RealPCR DNA Master Mix (DNA MMx)</w:t>
            </w:r>
          </w:p>
        </w:tc>
        <w:tc>
          <w:tcPr>
            <w:tcW w:w="992" w:type="dxa"/>
            <w:vAlign w:val="center"/>
          </w:tcPr>
          <w:p w14:paraId="2B519E16" w14:textId="4C82D9F7" w:rsidR="00D743A6" w:rsidRPr="00474E66" w:rsidRDefault="00D743A6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Fialová</w:t>
            </w:r>
          </w:p>
        </w:tc>
        <w:tc>
          <w:tcPr>
            <w:tcW w:w="1276" w:type="dxa"/>
            <w:vAlign w:val="center"/>
          </w:tcPr>
          <w:p w14:paraId="752A78DF" w14:textId="77777777" w:rsidR="00D743A6" w:rsidRPr="00474E66" w:rsidRDefault="00D743A6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1 x 1,0 ml</w:t>
            </w:r>
          </w:p>
        </w:tc>
        <w:tc>
          <w:tcPr>
            <w:tcW w:w="1417" w:type="dxa"/>
            <w:vAlign w:val="center"/>
          </w:tcPr>
          <w:p w14:paraId="796BFCC4" w14:textId="77777777" w:rsidR="00D743A6" w:rsidRPr="00474E66" w:rsidRDefault="00D743A6" w:rsidP="00D743A6">
            <w:pPr>
              <w:pStyle w:val="Style9"/>
              <w:widowControl/>
              <w:spacing w:line="240" w:lineRule="auto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-15 °C (dlouhodobě)</w:t>
            </w:r>
          </w:p>
        </w:tc>
        <w:tc>
          <w:tcPr>
            <w:tcW w:w="1560" w:type="dxa"/>
            <w:vAlign w:val="center"/>
          </w:tcPr>
          <w:p w14:paraId="3ECCF1DA" w14:textId="77777777" w:rsidR="00D743A6" w:rsidRPr="00474E66" w:rsidRDefault="00D743A6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80" w:type="dxa"/>
            <w:vAlign w:val="center"/>
          </w:tcPr>
          <w:p w14:paraId="5766FB68" w14:textId="4E2E0D0D" w:rsidR="00D743A6" w:rsidRPr="00474E66" w:rsidRDefault="00E3670E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≤</w:t>
            </w:r>
            <w:r w:rsidR="00D743A6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D3039" w:rsidRPr="00474E66" w14:paraId="3F9D959C" w14:textId="77777777" w:rsidTr="00D743A6">
        <w:tc>
          <w:tcPr>
            <w:tcW w:w="8505" w:type="dxa"/>
            <w:gridSpan w:val="6"/>
          </w:tcPr>
          <w:p w14:paraId="18B86FF6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99-56250</w:t>
            </w:r>
          </w:p>
          <w:p w14:paraId="76AC008A" w14:textId="77777777" w:rsidR="001D3039" w:rsidRPr="00474E66" w:rsidRDefault="001D3039" w:rsidP="00D743A6">
            <w:pPr>
              <w:pStyle w:val="Style10"/>
              <w:widowControl/>
              <w:spacing w:line="240" w:lineRule="auto"/>
              <w:ind w:right="86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Koncentrovaná vzorová směs, která obsahuje hot-start polymerázu pro použití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cílovými směsmi DNA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systému IDEXX RealPCR. DNA MMx je viskóznější než většina vzorových směsí – doporučený způsob manipulace viz část Postup testování. Pro normalizaci objemových nepřesností bylo přidáno referenční barvivo (ROX™). Směs DNA MMx chraňte před světlem.</w:t>
            </w:r>
          </w:p>
        </w:tc>
      </w:tr>
      <w:tr w:rsidR="001D3039" w:rsidRPr="00474E66" w14:paraId="648EBBDC" w14:textId="77777777" w:rsidTr="00E3670E">
        <w:tc>
          <w:tcPr>
            <w:tcW w:w="1980" w:type="dxa"/>
            <w:vAlign w:val="center"/>
          </w:tcPr>
          <w:p w14:paraId="1B8155AB" w14:textId="77777777" w:rsidR="001D3039" w:rsidRPr="00474E66" w:rsidRDefault="001D3039" w:rsidP="00D743A6">
            <w:pPr>
              <w:pStyle w:val="Style11"/>
              <w:widowControl/>
              <w:spacing w:line="240" w:lineRule="auto"/>
              <w:ind w:right="178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Pozitivní kontrola RealPCR, suchá (PC)</w:t>
            </w:r>
          </w:p>
        </w:tc>
        <w:tc>
          <w:tcPr>
            <w:tcW w:w="992" w:type="dxa"/>
            <w:vAlign w:val="center"/>
          </w:tcPr>
          <w:p w14:paraId="4BC04C59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Modrá</w:t>
            </w:r>
          </w:p>
        </w:tc>
        <w:tc>
          <w:tcPr>
            <w:tcW w:w="1276" w:type="dxa"/>
            <w:vAlign w:val="center"/>
          </w:tcPr>
          <w:p w14:paraId="2B3DDA42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1 x 500 µl</w:t>
            </w:r>
          </w:p>
        </w:tc>
        <w:tc>
          <w:tcPr>
            <w:tcW w:w="1417" w:type="dxa"/>
            <w:vAlign w:val="center"/>
          </w:tcPr>
          <w:p w14:paraId="7EEAED57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1560" w:type="dxa"/>
            <w:vAlign w:val="center"/>
          </w:tcPr>
          <w:p w14:paraId="15A01ADE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-15 °C</w:t>
            </w:r>
          </w:p>
        </w:tc>
        <w:tc>
          <w:tcPr>
            <w:tcW w:w="1280" w:type="dxa"/>
            <w:vAlign w:val="center"/>
          </w:tcPr>
          <w:p w14:paraId="3A337EA8" w14:textId="387D009D" w:rsidR="001D3039" w:rsidRPr="00474E66" w:rsidRDefault="00E3670E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≤</w:t>
            </w:r>
            <w:r w:rsidR="001D3039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D3039" w:rsidRPr="00474E66" w14:paraId="401850FF" w14:textId="77777777" w:rsidTr="00D743A6">
        <w:tc>
          <w:tcPr>
            <w:tcW w:w="8505" w:type="dxa"/>
            <w:gridSpan w:val="6"/>
          </w:tcPr>
          <w:p w14:paraId="52C9D60A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99-56310</w:t>
            </w:r>
          </w:p>
          <w:p w14:paraId="242525C9" w14:textId="158E80DD" w:rsidR="001D3039" w:rsidRPr="00474E66" w:rsidRDefault="001D3039" w:rsidP="00D743A6">
            <w:pPr>
              <w:pStyle w:val="Style10"/>
              <w:widowControl/>
              <w:spacing w:line="240" w:lineRule="auto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Rekonstituujte pomocí čištěné vody určené pro metodu PCR (PCR Grade Water) pro dosažení objemu 500 µl. PC obsahuje všechny cíle (targets) IDEXX RealPCR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ISC (včetně cíle pro PCV2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PCV3)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je určena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použití se všemi cílovými směsmi IDEXX RealPCR. Datum </w:t>
            </w:r>
            <w:r w:rsidR="00474E66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exspirace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 na lahvičce platí pro suchou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i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rekonstituovanou formu. PC je označena číslem verze (např. v1.3). Jakmile jsou pro produktovou řadu RealPCR vytvořeny nové cílové směsi, cílové sekvence jsou přidány do PC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číslo verze PC se aktualizuje (např. v1.3 se zvýší na v1.4).</w:t>
            </w:r>
          </w:p>
          <w:p w14:paraId="402755EE" w14:textId="77777777" w:rsidR="001D3039" w:rsidRPr="00474E66" w:rsidRDefault="001D3039" w:rsidP="00D743A6">
            <w:pPr>
              <w:pStyle w:val="Style10"/>
              <w:widowControl/>
              <w:spacing w:line="240" w:lineRule="auto"/>
              <w:ind w:left="5" w:hanging="5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PC zahrnuje Signaturu IDEXX (unikátní sekvence oligonukleotidů). Přítomnost Signatury IDEXX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pracovním prostředí poukazuje na kontaminaci PC. Laboratoře, které chtějí monitorovat kontaminaci PC, mohou detekovat Signaturu IDEXX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použitím směsí RealPCR PC Tracker DNA Mix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RealPCR DNA MMx.</w:t>
            </w:r>
          </w:p>
        </w:tc>
      </w:tr>
      <w:tr w:rsidR="001D3039" w:rsidRPr="00474E66" w14:paraId="7925B34F" w14:textId="77777777" w:rsidTr="00E3670E">
        <w:tc>
          <w:tcPr>
            <w:tcW w:w="1980" w:type="dxa"/>
          </w:tcPr>
          <w:p w14:paraId="7FE80FB0" w14:textId="77777777" w:rsidR="001D3039" w:rsidRPr="00474E66" w:rsidRDefault="001D3039" w:rsidP="00D743A6">
            <w:pPr>
              <w:pStyle w:val="Style11"/>
              <w:widowControl/>
              <w:spacing w:line="240" w:lineRule="auto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Voda RealPCR PCR Grade</w:t>
            </w:r>
          </w:p>
        </w:tc>
        <w:tc>
          <w:tcPr>
            <w:tcW w:w="992" w:type="dxa"/>
            <w:vAlign w:val="center"/>
          </w:tcPr>
          <w:p w14:paraId="04AED6F7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Čirá</w:t>
            </w:r>
          </w:p>
        </w:tc>
        <w:tc>
          <w:tcPr>
            <w:tcW w:w="1276" w:type="dxa"/>
            <w:vAlign w:val="center"/>
          </w:tcPr>
          <w:p w14:paraId="4279774E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2 x 1,0 ml</w:t>
            </w:r>
          </w:p>
        </w:tc>
        <w:tc>
          <w:tcPr>
            <w:tcW w:w="2977" w:type="dxa"/>
            <w:gridSpan w:val="2"/>
            <w:vAlign w:val="center"/>
          </w:tcPr>
          <w:p w14:paraId="48E2C04E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1280" w:type="dxa"/>
            <w:vAlign w:val="center"/>
          </w:tcPr>
          <w:p w14:paraId="3DF8496D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D3039" w:rsidRPr="00474E66" w14:paraId="6FBB6E9D" w14:textId="77777777" w:rsidTr="00D743A6">
        <w:tc>
          <w:tcPr>
            <w:tcW w:w="8505" w:type="dxa"/>
            <w:gridSpan w:val="6"/>
          </w:tcPr>
          <w:p w14:paraId="365CE04D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99-56350</w:t>
            </w:r>
          </w:p>
          <w:p w14:paraId="2415B487" w14:textId="77777777" w:rsidR="001D3039" w:rsidRPr="00474E66" w:rsidRDefault="001D3039" w:rsidP="00D743A6">
            <w:pPr>
              <w:pStyle w:val="Style10"/>
              <w:widowControl/>
              <w:spacing w:line="240" w:lineRule="auto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Čištěná voda určená pro PCR metodu (PCR Grade Water) je kvalifikována pro použití při reverzní transkripci-PCR (RT-PCR). Používá se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rekonstituci reagencií RealPCR. Používá se také jako PCR negativní kontrola pro každou testovací várku. Lahvičky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touto vodou nepřesunujte mezi různými pracovními oblastmi PCR. Pro každou oblast je nutné použít samostatnou lahvičku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vodou, aby nedošlo ke kontaminaci.</w:t>
            </w:r>
          </w:p>
        </w:tc>
      </w:tr>
      <w:tr w:rsidR="001D3039" w:rsidRPr="00474E66" w14:paraId="0F34A560" w14:textId="77777777" w:rsidTr="00D743A6">
        <w:tc>
          <w:tcPr>
            <w:tcW w:w="8505" w:type="dxa"/>
            <w:gridSpan w:val="6"/>
          </w:tcPr>
          <w:p w14:paraId="048F797F" w14:textId="77777777" w:rsidR="001D3039" w:rsidRPr="00474E66" w:rsidRDefault="001D3039" w:rsidP="00D743A6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 xml:space="preserve">Poznámka: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tabulce na konci tohoto dokumentu je uveden popis symbolů používaných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příbalové informaci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na etiketě.</w:t>
            </w:r>
          </w:p>
        </w:tc>
      </w:tr>
    </w:tbl>
    <w:p w14:paraId="71B91C1A" w14:textId="77777777" w:rsidR="001D3039" w:rsidRPr="00474E66" w:rsidRDefault="001D3039" w:rsidP="00726964">
      <w:pPr>
        <w:widowControl/>
        <w:rPr>
          <w:rStyle w:val="FontStyle39"/>
          <w:rFonts w:asciiTheme="minorHAnsi" w:hAnsiTheme="minorHAnsi" w:cstheme="minorHAnsi"/>
          <w:sz w:val="22"/>
          <w:szCs w:val="22"/>
          <w:lang w:eastAsia="en-US"/>
        </w:rPr>
        <w:sectPr w:rsidR="001D3039" w:rsidRPr="00474E66" w:rsidSect="00D743A6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6578158B" w14:textId="77777777" w:rsidR="001D3039" w:rsidRPr="00474E66" w:rsidRDefault="001D3039" w:rsidP="00726964">
      <w:pPr>
        <w:pStyle w:val="Style6"/>
        <w:widowControl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lastRenderedPageBreak/>
        <w:t>Potřebné materiály, které nejsou součástí soupravy</w:t>
      </w:r>
    </w:p>
    <w:p w14:paraId="4ADF5854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before="53"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Komerční souprava pro extrakci DNA</w:t>
      </w:r>
    </w:p>
    <w:p w14:paraId="754C5864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Volitelné – centrifuga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rotorem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adaptéry pro destičky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více jamkami</w:t>
      </w:r>
    </w:p>
    <w:p w14:paraId="0CE7F848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Mikrocentrifuga pro odstřeďování mikrozkumavek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o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objemu 2 ml, která může dosáhnout 1500 až 3000 × g</w:t>
      </w:r>
    </w:p>
    <w:p w14:paraId="3A2C90B0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Vhodné osobní ochranné pomůcky (např. rukavice, laboratorní plášť)</w:t>
      </w:r>
    </w:p>
    <w:p w14:paraId="5AB7820F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Pipetové špičky odolné vůči aerosolům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neobsahující nukleázu</w:t>
      </w:r>
    </w:p>
    <w:p w14:paraId="4D055649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Sterilní mikrozkumavky pro přípravu směsi PCR</w:t>
      </w:r>
    </w:p>
    <w:p w14:paraId="60CC0A61" w14:textId="77777777" w:rsidR="001D3039" w:rsidRPr="00474E66" w:rsidRDefault="001D3039" w:rsidP="002C4C50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Pipety (5 až 1000 µl); speciální pipety pro přípravu směsi PCR</w:t>
      </w:r>
    </w:p>
    <w:p w14:paraId="0EB71F9B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96 nebo 384jamkové PCR destičky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optické adhezivní fólie/kryty destiček</w:t>
      </w:r>
    </w:p>
    <w:p w14:paraId="22443429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before="24" w:line="240" w:lineRule="auto"/>
        <w:ind w:left="154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Přístroj pro provádění 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reálném čase (Applied Biosystems® 7500, Applied Biosystems® 7500 Fast systém [standardní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rychlý režim], Applied Biosystems® QuantStudio™ 5, Agilent Mx3000P™, Agilent Mx3005P™, Agilent AriaMx, Bio-Rad CFX96 Touch™, Applied Biosystems QuantStudio™ Flex, Bio Molecular Systems Mic qPCR Cycler, QIAGEN Rotor-Gene® [pouze 72jamkový rotor], Roche LightCycler® 480 nebo podobný). </w:t>
      </w:r>
      <w:r w:rsidRPr="00474E66">
        <w:rPr>
          <w:rStyle w:val="FontStyle31"/>
          <w:rFonts w:asciiTheme="minorHAnsi" w:hAnsiTheme="minorHAnsi" w:cstheme="minorHAnsi"/>
          <w:sz w:val="22"/>
          <w:szCs w:val="22"/>
        </w:rPr>
        <w:t xml:space="preserve">Poznámka: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Přístroj Roche LC480 vyžaduje další kalibraci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nastavení softwaru. Informace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o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používání výše uvedených přístrojů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reagenciemi RealPCR vám poskytnou pracovníci odborné podpory IDEXX.</w:t>
      </w:r>
    </w:p>
    <w:p w14:paraId="2D91BAE0" w14:textId="77777777" w:rsidR="001D3039" w:rsidRPr="00474E66" w:rsidRDefault="001D3039" w:rsidP="00726964">
      <w:pPr>
        <w:pStyle w:val="Style6"/>
        <w:widowControl/>
        <w:spacing w:before="211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 xml:space="preserve">Laboratorní postupy </w:t>
      </w:r>
      <w:r w:rsidR="00AC0D08" w:rsidRPr="00474E66">
        <w:rPr>
          <w:rStyle w:val="FontStyle36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varování</w:t>
      </w:r>
    </w:p>
    <w:p w14:paraId="4ABADCC5" w14:textId="6EAED6D2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before="62"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Nepoužívejte reagencie po datu ex</w:t>
      </w:r>
      <w:r w:rsidR="00FF24CF" w:rsidRPr="00474E66">
        <w:rPr>
          <w:rStyle w:val="FontStyle39"/>
          <w:rFonts w:asciiTheme="minorHAnsi" w:hAnsiTheme="minorHAnsi" w:cstheme="minorHAnsi"/>
          <w:sz w:val="22"/>
          <w:szCs w:val="22"/>
        </w:rPr>
        <w:t>s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pirace.</w:t>
      </w:r>
    </w:p>
    <w:p w14:paraId="7DB450A6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Celý proces je nutné provádět za nepřítomnosti nukleázy.</w:t>
      </w:r>
    </w:p>
    <w:p w14:paraId="0986DD67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Při práci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reagenciemi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nukleovými kyselinami používejte rukavice bez pudru.</w:t>
      </w:r>
    </w:p>
    <w:p w14:paraId="15E87DE1" w14:textId="77777777" w:rsidR="001D3039" w:rsidRPr="00474E66" w:rsidRDefault="001D3039" w:rsidP="00726964">
      <w:pPr>
        <w:pStyle w:val="Style12"/>
        <w:widowControl/>
        <w:numPr>
          <w:ilvl w:val="0"/>
          <w:numId w:val="1"/>
        </w:numPr>
        <w:tabs>
          <w:tab w:val="left" w:pos="154"/>
        </w:tabs>
        <w:spacing w:before="24" w:line="240" w:lineRule="auto"/>
        <w:ind w:left="154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Pro zabránění zkřížené kontaminace provádějte veškeré příslušné činnosti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použitím špiček pipet bez nukleázy, které jsou odolné vůči aerosolům,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fyzicky separujte pracoviště, kde dochází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extrakci nukleové kyseliny (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manipulaci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ní), nastavení 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provádění PCR.</w:t>
      </w:r>
    </w:p>
    <w:p w14:paraId="1331E2D4" w14:textId="77777777" w:rsidR="001D3039" w:rsidRPr="00474E66" w:rsidRDefault="001D3039" w:rsidP="00726964">
      <w:pPr>
        <w:pStyle w:val="Style6"/>
        <w:widowControl/>
        <w:spacing w:before="192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Rekonstituce suchých složek</w:t>
      </w:r>
    </w:p>
    <w:p w14:paraId="7BD79A6E" w14:textId="40BCCAEA" w:rsidR="001D3039" w:rsidRPr="00474E66" w:rsidRDefault="001D3039" w:rsidP="00726964">
      <w:pPr>
        <w:pStyle w:val="Style5"/>
        <w:widowControl/>
        <w:spacing w:before="82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Směs PCV2/PCV3 DNA Mix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pozitivní kontrolu rekonstituujte pipetováním vody PCR Grade pro</w:t>
      </w:r>
      <w:r w:rsidR="00474E66" w:rsidRPr="00474E66">
        <w:rPr>
          <w:rStyle w:val="FontStyle39"/>
          <w:rFonts w:asciiTheme="minorHAnsi" w:hAnsiTheme="minorHAnsi" w:cstheme="minorHAnsi"/>
          <w:sz w:val="22"/>
          <w:szCs w:val="22"/>
        </w:rPr>
        <w:t>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dosažení objemu uvedeného na etiketě příslušné složky. Roztok nechte stát po dobu nejméně 10</w:t>
      </w:r>
      <w:r w:rsidR="00474E66" w:rsidRPr="00474E66">
        <w:rPr>
          <w:rStyle w:val="FontStyle39"/>
          <w:rFonts w:asciiTheme="minorHAnsi" w:hAnsiTheme="minorHAnsi" w:cstheme="minorHAnsi"/>
          <w:sz w:val="22"/>
          <w:szCs w:val="22"/>
        </w:rPr>
        <w:t>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minut při teplotě 18 až 26 °C. Před použitím promíchejte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krátce odstřeďte pomocí mikrocentrifugy. Po rekonstituci směsi PCV2/PCV3 DNA Mix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pozitivní kontroly připravte příslušné alikvoty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roztoky uchovávejte ve zmrazeném stavu. Zmražené složky nechte před použitím rozmrazit po dobu přibližně 15 až 30 minut při teplotě 18 až 26 °C, jemně je promíchejte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krátce odstřeďte pomocí mikrocentrifugy (~1 500 až 3 000 × g).</w:t>
      </w:r>
    </w:p>
    <w:p w14:paraId="194C6FBD" w14:textId="77777777" w:rsidR="001D3039" w:rsidRPr="00474E66" w:rsidRDefault="001D3039" w:rsidP="00726964">
      <w:pPr>
        <w:pStyle w:val="Style6"/>
        <w:widowControl/>
        <w:spacing w:before="182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Rekonstituce kvantifikačních standardů</w:t>
      </w:r>
    </w:p>
    <w:p w14:paraId="24677037" w14:textId="44743B49" w:rsidR="001D3039" w:rsidRPr="00474E66" w:rsidRDefault="001D3039" w:rsidP="00726964">
      <w:pPr>
        <w:pStyle w:val="Style5"/>
        <w:widowControl/>
        <w:spacing w:before="82" w:line="240" w:lineRule="auto"/>
        <w:jc w:val="both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Kvantifikační standardy RealPCR PCV2/PCV3 DNA Quantification Standards (#99-56720) mají dvě samostatné lahvičky obsahující syntetickou DNA PCV2 (PCV2 DNA QS)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syntetickou DNA PCV3 (PCV3 DNA QS). Datum ex</w:t>
      </w:r>
      <w:r w:rsidR="00FF24CF" w:rsidRPr="00474E66">
        <w:rPr>
          <w:rStyle w:val="FontStyle39"/>
          <w:rFonts w:asciiTheme="minorHAnsi" w:hAnsiTheme="minorHAnsi" w:cstheme="minorHAnsi"/>
          <w:sz w:val="22"/>
          <w:szCs w:val="22"/>
        </w:rPr>
        <w:t>s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pirace na lahvičce platí pro suchou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i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rekonstituovanou formu.</w:t>
      </w:r>
    </w:p>
    <w:p w14:paraId="2F48BD8E" w14:textId="77777777" w:rsidR="001D3039" w:rsidRPr="00474E66" w:rsidRDefault="001D3039" w:rsidP="00726964">
      <w:pPr>
        <w:pStyle w:val="Style5"/>
        <w:widowControl/>
        <w:spacing w:before="3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1"/>
          <w:rFonts w:asciiTheme="minorHAnsi" w:hAnsiTheme="minorHAnsi" w:cstheme="minorHAnsi"/>
          <w:sz w:val="22"/>
          <w:szCs w:val="22"/>
        </w:rPr>
        <w:t xml:space="preserve">Poznámka: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Kvantifikační standardy jsou dodávány ve vysoké koncentraci. Při těchto koncentracích hrozí zvýšené riziko kontaminace laboratoře a/nebo zařízení. Při manipulaci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materiálem dbejte zvýšené opatrnosti.</w:t>
      </w:r>
    </w:p>
    <w:p w14:paraId="149CC6AE" w14:textId="443179DD" w:rsidR="001D3039" w:rsidRPr="00474E66" w:rsidRDefault="001D3039" w:rsidP="00726964">
      <w:pPr>
        <w:pStyle w:val="Style5"/>
        <w:widowControl/>
        <w:spacing w:before="86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Před rekonstitucí neotevřené lahvičky krátce odstřeďte. Do každé lahvičky přidejte 100 µl vody PCR Grade Water pro konečnou koncentraci 1,0 x 10</w:t>
      </w:r>
      <w:r w:rsidRPr="00474E66">
        <w:rPr>
          <w:rStyle w:val="FontStyle39"/>
          <w:rFonts w:asciiTheme="minorHAnsi" w:hAnsiTheme="minorHAnsi" w:cstheme="minorHAnsi"/>
          <w:sz w:val="22"/>
          <w:szCs w:val="22"/>
          <w:vertAlign w:val="superscript"/>
        </w:rPr>
        <w:t>9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 kopií/ml [což odpovídá 5 milionům kopií/reakci] DNA PCV2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PCV3. Rekonstituované kvantifikační standardy je možné uchovávat ve zmrazeném stavu při teplotě &lt; -15</w:t>
      </w:r>
      <w:r w:rsidR="00494576"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°C po dobu až 6 měsíců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je možné je až 3x zmrazit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rozmrazit. Pro minimalizaci počtu rozmrazení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zmrazení připravujte příslušné alikvoty.</w:t>
      </w:r>
    </w:p>
    <w:p w14:paraId="5D7ECFBC" w14:textId="77777777" w:rsidR="001D3039" w:rsidRPr="00474E66" w:rsidRDefault="001D3039" w:rsidP="00726964">
      <w:pPr>
        <w:pStyle w:val="Style5"/>
        <w:widowControl/>
        <w:spacing w:before="86" w:line="240" w:lineRule="auto"/>
        <w:rPr>
          <w:rStyle w:val="FontStyle39"/>
          <w:rFonts w:asciiTheme="minorHAnsi" w:hAnsiTheme="minorHAnsi" w:cstheme="minorHAnsi"/>
          <w:sz w:val="22"/>
          <w:szCs w:val="22"/>
          <w:lang w:eastAsia="en-US"/>
        </w:rPr>
        <w:sectPr w:rsidR="001D3039" w:rsidRPr="00474E66" w:rsidSect="00D743A6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84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"/>
        <w:gridCol w:w="5289"/>
        <w:gridCol w:w="2835"/>
      </w:tblGrid>
      <w:tr w:rsidR="001D3039" w:rsidRPr="00474E66" w14:paraId="7A7D5C3C" w14:textId="77777777" w:rsidTr="008B3069"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446EC" w14:textId="77777777" w:rsidR="001D3039" w:rsidRPr="00474E66" w:rsidRDefault="001D3039" w:rsidP="00726964">
            <w:pPr>
              <w:pStyle w:val="Style7"/>
              <w:widowControl/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lastRenderedPageBreak/>
              <w:t>Extrakce DNA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51AD98" w14:textId="77777777" w:rsidR="001D3039" w:rsidRPr="00474E66" w:rsidRDefault="001D3039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039" w:rsidRPr="00474E66" w14:paraId="102ED52C" w14:textId="77777777" w:rsidTr="008B3069">
        <w:tc>
          <w:tcPr>
            <w:tcW w:w="8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85698" w14:textId="77777777" w:rsidR="001D3039" w:rsidRPr="00474E66" w:rsidRDefault="001D3039" w:rsidP="00726964">
            <w:pPr>
              <w:pStyle w:val="Style10"/>
              <w:widowControl/>
              <w:spacing w:line="240" w:lineRule="auto"/>
              <w:ind w:right="38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Směs PCV2/PCV3 DNA Mix byla validována pomocí níže uvedených komerčních extrakčních metod. Je možné použít také další metody extrakce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lýzy, pokud byly validovány </w:t>
            </w:r>
            <w:r w:rsidR="00AC0D08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laboratoři.</w:t>
            </w:r>
          </w:p>
        </w:tc>
      </w:tr>
      <w:tr w:rsidR="001D3039" w:rsidRPr="00474E66" w14:paraId="494D7285" w14:textId="77777777" w:rsidTr="008B3069">
        <w:tc>
          <w:tcPr>
            <w:tcW w:w="8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4A531" w14:textId="77777777" w:rsidR="001D3039" w:rsidRPr="00474E66" w:rsidRDefault="001D3039" w:rsidP="00726964">
            <w:pPr>
              <w:pStyle w:val="Style10"/>
              <w:widowControl/>
              <w:spacing w:line="240" w:lineRule="auto"/>
              <w:ind w:left="648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Souprava RealPCR* DNA/RNA Magnetic Bead Kit (IDEXX)</w:t>
            </w:r>
          </w:p>
          <w:p w14:paraId="00322916" w14:textId="77777777" w:rsidR="001D3039" w:rsidRPr="00474E66" w:rsidRDefault="001D3039" w:rsidP="00726964">
            <w:pPr>
              <w:pStyle w:val="Style10"/>
              <w:widowControl/>
              <w:spacing w:line="240" w:lineRule="auto"/>
              <w:ind w:left="648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Souprava RealPCR* DNA/RNA Spin Column Kit (IDEXX)</w:t>
            </w:r>
          </w:p>
          <w:p w14:paraId="1F5EF435" w14:textId="77777777" w:rsidR="001D3039" w:rsidRPr="00474E66" w:rsidRDefault="001D3039" w:rsidP="00726964">
            <w:pPr>
              <w:pStyle w:val="Style10"/>
              <w:widowControl/>
              <w:spacing w:line="240" w:lineRule="auto"/>
              <w:ind w:left="648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Souprava MagMAX™-96 Viral RNA Isolation Kit (Life Technologies)</w:t>
            </w:r>
          </w:p>
          <w:p w14:paraId="18CB461D" w14:textId="77777777" w:rsidR="001D3039" w:rsidRPr="00474E66" w:rsidRDefault="001D3039" w:rsidP="00726964">
            <w:pPr>
              <w:pStyle w:val="Style10"/>
              <w:widowControl/>
              <w:spacing w:line="240" w:lineRule="auto"/>
              <w:ind w:left="648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Souprava MagMAX™ CORE Nucleic Acid Purification Kit (Thermo Fisher Scientific)</w:t>
            </w:r>
          </w:p>
        </w:tc>
      </w:tr>
      <w:tr w:rsidR="001D3039" w:rsidRPr="00474E66" w14:paraId="1A79332A" w14:textId="77777777" w:rsidTr="008B3069">
        <w:tc>
          <w:tcPr>
            <w:tcW w:w="8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E8E02" w14:textId="68DE5B85" w:rsidR="001D3039" w:rsidRPr="00474E66" w:rsidRDefault="001D3039" w:rsidP="00726964">
            <w:pPr>
              <w:pStyle w:val="Style10"/>
              <w:widowControl/>
              <w:spacing w:line="240" w:lineRule="auto"/>
              <w:ind w:right="389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 xml:space="preserve">Pokud není test proveden okamžitě po extrakci DNA, uchovávejte </w:t>
            </w:r>
            <w:r w:rsidR="00494576"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pře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čištěnou DNA při</w:t>
            </w:r>
            <w:r w:rsid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74E66"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  <w:t>teplotě &lt; -15 °C. Jako vzorek by měla být zahrnuta také negativní kontrola pro extrakci („mock sample“).</w:t>
            </w:r>
          </w:p>
          <w:p w14:paraId="3B2F23B2" w14:textId="70F35130" w:rsidR="00B1392F" w:rsidRPr="00474E66" w:rsidRDefault="00B1392F" w:rsidP="00726964">
            <w:pPr>
              <w:pStyle w:val="Style10"/>
              <w:widowControl/>
              <w:spacing w:line="240" w:lineRule="auto"/>
              <w:ind w:right="389"/>
              <w:rPr>
                <w:rStyle w:val="FontStyle39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039" w:rsidRPr="00474E66" w14:paraId="17B7FF40" w14:textId="77777777" w:rsidTr="008B3069">
        <w:tc>
          <w:tcPr>
            <w:tcW w:w="84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ACA162" w14:textId="77777777" w:rsidR="001D3039" w:rsidRPr="00474E66" w:rsidRDefault="001D3039" w:rsidP="00726964">
            <w:pPr>
              <w:pStyle w:val="Style7"/>
              <w:widowControl/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t>Postup testu</w:t>
            </w:r>
          </w:p>
        </w:tc>
      </w:tr>
      <w:tr w:rsidR="001D3039" w:rsidRPr="00474E66" w14:paraId="2A784488" w14:textId="77777777" w:rsidTr="008B3069"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C7FB24" w14:textId="77777777" w:rsidR="001D3039" w:rsidRPr="00474E66" w:rsidRDefault="001D3039" w:rsidP="00726964">
            <w:pPr>
              <w:pStyle w:val="Style11"/>
              <w:widowControl/>
              <w:spacing w:line="240" w:lineRule="auto"/>
              <w:ind w:right="24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FA5317" w14:textId="39BBC927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Příprava směsi PCR</w:t>
            </w:r>
            <w:r w:rsidR="00494576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Master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Mix.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529057" w14:textId="77777777" w:rsidR="001D3039" w:rsidRPr="00474E66" w:rsidRDefault="001D3039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039" w:rsidRPr="00474E66" w14:paraId="2BC00FFD" w14:textId="77777777" w:rsidTr="008B3069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2E9D0AC" w14:textId="77777777" w:rsidR="001D3039" w:rsidRPr="00474E66" w:rsidRDefault="001D3039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74A53" w14:textId="77777777" w:rsidR="001D3039" w:rsidRPr="00474E66" w:rsidRDefault="001D3039" w:rsidP="00726964">
            <w:pPr>
              <w:pStyle w:val="Style20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>Rozmrazenou směs DNA MMx promíchejte převrácením nebo jemným vortexováním zkumavky.</w:t>
            </w:r>
          </w:p>
          <w:p w14:paraId="2FEB24F3" w14:textId="77777777" w:rsidR="001D3039" w:rsidRPr="00474E66" w:rsidRDefault="001D3039" w:rsidP="00726964">
            <w:pPr>
              <w:pStyle w:val="Style20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>DNA MMx je viskózní roztok, který je nutné pipetovat pomalu.</w:t>
            </w:r>
          </w:p>
          <w:p w14:paraId="6AF54D1A" w14:textId="623E8064" w:rsidR="001D3039" w:rsidRPr="00474E66" w:rsidRDefault="001D3039" w:rsidP="00726964">
            <w:pPr>
              <w:pStyle w:val="Style20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 xml:space="preserve">Směs PCR Mix připravíte aplikací 10 µl směsi PCV2/PCV3 DNA Mix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10 µl DNA MMx na</w:t>
            </w:r>
            <w:r w:rsidR="00474E66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každou reakci.</w:t>
            </w:r>
          </w:p>
          <w:p w14:paraId="5F9BBB94" w14:textId="1971F785" w:rsidR="001D3039" w:rsidRPr="00474E66" w:rsidRDefault="001D3039" w:rsidP="00726964">
            <w:pPr>
              <w:pStyle w:val="Style20"/>
              <w:widowControl/>
              <w:tabs>
                <w:tab w:val="left" w:pos="264"/>
              </w:tabs>
              <w:spacing w:line="240" w:lineRule="auto"/>
              <w:ind w:left="149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 xml:space="preserve">Při přípravě směsi PCR Mix nejprve pipetujte směs PCV2/PCV3 DNA Mix do zkumavky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poté přidejte směs DNA MMx. Propláchněte špičku pipety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MMx tak, že roztok několikrát nasajete do pipety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opět </w:t>
            </w:r>
            <w:r w:rsidR="00494576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jemně 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vypustíte.</w:t>
            </w:r>
          </w:p>
          <w:p w14:paraId="74781493" w14:textId="77777777" w:rsidR="001D3039" w:rsidRPr="00474E66" w:rsidRDefault="001D3039" w:rsidP="00726964">
            <w:pPr>
              <w:pStyle w:val="Style20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>Důkladně promíchejte jednotlivé složky mírným vortexováním roztoku.</w:t>
            </w:r>
          </w:p>
          <w:p w14:paraId="3DBA3640" w14:textId="77777777" w:rsidR="001D3039" w:rsidRPr="00474E66" w:rsidRDefault="001D3039" w:rsidP="00726964">
            <w:pPr>
              <w:pStyle w:val="Style20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ab/>
              <w:t>Směs PCR Mix pomalu pipetujte na PCR destičku.</w:t>
            </w:r>
          </w:p>
        </w:tc>
      </w:tr>
      <w:tr w:rsidR="001D3039" w:rsidRPr="00474E66" w14:paraId="6840417C" w14:textId="77777777" w:rsidTr="008B3069">
        <w:tc>
          <w:tcPr>
            <w:tcW w:w="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32357B" w14:textId="77777777" w:rsidR="001D3039" w:rsidRPr="00474E66" w:rsidRDefault="001D3039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3A579E" w14:textId="61B6B10D" w:rsidR="001D3039" w:rsidRPr="00474E66" w:rsidRDefault="001D3039" w:rsidP="00474E66">
            <w:pPr>
              <w:pStyle w:val="Style19"/>
              <w:widowControl/>
              <w:spacing w:line="240" w:lineRule="auto"/>
              <w:ind w:right="965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Směs PCR Mix je možné uchovávat po dobu 24 hodin při teplotě 2 až 8 °C nebo</w:t>
            </w:r>
            <w:r w:rsidR="00474E66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 dobu 2 týdnů při teplotě -25 až -15 °C. Chraňte před světlem.</w:t>
            </w:r>
          </w:p>
        </w:tc>
      </w:tr>
      <w:tr w:rsidR="001D3039" w:rsidRPr="00474E66" w14:paraId="2C342FC8" w14:textId="77777777" w:rsidTr="008B3069">
        <w:tc>
          <w:tcPr>
            <w:tcW w:w="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1D10E9" w14:textId="77777777" w:rsidR="001D3039" w:rsidRPr="00474E66" w:rsidRDefault="001D3039" w:rsidP="00726964">
            <w:pPr>
              <w:pStyle w:val="Style11"/>
              <w:widowControl/>
              <w:spacing w:line="240" w:lineRule="auto"/>
              <w:ind w:right="5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E6C78" w14:textId="3F1C0399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Pipetou </w:t>
            </w:r>
            <w:r w:rsidR="00494576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přeneste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20 µl směsi PCR Mix do příslušných jamek destičky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více jamkami.</w:t>
            </w:r>
          </w:p>
        </w:tc>
      </w:tr>
      <w:tr w:rsidR="001D3039" w:rsidRPr="00474E66" w14:paraId="2B082CE4" w14:textId="77777777" w:rsidTr="008B3069">
        <w:tc>
          <w:tcPr>
            <w:tcW w:w="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19CC9E" w14:textId="77777777" w:rsidR="001D3039" w:rsidRPr="00474E66" w:rsidRDefault="001D3039" w:rsidP="00726964">
            <w:pPr>
              <w:pStyle w:val="Style11"/>
              <w:widowControl/>
              <w:spacing w:line="240" w:lineRule="auto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BB5BF" w14:textId="77777777" w:rsidR="001D3039" w:rsidRPr="00474E66" w:rsidRDefault="001D3039" w:rsidP="009422E8">
            <w:pPr>
              <w:pStyle w:val="Style19"/>
              <w:widowControl/>
              <w:spacing w:line="240" w:lineRule="auto"/>
              <w:jc w:val="left"/>
              <w:rPr>
                <w:rStyle w:val="FontStyle32"/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Do každé jamky přeneste 5 µl vzorku DNA. Konečný objem pro reakci je 25 µl.</w:t>
            </w:r>
          </w:p>
        </w:tc>
      </w:tr>
      <w:tr w:rsidR="001D3039" w:rsidRPr="00474E66" w14:paraId="0591EAB8" w14:textId="77777777" w:rsidTr="008B3069">
        <w:tc>
          <w:tcPr>
            <w:tcW w:w="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EEBC2" w14:textId="77777777" w:rsidR="001D3039" w:rsidRPr="00474E66" w:rsidRDefault="001D3039" w:rsidP="00726964">
            <w:pPr>
              <w:pStyle w:val="Style11"/>
              <w:widowControl/>
              <w:spacing w:line="240" w:lineRule="auto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775E1" w14:textId="77777777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Pro každou testovací várku přidejte pozitivní kontrolu (5 µl)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PCR negativní kontrolu (5 µl vody PCR Grade Water).</w:t>
            </w:r>
          </w:p>
        </w:tc>
      </w:tr>
      <w:tr w:rsidR="001D3039" w:rsidRPr="00474E66" w14:paraId="75F08C9E" w14:textId="77777777" w:rsidTr="008B3069">
        <w:tc>
          <w:tcPr>
            <w:tcW w:w="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E64E3D" w14:textId="77777777" w:rsidR="001D3039" w:rsidRPr="00474E66" w:rsidRDefault="001D3039" w:rsidP="00726964">
            <w:pPr>
              <w:pStyle w:val="Style11"/>
              <w:widowControl/>
              <w:spacing w:line="240" w:lineRule="auto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4593F" w14:textId="3406B1B4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Destičku uzavřete krytem,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pokud je třeba, jemně ji odstřeďte, aby se obsah jamek usadil </w:t>
            </w:r>
            <w:r w:rsidR="00AC0D08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uvolnily se vzduchové bublinky.</w:t>
            </w:r>
          </w:p>
        </w:tc>
      </w:tr>
      <w:tr w:rsidR="001D3039" w:rsidRPr="00474E66" w14:paraId="35F6A666" w14:textId="77777777" w:rsidTr="008B3069">
        <w:trPr>
          <w:trHeight w:val="732"/>
        </w:trPr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4F7539" w14:textId="77777777" w:rsidR="001D3039" w:rsidRPr="00474E66" w:rsidRDefault="001D3039" w:rsidP="00726964">
            <w:pPr>
              <w:pStyle w:val="Style11"/>
              <w:widowControl/>
              <w:spacing w:line="240" w:lineRule="auto"/>
              <w:jc w:val="right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1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11C1FD" w14:textId="5DEB1D0B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Pomocí programu IDEXX RealPCR Standard DNA/RNA Cycling Program nastavte termocykler.</w:t>
            </w:r>
          </w:p>
          <w:p w14:paraId="1FC60E15" w14:textId="77777777" w:rsidR="008B3069" w:rsidRPr="00474E66" w:rsidRDefault="008B306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0B50CDDF" w14:textId="2482916D" w:rsidR="008B3069" w:rsidRPr="00474E66" w:rsidRDefault="008B306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58E881" w14:textId="0115DD07" w:rsidR="008B3069" w:rsidRPr="00474E66" w:rsidRDefault="008B3069" w:rsidP="00726964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46"/>
        <w:tblW w:w="5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0"/>
        <w:gridCol w:w="110"/>
        <w:gridCol w:w="1872"/>
        <w:gridCol w:w="1608"/>
      </w:tblGrid>
      <w:tr w:rsidR="0030390A" w:rsidRPr="00474E66" w14:paraId="19D2DE2E" w14:textId="77777777" w:rsidTr="0030390A"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D88" w14:textId="77777777" w:rsidR="0030390A" w:rsidRPr="00474E66" w:rsidRDefault="0030390A" w:rsidP="0030390A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Nastavení reportéru a zhášeče</w:t>
            </w:r>
          </w:p>
        </w:tc>
      </w:tr>
      <w:tr w:rsidR="0030390A" w:rsidRPr="00474E66" w14:paraId="5EB13BC7" w14:textId="77777777" w:rsidTr="0030390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109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Cíl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C431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869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Reportér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DA52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Zhášeč</w:t>
            </w:r>
          </w:p>
        </w:tc>
      </w:tr>
      <w:tr w:rsidR="0030390A" w:rsidRPr="00474E66" w14:paraId="6A653FC1" w14:textId="77777777" w:rsidTr="0030390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F1FC7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PCV2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102" w14:textId="77777777" w:rsidR="0030390A" w:rsidRPr="00474E66" w:rsidRDefault="0030390A" w:rsidP="0030390A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499CA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FAM™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CBFD5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BHQ®</w:t>
            </w:r>
          </w:p>
          <w:p w14:paraId="45084C55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(není)</w:t>
            </w:r>
          </w:p>
        </w:tc>
      </w:tr>
      <w:tr w:rsidR="0030390A" w:rsidRPr="00474E66" w14:paraId="4729EADF" w14:textId="77777777" w:rsidTr="0030390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BB803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PCV3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051" w14:textId="77777777" w:rsidR="0030390A" w:rsidRPr="00474E66" w:rsidRDefault="0030390A" w:rsidP="0030390A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D7C7A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Cy5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D2146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BHQ</w:t>
            </w:r>
          </w:p>
          <w:p w14:paraId="14E242D0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(není)</w:t>
            </w:r>
          </w:p>
        </w:tc>
      </w:tr>
      <w:tr w:rsidR="0030390A" w:rsidRPr="00474E66" w14:paraId="46BDFEFC" w14:textId="77777777" w:rsidTr="0030390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44787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Interní kontrola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9B4" w14:textId="77777777" w:rsidR="0030390A" w:rsidRPr="00474E66" w:rsidRDefault="0030390A" w:rsidP="0030390A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ED90E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HEX™ (VIC®)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9BFAF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BHQ</w:t>
            </w:r>
          </w:p>
          <w:p w14:paraId="585B6EFF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(není)</w:t>
            </w:r>
          </w:p>
        </w:tc>
      </w:tr>
      <w:tr w:rsidR="0030390A" w:rsidRPr="00474E66" w14:paraId="0475E1C2" w14:textId="77777777" w:rsidTr="0030390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BD4EE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Pasivní reference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799" w14:textId="77777777" w:rsidR="0030390A" w:rsidRPr="00474E66" w:rsidRDefault="0030390A" w:rsidP="0030390A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157B5" w14:textId="77777777" w:rsidR="0030390A" w:rsidRPr="00474E66" w:rsidRDefault="0030390A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ROX™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A467" w14:textId="77777777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14:paraId="3ECD0FEA" w14:textId="5BE84A97" w:rsidR="008B3069" w:rsidRPr="00474E66" w:rsidRDefault="008B3069" w:rsidP="008B3069">
      <w:pPr>
        <w:rPr>
          <w:rFonts w:asciiTheme="minorHAnsi" w:hAnsiTheme="minorHAnsi" w:cstheme="minorHAnsi"/>
          <w:sz w:val="22"/>
          <w:szCs w:val="22"/>
        </w:rPr>
      </w:pPr>
    </w:p>
    <w:p w14:paraId="79826C34" w14:textId="1B7DEF91" w:rsidR="008B3069" w:rsidRPr="00474E66" w:rsidRDefault="008B3069" w:rsidP="008B3069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495C5E13" w14:textId="7791D4EB" w:rsidR="008B3069" w:rsidRPr="00474E66" w:rsidRDefault="008B3069" w:rsidP="008B3069">
      <w:pPr>
        <w:rPr>
          <w:rFonts w:asciiTheme="minorHAnsi" w:hAnsiTheme="minorHAnsi" w:cstheme="minorHAnsi"/>
          <w:sz w:val="22"/>
          <w:szCs w:val="22"/>
        </w:rPr>
      </w:pPr>
    </w:p>
    <w:p w14:paraId="30A2294B" w14:textId="77777777" w:rsidR="001D3039" w:rsidRPr="00474E66" w:rsidRDefault="001D3039" w:rsidP="008B3069">
      <w:pPr>
        <w:rPr>
          <w:rFonts w:asciiTheme="minorHAnsi" w:hAnsiTheme="minorHAnsi" w:cstheme="minorHAnsi"/>
          <w:sz w:val="22"/>
          <w:szCs w:val="22"/>
        </w:rPr>
        <w:sectPr w:rsidR="001D3039" w:rsidRPr="00474E66" w:rsidSect="00D743A6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67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5"/>
        <w:gridCol w:w="1276"/>
        <w:gridCol w:w="1417"/>
        <w:gridCol w:w="1701"/>
      </w:tblGrid>
      <w:tr w:rsidR="0030390A" w:rsidRPr="00474E66" w14:paraId="7DACBBBA" w14:textId="77777777" w:rsidTr="00432904">
        <w:trPr>
          <w:trHeight w:val="756"/>
        </w:trPr>
        <w:tc>
          <w:tcPr>
            <w:tcW w:w="6759" w:type="dxa"/>
            <w:gridSpan w:val="4"/>
            <w:vAlign w:val="center"/>
          </w:tcPr>
          <w:p w14:paraId="5FDB5DDC" w14:textId="41349284" w:rsidR="0030390A" w:rsidRPr="00474E66" w:rsidRDefault="0030390A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Program RealPCR* Standard DNA/RNA Cycling Program</w:t>
            </w:r>
          </w:p>
        </w:tc>
      </w:tr>
      <w:tr w:rsidR="0030390A" w:rsidRPr="00474E66" w14:paraId="5F82A756" w14:textId="77777777" w:rsidTr="00271D5F">
        <w:tc>
          <w:tcPr>
            <w:tcW w:w="2365" w:type="dxa"/>
            <w:vAlign w:val="center"/>
          </w:tcPr>
          <w:p w14:paraId="3687C6D8" w14:textId="77777777" w:rsidR="0030390A" w:rsidRPr="00474E66" w:rsidRDefault="0030390A" w:rsidP="0030390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E41D9F" w14:textId="3FF99BA2" w:rsidR="0030390A" w:rsidRPr="00474E66" w:rsidRDefault="0030390A" w:rsidP="0030390A">
            <w:pPr>
              <w:pStyle w:val="Style22"/>
              <w:widowControl/>
              <w:spacing w:line="240" w:lineRule="auto"/>
              <w:ind w:left="355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Teplota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51055F" w14:textId="00E6AF84" w:rsidR="0030390A" w:rsidRPr="00474E66" w:rsidRDefault="0030390A" w:rsidP="0030390A">
            <w:pPr>
              <w:pStyle w:val="Style22"/>
              <w:widowControl/>
              <w:spacing w:line="240" w:lineRule="auto"/>
              <w:ind w:left="302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Čas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185BB3" w14:textId="5FA44F0A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Cykly</w:t>
            </w:r>
          </w:p>
        </w:tc>
      </w:tr>
      <w:tr w:rsidR="0030390A" w:rsidRPr="00474E66" w14:paraId="3127CB94" w14:textId="77777777" w:rsidTr="00271D5F"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401F0705" w14:textId="77777777" w:rsidR="0030390A" w:rsidRPr="00474E66" w:rsidRDefault="0030390A" w:rsidP="0030390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Reverzní transkripce</w:t>
            </w:r>
          </w:p>
          <w:p w14:paraId="015D325F" w14:textId="77777777" w:rsidR="0030390A" w:rsidRPr="00474E66" w:rsidRDefault="0030390A" w:rsidP="0030390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(RT)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621B09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55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50 °C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B40EC6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02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15 min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D37477" w14:textId="68EF4B15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390A" w:rsidRPr="00474E66" w14:paraId="00723F2B" w14:textId="77777777" w:rsidTr="00271D5F"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6EE116AC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17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Denaturace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2FBD7E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55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95 °C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857219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41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 min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7DE977" w14:textId="3F205698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390A" w:rsidRPr="00474E66" w14:paraId="5C019987" w14:textId="77777777" w:rsidTr="00271D5F">
        <w:trPr>
          <w:trHeight w:val="607"/>
        </w:trPr>
        <w:tc>
          <w:tcPr>
            <w:tcW w:w="2365" w:type="dxa"/>
            <w:vMerge w:val="restart"/>
            <w:shd w:val="clear" w:color="auto" w:fill="F2F2F2" w:themeFill="background1" w:themeFillShade="F2"/>
            <w:vAlign w:val="center"/>
          </w:tcPr>
          <w:p w14:paraId="2524B23F" w14:textId="77777777" w:rsidR="0030390A" w:rsidRPr="00474E66" w:rsidRDefault="0030390A" w:rsidP="0030390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AFB7A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283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Amplifikace**</w:t>
            </w:r>
          </w:p>
          <w:p w14:paraId="1E8E2255" w14:textId="77777777" w:rsidR="0030390A" w:rsidRPr="00474E66" w:rsidRDefault="0030390A" w:rsidP="0030390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D465" w14:textId="77777777" w:rsidR="0030390A" w:rsidRPr="00474E66" w:rsidRDefault="0030390A" w:rsidP="0030390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192D8" w14:textId="77777777" w:rsidR="0030390A" w:rsidRPr="00474E66" w:rsidRDefault="0030390A" w:rsidP="0030390A">
            <w:pPr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2B43CF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55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95 °C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D51FC8" w14:textId="6D2C53B2" w:rsidR="0030390A" w:rsidRPr="00474E66" w:rsidRDefault="0030390A" w:rsidP="0030390A">
            <w:pPr>
              <w:pStyle w:val="Style22"/>
              <w:widowControl/>
              <w:spacing w:line="240" w:lineRule="auto"/>
              <w:ind w:left="307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15 s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EBF45C2" w14:textId="56A6E99F" w:rsidR="0030390A" w:rsidRPr="00474E66" w:rsidRDefault="0030390A" w:rsidP="0030390A">
            <w:pPr>
              <w:pStyle w:val="Style15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45</w:t>
            </w:r>
          </w:p>
          <w:p w14:paraId="7AE3F226" w14:textId="77777777" w:rsidR="0030390A" w:rsidRPr="00474E66" w:rsidRDefault="0030390A" w:rsidP="0030390A">
            <w:pPr>
              <w:pStyle w:val="Style22"/>
              <w:widowControl/>
              <w:spacing w:line="240" w:lineRule="auto"/>
              <w:ind w:left="302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E68ED0" w14:textId="417B023C" w:rsidR="0030390A" w:rsidRPr="00474E66" w:rsidRDefault="0030390A" w:rsidP="0030390A">
            <w:pPr>
              <w:pStyle w:val="Style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90A" w:rsidRPr="00474E66" w14:paraId="7C06BF64" w14:textId="77777777" w:rsidTr="00271D5F">
        <w:trPr>
          <w:trHeight w:val="456"/>
        </w:trPr>
        <w:tc>
          <w:tcPr>
            <w:tcW w:w="2365" w:type="dxa"/>
            <w:vMerge/>
            <w:shd w:val="clear" w:color="auto" w:fill="F2F2F2" w:themeFill="background1" w:themeFillShade="F2"/>
            <w:vAlign w:val="center"/>
          </w:tcPr>
          <w:p w14:paraId="05D596A4" w14:textId="77777777" w:rsidR="0030390A" w:rsidRPr="00474E66" w:rsidRDefault="0030390A" w:rsidP="0072696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00CEA4" w14:textId="576289AF" w:rsidR="0030390A" w:rsidRPr="00474E66" w:rsidRDefault="00432904" w:rsidP="0030390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390A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60 °C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046B35" w14:textId="2A018F43" w:rsidR="0030390A" w:rsidRPr="00474E66" w:rsidRDefault="0030390A" w:rsidP="0030390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  30 s</w:t>
            </w:r>
          </w:p>
        </w:tc>
        <w:tc>
          <w:tcPr>
            <w:tcW w:w="1701" w:type="dxa"/>
            <w:vMerge/>
            <w:vAlign w:val="center"/>
          </w:tcPr>
          <w:p w14:paraId="63F65423" w14:textId="77777777" w:rsidR="0030390A" w:rsidRPr="00474E66" w:rsidRDefault="0030390A" w:rsidP="00726964">
            <w:pPr>
              <w:pStyle w:val="Style15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6DC12A" w14:textId="7BAE4B87" w:rsidR="0030390A" w:rsidRPr="00474E66" w:rsidRDefault="0030390A" w:rsidP="00726964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7662B59" w14:textId="77777777" w:rsidR="0030390A" w:rsidRPr="00474E66" w:rsidRDefault="0030390A" w:rsidP="0030390A">
      <w:pPr>
        <w:pStyle w:val="Style22"/>
        <w:widowControl/>
        <w:spacing w:line="240" w:lineRule="auto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**Nastavte přístroj tak, aby zaznamenával fluorescenci až po amplifikaci při 60 °C.</w:t>
      </w:r>
    </w:p>
    <w:p w14:paraId="78F30712" w14:textId="3569E35F" w:rsidR="0030390A" w:rsidRPr="00474E66" w:rsidRDefault="0030390A" w:rsidP="0030390A">
      <w:pPr>
        <w:pStyle w:val="Style22"/>
        <w:widowControl/>
        <w:spacing w:line="240" w:lineRule="auto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1"/>
          <w:rFonts w:asciiTheme="minorHAnsi" w:hAnsiTheme="minorHAnsi" w:cstheme="minorHAnsi"/>
          <w:sz w:val="22"/>
          <w:szCs w:val="22"/>
        </w:rPr>
        <w:t xml:space="preserve">Poznámka: 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Pro cíle DNA je možné spustit </w:t>
      </w:r>
      <w:r w:rsidR="00494576" w:rsidRPr="00474E66">
        <w:rPr>
          <w:rStyle w:val="FontStyle37"/>
          <w:rFonts w:asciiTheme="minorHAnsi" w:hAnsiTheme="minorHAnsi" w:cstheme="minorHAnsi"/>
          <w:sz w:val="22"/>
          <w:szCs w:val="22"/>
        </w:rPr>
        <w:t>standardní</w:t>
      </w:r>
      <w:r w:rsid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 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protokol bez kroku RNA „RT“. Doporučujeme nicméně krok „RT“ používat rutinně, aby bylo možné testy RNA snadněji zařadit do pracovního postupu.</w:t>
      </w:r>
    </w:p>
    <w:p w14:paraId="16296B7B" w14:textId="77777777" w:rsidR="0030390A" w:rsidRPr="00474E66" w:rsidRDefault="0030390A" w:rsidP="0030390A">
      <w:pPr>
        <w:pStyle w:val="Style22"/>
        <w:widowControl/>
        <w:spacing w:line="240" w:lineRule="auto"/>
        <w:rPr>
          <w:rStyle w:val="FontStyle37"/>
          <w:rFonts w:asciiTheme="minorHAnsi" w:hAnsiTheme="minorHAnsi" w:cstheme="minorHAnsi"/>
          <w:b/>
          <w:sz w:val="22"/>
          <w:szCs w:val="22"/>
        </w:rPr>
      </w:pPr>
    </w:p>
    <w:p w14:paraId="7DA7EE50" w14:textId="6302C0D1" w:rsidR="0030390A" w:rsidRPr="00474E66" w:rsidRDefault="0030390A" w:rsidP="0030390A">
      <w:pPr>
        <w:pStyle w:val="Style22"/>
        <w:widowControl/>
        <w:spacing w:line="240" w:lineRule="auto"/>
        <w:rPr>
          <w:rStyle w:val="FontStyle37"/>
          <w:rFonts w:asciiTheme="minorHAnsi" w:hAnsiTheme="minorHAnsi" w:cstheme="minorHAnsi"/>
          <w:sz w:val="22"/>
          <w:szCs w:val="22"/>
          <w:u w:val="single"/>
        </w:rPr>
      </w:pPr>
      <w:r w:rsidRPr="00474E66">
        <w:rPr>
          <w:rStyle w:val="FontStyle37"/>
          <w:rFonts w:asciiTheme="minorHAnsi" w:hAnsiTheme="minorHAnsi" w:cstheme="minorHAnsi"/>
          <w:b/>
          <w:sz w:val="22"/>
          <w:szCs w:val="22"/>
        </w:rPr>
        <w:t>7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 </w:t>
      </w:r>
      <w:r w:rsidRPr="00474E66">
        <w:rPr>
          <w:rStyle w:val="FontStyle37"/>
          <w:rFonts w:asciiTheme="minorHAnsi" w:hAnsiTheme="minorHAnsi" w:cstheme="minorHAnsi"/>
          <w:sz w:val="22"/>
          <w:szCs w:val="22"/>
          <w:u w:val="single"/>
        </w:rPr>
        <w:t>Analýza dat</w:t>
      </w:r>
    </w:p>
    <w:p w14:paraId="7BABFB6C" w14:textId="77777777" w:rsidR="0094648E" w:rsidRPr="00474E66" w:rsidRDefault="0094648E" w:rsidP="0030390A">
      <w:pPr>
        <w:pStyle w:val="Style22"/>
        <w:widowControl/>
        <w:spacing w:line="240" w:lineRule="auto"/>
        <w:rPr>
          <w:rStyle w:val="FontStyle37"/>
          <w:rFonts w:asciiTheme="minorHAnsi" w:hAnsiTheme="minorHAnsi" w:cstheme="minorHAnsi"/>
          <w:sz w:val="22"/>
          <w:szCs w:val="22"/>
        </w:rPr>
      </w:pPr>
    </w:p>
    <w:p w14:paraId="2E6E6B53" w14:textId="77777777" w:rsidR="0030390A" w:rsidRPr="00474E66" w:rsidRDefault="0030390A" w:rsidP="0030390A">
      <w:pPr>
        <w:pStyle w:val="Style19"/>
        <w:widowControl/>
        <w:spacing w:line="240" w:lineRule="auto"/>
        <w:ind w:right="163"/>
        <w:jc w:val="left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Při nastavování softwaru přístroje zadejte každému cíli a interní kontrole unikátní identifikátor. Příklad: Pokud jsou cíle A a B na téže destičce, jamky A musí být analyzovány nezávisle na jamkách B. Způsob analýzy dat je uveden v konkrétním návodu k použití daného přístroje. Pro nastavení prahu použijte funkci Auto Ct.</w:t>
      </w:r>
    </w:p>
    <w:p w14:paraId="5D181728" w14:textId="77777777" w:rsidR="0030390A" w:rsidRPr="00474E66" w:rsidRDefault="0030390A" w:rsidP="0030390A">
      <w:pPr>
        <w:pStyle w:val="Style20"/>
        <w:widowControl/>
        <w:tabs>
          <w:tab w:val="left" w:pos="288"/>
        </w:tabs>
        <w:spacing w:line="240" w:lineRule="auto"/>
        <w:ind w:left="149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•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ab/>
        <w:t>Agilent Mx3000P a Mx3005P – pro analýzu je nutné používat metodu fluorescence s prahovou hodnotou založenou na pozadí (background-based threshold fluorescence method).</w:t>
      </w:r>
    </w:p>
    <w:p w14:paraId="003D48BB" w14:textId="77777777" w:rsidR="0030390A" w:rsidRPr="00474E66" w:rsidRDefault="0030390A" w:rsidP="0030390A">
      <w:pPr>
        <w:pStyle w:val="Style20"/>
        <w:widowControl/>
        <w:tabs>
          <w:tab w:val="left" w:pos="288"/>
        </w:tabs>
        <w:spacing w:line="240" w:lineRule="auto"/>
        <w:ind w:left="149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•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ab/>
        <w:t>Přístroj QIAGEN Rotor-Gene – ručně nastavte prahovou přímku nad pozadí v lineární fázi exponenciální amplifikace. To lze nejsnáze provést v „log“ zobrazení grafů. Tento krok je třeba opakovat pro každý reportér v cílové směsi.</w:t>
      </w:r>
    </w:p>
    <w:p w14:paraId="689478E5" w14:textId="43355DC6" w:rsidR="0030390A" w:rsidRPr="00474E66" w:rsidRDefault="0030390A" w:rsidP="0030390A">
      <w:pPr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•</w:t>
      </w:r>
      <w:r w:rsidR="00702DA3" w:rsidRPr="00474E66">
        <w:rPr>
          <w:rStyle w:val="FontStyle37"/>
          <w:rFonts w:asciiTheme="minorHAnsi" w:hAnsiTheme="minorHAnsi" w:cstheme="minorHAnsi"/>
          <w:sz w:val="22"/>
          <w:szCs w:val="22"/>
        </w:rPr>
        <w:t xml:space="preserve"> 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Přístroje Applied Biosystems – automatické nastavení prahů v některých situacích nepřináší uspokojivé výsledky. V takových případech je nutné Ct hodnoty určit ručním nastavením prahu. To lze nejsnáze provést v „log“ zobrazení grafů. Tento krok je třeba opakovat pro každý reportér v cílové směsi.</w:t>
      </w:r>
    </w:p>
    <w:p w14:paraId="1EC3CCA2" w14:textId="77777777" w:rsidR="0030390A" w:rsidRPr="00474E66" w:rsidRDefault="0030390A" w:rsidP="003039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1701"/>
        <w:gridCol w:w="1985"/>
        <w:gridCol w:w="2693"/>
      </w:tblGrid>
      <w:tr w:rsidR="0094648E" w:rsidRPr="00474E66" w14:paraId="460802D5" w14:textId="77777777" w:rsidTr="0094648E">
        <w:tc>
          <w:tcPr>
            <w:tcW w:w="8602" w:type="dxa"/>
            <w:gridSpan w:val="4"/>
            <w:vAlign w:val="center"/>
          </w:tcPr>
          <w:p w14:paraId="2A3ECB3F" w14:textId="76BCEB71" w:rsidR="0094648E" w:rsidRPr="00474E66" w:rsidRDefault="0094648E" w:rsidP="0094648E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Kritéria validity</w:t>
            </w:r>
          </w:p>
        </w:tc>
      </w:tr>
      <w:tr w:rsidR="0094648E" w:rsidRPr="00474E66" w14:paraId="0916E9C7" w14:textId="77777777" w:rsidTr="0094648E">
        <w:tc>
          <w:tcPr>
            <w:tcW w:w="2223" w:type="dxa"/>
            <w:vAlign w:val="center"/>
          </w:tcPr>
          <w:p w14:paraId="0E65228D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Reakce</w:t>
            </w:r>
          </w:p>
        </w:tc>
        <w:tc>
          <w:tcPr>
            <w:tcW w:w="1701" w:type="dxa"/>
            <w:vAlign w:val="center"/>
          </w:tcPr>
          <w:p w14:paraId="58EB4447" w14:textId="77777777" w:rsidR="0094648E" w:rsidRPr="00474E66" w:rsidRDefault="0094648E" w:rsidP="00D8629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Hodnota FAM™ Ct</w:t>
            </w:r>
          </w:p>
        </w:tc>
        <w:tc>
          <w:tcPr>
            <w:tcW w:w="1985" w:type="dxa"/>
            <w:vAlign w:val="center"/>
          </w:tcPr>
          <w:p w14:paraId="54A73574" w14:textId="77777777" w:rsidR="0094648E" w:rsidRPr="00474E66" w:rsidRDefault="0094648E" w:rsidP="00D8629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Hodnota Cy5 Ct</w:t>
            </w:r>
          </w:p>
        </w:tc>
        <w:tc>
          <w:tcPr>
            <w:tcW w:w="2693" w:type="dxa"/>
            <w:vAlign w:val="center"/>
          </w:tcPr>
          <w:p w14:paraId="2DBA7EEE" w14:textId="77777777" w:rsidR="0094648E" w:rsidRPr="00474E66" w:rsidRDefault="0094648E" w:rsidP="00D8629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Hodnota HEX™ (VIC®) Ct</w:t>
            </w:r>
          </w:p>
        </w:tc>
      </w:tr>
      <w:tr w:rsidR="0094648E" w:rsidRPr="00474E66" w14:paraId="103300C5" w14:textId="77777777" w:rsidTr="00F33EC8"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2EC6C8F2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 kontrola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17B0C7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&lt;38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E572FE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&lt;38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B797D06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&lt;38</w:t>
            </w:r>
          </w:p>
        </w:tc>
      </w:tr>
      <w:tr w:rsidR="0094648E" w:rsidRPr="00474E66" w14:paraId="11D55FE2" w14:textId="77777777" w:rsidTr="00F33EC8"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1FE5AA24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PCR</w:t>
            </w:r>
          </w:p>
          <w:p w14:paraId="48BCE651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Negativní kontrola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DC96F5" w14:textId="44FA7D5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žádný</w:t>
            </w:r>
          </w:p>
          <w:p w14:paraId="5697ED33" w14:textId="723FAD01" w:rsidR="0094648E" w:rsidRPr="00474E66" w:rsidRDefault="00D670FC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</w:t>
            </w:r>
            <w:r w:rsidR="0094648E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ignál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73A036" w14:textId="363D783E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žádný</w:t>
            </w:r>
          </w:p>
          <w:p w14:paraId="77D5F38F" w14:textId="29AD2D39" w:rsidR="0094648E" w:rsidRPr="00474E66" w:rsidRDefault="00D670FC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</w:t>
            </w:r>
            <w:r w:rsidR="0094648E"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ignál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5ED9AC6" w14:textId="77777777" w:rsidR="0094648E" w:rsidRPr="00474E66" w:rsidRDefault="0094648E" w:rsidP="00D8629A">
            <w:pPr>
              <w:pStyle w:val="Style22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&gt;36</w:t>
            </w:r>
          </w:p>
        </w:tc>
      </w:tr>
    </w:tbl>
    <w:p w14:paraId="3DD98862" w14:textId="5D51E886" w:rsidR="0030390A" w:rsidRPr="00474E66" w:rsidRDefault="0030390A" w:rsidP="0030390A">
      <w:pPr>
        <w:rPr>
          <w:rFonts w:asciiTheme="minorHAnsi" w:hAnsiTheme="minorHAnsi" w:cstheme="minorHAnsi"/>
          <w:sz w:val="22"/>
          <w:szCs w:val="22"/>
        </w:rPr>
      </w:pPr>
    </w:p>
    <w:p w14:paraId="2A523D1D" w14:textId="2FFF529C" w:rsidR="0030390A" w:rsidRPr="00474E66" w:rsidRDefault="0030390A" w:rsidP="0030390A">
      <w:pPr>
        <w:rPr>
          <w:rFonts w:asciiTheme="minorHAnsi" w:hAnsiTheme="minorHAnsi" w:cstheme="minorHAnsi"/>
          <w:sz w:val="22"/>
          <w:szCs w:val="22"/>
        </w:rPr>
      </w:pPr>
    </w:p>
    <w:p w14:paraId="7110F2AD" w14:textId="77777777" w:rsidR="001D3039" w:rsidRPr="00474E66" w:rsidRDefault="001D3039" w:rsidP="0030390A">
      <w:pPr>
        <w:rPr>
          <w:rFonts w:asciiTheme="minorHAnsi" w:hAnsiTheme="minorHAnsi" w:cstheme="minorHAnsi"/>
          <w:sz w:val="22"/>
          <w:szCs w:val="22"/>
        </w:rPr>
        <w:sectPr w:rsidR="001D3039" w:rsidRPr="00474E66" w:rsidSect="00D743A6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1134"/>
        <w:gridCol w:w="709"/>
        <w:gridCol w:w="1179"/>
        <w:gridCol w:w="3499"/>
      </w:tblGrid>
      <w:tr w:rsidR="00F33EC8" w:rsidRPr="00474E66" w14:paraId="4EEB86A9" w14:textId="77777777" w:rsidTr="00610E12">
        <w:tc>
          <w:tcPr>
            <w:tcW w:w="8177" w:type="dxa"/>
            <w:gridSpan w:val="5"/>
            <w:vAlign w:val="center"/>
          </w:tcPr>
          <w:p w14:paraId="52DDBCDF" w14:textId="698A1815" w:rsidR="00F33EC8" w:rsidRPr="00474E66" w:rsidRDefault="00F33EC8" w:rsidP="00F33EC8">
            <w:pPr>
              <w:pStyle w:val="Style11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8 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Interpretace výsledků</w:t>
            </w:r>
          </w:p>
          <w:p w14:paraId="75B57F8F" w14:textId="39A64B8D" w:rsidR="00F33EC8" w:rsidRPr="00474E66" w:rsidRDefault="00F33EC8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33EC8" w:rsidRPr="00474E66" w14:paraId="72AE6047" w14:textId="77777777" w:rsidTr="003E44C9">
        <w:tc>
          <w:tcPr>
            <w:tcW w:w="1656" w:type="dxa"/>
            <w:vAlign w:val="center"/>
          </w:tcPr>
          <w:p w14:paraId="4B41754B" w14:textId="44E1494B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Výsledek testu vzorku</w:t>
            </w:r>
          </w:p>
        </w:tc>
        <w:tc>
          <w:tcPr>
            <w:tcW w:w="3022" w:type="dxa"/>
            <w:gridSpan w:val="3"/>
            <w:shd w:val="clear" w:color="auto" w:fill="FFFFFF" w:themeFill="background1"/>
            <w:vAlign w:val="center"/>
          </w:tcPr>
          <w:p w14:paraId="4C568659" w14:textId="77777777" w:rsidR="00F33EC8" w:rsidRPr="00474E66" w:rsidRDefault="00F33EC8" w:rsidP="00451A3B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2476D21A" w14:textId="02748D1F" w:rsidR="00F33EC8" w:rsidRPr="00474E66" w:rsidRDefault="00F33EC8" w:rsidP="00451A3B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Fonts w:asciiTheme="minorHAnsi" w:hAnsiTheme="minorHAnsi" w:cstheme="minorHAnsi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3FA2E01" wp14:editId="194FEDB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869440" cy="354965"/>
                  <wp:effectExtent l="0" t="0" r="0" b="6985"/>
                  <wp:wrapTopAndBottom/>
                  <wp:docPr id="6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14:paraId="7D66FABF" w14:textId="3BAD21C9" w:rsidR="00F33EC8" w:rsidRPr="00474E66" w:rsidRDefault="00F33EC8" w:rsidP="00D743A6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Další charakteristiky</w:t>
            </w:r>
          </w:p>
        </w:tc>
      </w:tr>
      <w:tr w:rsidR="00F33EC8" w:rsidRPr="00474E66" w14:paraId="69671FF3" w14:textId="77777777" w:rsidTr="00F33EC8">
        <w:trPr>
          <w:trHeight w:val="3203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78D46AB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DNA PCV2 detekována</w:t>
            </w:r>
          </w:p>
          <w:p w14:paraId="01DD16DF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27B82D8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19C30929" w14:textId="1563D8A9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DNA PCV3</w:t>
            </w:r>
          </w:p>
          <w:p w14:paraId="6A431A73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detekována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5A933B" w14:textId="7917BDD5" w:rsidR="00F33EC8" w:rsidRPr="00474E66" w:rsidRDefault="00F33EC8" w:rsidP="00726964">
            <w:pPr>
              <w:pStyle w:val="Style17"/>
              <w:widowControl/>
              <w:spacing w:line="240" w:lineRule="auto"/>
              <w:ind w:left="216" w:hanging="19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&lt;40</w:t>
            </w:r>
          </w:p>
          <w:p w14:paraId="4CCF1606" w14:textId="77777777" w:rsidR="00F33EC8" w:rsidRPr="00474E66" w:rsidRDefault="00F33EC8" w:rsidP="00726964">
            <w:pPr>
              <w:pStyle w:val="Style17"/>
              <w:widowControl/>
              <w:spacing w:line="240" w:lineRule="auto"/>
              <w:ind w:left="216" w:hanging="19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8CCAFB" w14:textId="77777777" w:rsidR="00F33EC8" w:rsidRPr="00474E66" w:rsidRDefault="00F33EC8" w:rsidP="00726964">
            <w:pPr>
              <w:pStyle w:val="Style17"/>
              <w:widowControl/>
              <w:spacing w:line="240" w:lineRule="auto"/>
              <w:ind w:left="216" w:hanging="19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D6AB92A" w14:textId="77777777" w:rsidR="00F33EC8" w:rsidRPr="00474E66" w:rsidRDefault="00F33EC8" w:rsidP="00726964">
            <w:pPr>
              <w:pStyle w:val="Style17"/>
              <w:widowControl/>
              <w:spacing w:line="240" w:lineRule="auto"/>
              <w:ind w:left="216" w:hanging="19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1753E11E" w14:textId="47575BD4" w:rsidR="00F33EC8" w:rsidRPr="00474E66" w:rsidRDefault="00F33EC8" w:rsidP="00726964">
            <w:pPr>
              <w:pStyle w:val="Style17"/>
              <w:widowControl/>
              <w:spacing w:line="240" w:lineRule="auto"/>
              <w:ind w:left="216" w:hanging="19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EFFEE3" w14:textId="77777777" w:rsidR="00F33EC8" w:rsidRPr="00474E66" w:rsidRDefault="00F33EC8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1D120CC7" w14:textId="77777777" w:rsidR="00F33EC8" w:rsidRPr="00474E66" w:rsidRDefault="00F33EC8" w:rsidP="0030390A">
            <w:pPr>
              <w:pStyle w:val="Style19"/>
              <w:widowControl/>
              <w:spacing w:line="240" w:lineRule="auto"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80FE9D" w14:textId="77777777" w:rsidR="00F33EC8" w:rsidRPr="00474E66" w:rsidRDefault="00F33EC8" w:rsidP="0030390A">
            <w:pPr>
              <w:pStyle w:val="Style19"/>
              <w:widowControl/>
              <w:spacing w:line="240" w:lineRule="auto"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DF3264" w14:textId="77777777" w:rsidR="00F33EC8" w:rsidRPr="00474E66" w:rsidRDefault="00F33EC8" w:rsidP="0030390A">
            <w:pPr>
              <w:pStyle w:val="Style19"/>
              <w:widowControl/>
              <w:spacing w:line="240" w:lineRule="auto"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67B4C272" w14:textId="024E88B5" w:rsidR="00F33EC8" w:rsidRPr="00474E66" w:rsidRDefault="00F33EC8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&lt;40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1C948175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3499" w:type="dxa"/>
            <w:shd w:val="clear" w:color="auto" w:fill="F2F2F2" w:themeFill="background1" w:themeFillShade="F2"/>
            <w:vAlign w:val="center"/>
          </w:tcPr>
          <w:p w14:paraId="08372A84" w14:textId="08029F6F" w:rsidR="00F33EC8" w:rsidRPr="00474E66" w:rsidRDefault="00F33EC8" w:rsidP="00D743A6">
            <w:pPr>
              <w:pStyle w:val="Bezmez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Fonts w:asciiTheme="minorHAnsi" w:hAnsiTheme="minorHAnsi" w:cstheme="minorHAnsi"/>
                <w:sz w:val="22"/>
                <w:szCs w:val="22"/>
              </w:rPr>
              <w:t>Pozitivní Ct hodnota a charakteristická křivka amplifikace v porovnání s PCR negativní kontrolou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AB07B7" w14:textId="77777777" w:rsidR="00F33EC8" w:rsidRPr="00474E66" w:rsidRDefault="00F33EC8" w:rsidP="00726964">
            <w:pPr>
              <w:pStyle w:val="Style21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4766C898" w14:textId="77777777" w:rsidR="00F33EC8" w:rsidRPr="00474E66" w:rsidRDefault="00F33EC8" w:rsidP="00726964">
            <w:pPr>
              <w:pStyle w:val="Style21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B70FC2" w14:textId="77777777" w:rsidR="00F33EC8" w:rsidRPr="00474E66" w:rsidRDefault="00F33EC8" w:rsidP="00D743A6">
            <w:pPr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Očekává se amplifikační křivka interní kontroly v kanále HEX (VIC); u některých silně PCV2- nebo PCV3-pozitivních vzorků DNA může dojít k negativnímu výsledku interní kontroly.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†</w:t>
            </w:r>
          </w:p>
          <w:p w14:paraId="6ADE38EE" w14:textId="77777777" w:rsidR="00F33EC8" w:rsidRPr="00474E66" w:rsidRDefault="00F33EC8" w:rsidP="00726964">
            <w:pPr>
              <w:pStyle w:val="Style21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14:paraId="4D2A435D" w14:textId="24E47160" w:rsidR="00F33EC8" w:rsidRPr="00474E66" w:rsidRDefault="00F33EC8" w:rsidP="00726964">
            <w:pPr>
              <w:pStyle w:val="Style21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EC8" w:rsidRPr="00474E66" w14:paraId="1EEA263A" w14:textId="77777777" w:rsidTr="00F33EC8"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81B1955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DNA PCV2 a PCV3 nedetekována</w:t>
            </w:r>
          </w:p>
          <w:p w14:paraId="51C9917B" w14:textId="5CC47721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DF0CE7" w14:textId="7864E51A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≥40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FEBF00" w14:textId="130355CA" w:rsidR="00F33EC8" w:rsidRPr="00474E66" w:rsidRDefault="00F33EC8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≥40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6EF24EF8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3499" w:type="dxa"/>
            <w:shd w:val="clear" w:color="auto" w:fill="F2F2F2" w:themeFill="background1" w:themeFillShade="F2"/>
            <w:vAlign w:val="center"/>
          </w:tcPr>
          <w:p w14:paraId="60CC767B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Amplifikační křivka v kanále interní kontroly HEX (VIC) a pozitivní hodnota Ct.</w:t>
            </w:r>
          </w:p>
        </w:tc>
      </w:tr>
      <w:tr w:rsidR="00F33EC8" w:rsidRPr="00474E66" w14:paraId="31C9FCB5" w14:textId="77777777" w:rsidTr="00F33EC8"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1CFE1286" w14:textId="77777777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Neplatné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196B68" w14:textId="29BC15CD" w:rsidR="00F33EC8" w:rsidRPr="00474E66" w:rsidRDefault="00F33EC8" w:rsidP="00726964">
            <w:pPr>
              <w:pStyle w:val="Style19"/>
              <w:widowControl/>
              <w:spacing w:line="240" w:lineRule="auto"/>
              <w:ind w:left="216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≥40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3A4E9F" w14:textId="3AF4C1B0" w:rsidR="00F33EC8" w:rsidRPr="00474E66" w:rsidRDefault="00F33EC8" w:rsidP="0030390A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≥40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03E6FB70" w14:textId="77777777" w:rsidR="00F33EC8" w:rsidRPr="00474E66" w:rsidRDefault="00F33EC8" w:rsidP="00726964">
            <w:pPr>
              <w:pStyle w:val="Style25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3499" w:type="dxa"/>
            <w:shd w:val="clear" w:color="auto" w:fill="F2F2F2" w:themeFill="background1" w:themeFillShade="F2"/>
            <w:vAlign w:val="center"/>
          </w:tcPr>
          <w:p w14:paraId="4F48AAB7" w14:textId="77777777" w:rsidR="00F33EC8" w:rsidRPr="00474E66" w:rsidRDefault="00F33EC8" w:rsidP="00726964">
            <w:pPr>
              <w:pStyle w:val="Style15"/>
              <w:widowControl/>
              <w:ind w:left="216"/>
              <w:rPr>
                <w:rStyle w:val="FontStyle37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033F8F1" w14:textId="69E0A146" w:rsidR="00F33EC8" w:rsidRPr="00474E66" w:rsidRDefault="00F33EC8" w:rsidP="00F33EC8">
      <w:pPr>
        <w:pStyle w:val="Style21"/>
        <w:widowControl/>
        <w:spacing w:line="240" w:lineRule="auto"/>
        <w:ind w:left="24" w:hanging="24"/>
        <w:rPr>
          <w:rStyle w:val="FontStyle37"/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  <w:vertAlign w:val="superscript"/>
        </w:rPr>
        <w:t>†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Cílová směs je optimalizována pro detekci DNA PCV2 a PCV3; silně pozitivní vzorek DNA může vést k potlačení detekce interní kontroly.</w:t>
      </w:r>
    </w:p>
    <w:p w14:paraId="6997E2BA" w14:textId="77777777" w:rsidR="00F33EC8" w:rsidRPr="00474E66" w:rsidRDefault="00F33EC8" w:rsidP="00F33EC8">
      <w:pPr>
        <w:pStyle w:val="Style21"/>
        <w:widowControl/>
        <w:spacing w:line="240" w:lineRule="auto"/>
        <w:ind w:left="24" w:hanging="24"/>
        <w:rPr>
          <w:rStyle w:val="FontStyle37"/>
          <w:rFonts w:asciiTheme="minorHAnsi" w:hAnsiTheme="minorHAnsi" w:cstheme="minorHAnsi"/>
          <w:sz w:val="22"/>
          <w:szCs w:val="22"/>
        </w:rPr>
      </w:pPr>
    </w:p>
    <w:p w14:paraId="6F7BB172" w14:textId="04E1EA28" w:rsidR="001D3039" w:rsidRPr="00474E66" w:rsidRDefault="00F33EC8" w:rsidP="00F33EC8">
      <w:pPr>
        <w:pStyle w:val="Style6"/>
        <w:widowControl/>
        <w:rPr>
          <w:rFonts w:asciiTheme="minorHAnsi" w:hAnsiTheme="minorHAnsi" w:cstheme="minorHAnsi"/>
          <w:sz w:val="22"/>
          <w:szCs w:val="22"/>
        </w:rPr>
      </w:pPr>
      <w:r w:rsidRPr="00474E66">
        <w:rPr>
          <w:rStyle w:val="FontStyle37"/>
          <w:rFonts w:asciiTheme="minorHAnsi" w:hAnsiTheme="minorHAnsi" w:cstheme="minorHAnsi"/>
          <w:sz w:val="22"/>
          <w:szCs w:val="22"/>
          <w:vertAlign w:val="superscript"/>
        </w:rPr>
        <w:t xml:space="preserve">‡ </w:t>
      </w:r>
      <w:r w:rsidRPr="00474E66">
        <w:rPr>
          <w:rStyle w:val="FontStyle37"/>
          <w:rFonts w:asciiTheme="minorHAnsi" w:hAnsiTheme="minorHAnsi" w:cstheme="minorHAnsi"/>
          <w:sz w:val="22"/>
          <w:szCs w:val="22"/>
        </w:rPr>
        <w:t>Neplatný vzorek může poukazovat na nesprávnou aplikaci, extrakci a/nebo PCR vzorku. DNA by měla být pětinásobně zředěna vodou PCR Grade Water a opětovně testována; jako vzor je třeba zahrnout neředěnou DNA. Pokud je test stále neplatný, doporučujeme provést novou extrakci.</w:t>
      </w:r>
    </w:p>
    <w:p w14:paraId="77535E6B" w14:textId="77777777" w:rsidR="001D3039" w:rsidRPr="00474E66" w:rsidRDefault="001D3039" w:rsidP="00726964">
      <w:pPr>
        <w:pStyle w:val="Style6"/>
        <w:widowControl/>
        <w:rPr>
          <w:rFonts w:asciiTheme="minorHAnsi" w:hAnsiTheme="minorHAnsi" w:cstheme="minorHAnsi"/>
          <w:sz w:val="22"/>
          <w:szCs w:val="22"/>
        </w:rPr>
      </w:pPr>
    </w:p>
    <w:p w14:paraId="545A2063" w14:textId="77777777" w:rsidR="001D3039" w:rsidRPr="00474E66" w:rsidRDefault="001D3039" w:rsidP="00726964">
      <w:pPr>
        <w:pStyle w:val="Style6"/>
        <w:widowControl/>
        <w:spacing w:before="110"/>
        <w:rPr>
          <w:rStyle w:val="FontStyle36"/>
          <w:rFonts w:asciiTheme="minorHAnsi" w:hAnsiTheme="minorHAnsi" w:cstheme="minorHAnsi"/>
          <w:sz w:val="22"/>
          <w:szCs w:val="22"/>
        </w:rPr>
      </w:pP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 xml:space="preserve">Příprava standardních křivek </w:t>
      </w:r>
      <w:r w:rsidR="00AC0D08" w:rsidRPr="00474E66">
        <w:rPr>
          <w:rStyle w:val="FontStyle36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6"/>
          <w:rFonts w:asciiTheme="minorHAnsi" w:hAnsiTheme="minorHAnsi" w:cstheme="minorHAnsi"/>
          <w:sz w:val="22"/>
          <w:szCs w:val="22"/>
        </w:rPr>
        <w:t>kvantifikace</w:t>
      </w:r>
    </w:p>
    <w:p w14:paraId="20995700" w14:textId="77777777" w:rsidR="001D3039" w:rsidRPr="00474E66" w:rsidRDefault="001D3039" w:rsidP="00726964">
      <w:pPr>
        <w:pStyle w:val="Style5"/>
        <w:widowControl/>
        <w:spacing w:before="43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Za účelem kvantifikace výsledků testu PCR je možné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vytvoření standardní křivky pokrývající škálu testu použít sérii 10násobných ředění připravených ve vodě PCR Grade Water. Standardní křivku je možné použít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přímé kvantifikaci PCV2 nebo PCV3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extrahovaném vzorku.</w:t>
      </w:r>
    </w:p>
    <w:p w14:paraId="35AB5718" w14:textId="2CC7C1B8" w:rsidR="001D3039" w:rsidRPr="00474E66" w:rsidRDefault="001D3039" w:rsidP="00726964">
      <w:pPr>
        <w:pStyle w:val="Style24"/>
        <w:widowControl/>
        <w:spacing w:before="182" w:line="240" w:lineRule="auto"/>
        <w:ind w:right="139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Příprava standardních křivek – připravte 10násobná ředění každého kvantifikačního standardu. Příklad: ředění 1:10 se připraví přidáním 10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µl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neředěného kvantifikačního standardu do 90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µl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vody PCR Grade Water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dobře se rozmíchá. Ředění 1:100 se připraví přidáním 10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µl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ředění 1:10 do 90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µl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vody PCR Grade Water. Další ředění se připraví analogicky. Ředění by měla být testována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jedné nebo ve dvou jamkách jako vzorky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příslušném testu RealPCR (5 µl/jamku).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dispozici je dostatečný objem každého kvantifikačního standardu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patnáctinásobnému testování standardní křivky (za</w:t>
      </w:r>
      <w:r w:rsidR="00672D28">
        <w:rPr>
          <w:rStyle w:val="FontStyle39"/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předpokladu, že jsou připravena 10násobná ředění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použitím 10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µl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zásobního roztoku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každé ředění je testováno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jedné jamce).</w:t>
      </w:r>
    </w:p>
    <w:p w14:paraId="09390120" w14:textId="77777777" w:rsidR="001D3039" w:rsidRPr="00474E66" w:rsidRDefault="001D3039" w:rsidP="00726964">
      <w:pPr>
        <w:pStyle w:val="Style24"/>
        <w:widowControl/>
        <w:spacing w:before="182" w:line="240" w:lineRule="auto"/>
        <w:ind w:right="139"/>
        <w:rPr>
          <w:rStyle w:val="FontStyle39"/>
          <w:rFonts w:asciiTheme="minorHAnsi" w:hAnsiTheme="minorHAnsi" w:cstheme="minorHAnsi"/>
          <w:sz w:val="22"/>
          <w:szCs w:val="22"/>
          <w:lang w:eastAsia="en-US"/>
        </w:rPr>
        <w:sectPr w:rsidR="001D3039" w:rsidRPr="00474E66" w:rsidSect="00D743A6">
          <w:pgSz w:w="11905" w:h="16837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1737"/>
        <w:gridCol w:w="4111"/>
      </w:tblGrid>
      <w:tr w:rsidR="001D3039" w:rsidRPr="00474E66" w14:paraId="19AB1B4E" w14:textId="77777777" w:rsidTr="0030390A">
        <w:tc>
          <w:tcPr>
            <w:tcW w:w="7043" w:type="dxa"/>
            <w:gridSpan w:val="3"/>
          </w:tcPr>
          <w:p w14:paraId="6AECCE16" w14:textId="77777777" w:rsidR="001D3039" w:rsidRPr="00474E66" w:rsidRDefault="001D3039" w:rsidP="00726964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Očekávané výsledky pro standardní křivky</w:t>
            </w:r>
          </w:p>
        </w:tc>
      </w:tr>
      <w:tr w:rsidR="001D3039" w:rsidRPr="00474E66" w14:paraId="208C41C7" w14:textId="77777777" w:rsidTr="0030390A">
        <w:tc>
          <w:tcPr>
            <w:tcW w:w="1195" w:type="dxa"/>
            <w:vAlign w:val="bottom"/>
          </w:tcPr>
          <w:p w14:paraId="544335CF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Ředění</w:t>
            </w:r>
          </w:p>
        </w:tc>
        <w:tc>
          <w:tcPr>
            <w:tcW w:w="1737" w:type="dxa"/>
            <w:vAlign w:val="bottom"/>
          </w:tcPr>
          <w:p w14:paraId="31742210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PCV2 nebo PCV3 (kopií/ml)</w:t>
            </w:r>
          </w:p>
        </w:tc>
        <w:tc>
          <w:tcPr>
            <w:tcW w:w="4111" w:type="dxa"/>
            <w:vAlign w:val="bottom"/>
          </w:tcPr>
          <w:p w14:paraId="4F4B8DD0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Očekávaný výsledek RealPCR</w:t>
            </w:r>
          </w:p>
        </w:tc>
      </w:tr>
      <w:tr w:rsidR="001D3039" w:rsidRPr="00474E66" w14:paraId="72948D64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3FC42145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Neředěný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623D33D3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0FA04BC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  <w:tr w:rsidR="001D3039" w:rsidRPr="00474E66" w14:paraId="1C4EBA26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48012126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1:10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6E619754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0F75A44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  <w:tr w:rsidR="001D3039" w:rsidRPr="00474E66" w14:paraId="753D3D5E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1347F64F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1:100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4AC0F882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80A7BD3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  <w:tr w:rsidR="001D3039" w:rsidRPr="00474E66" w14:paraId="5CE7BA17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496838AF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1:1 000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3E535D07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F24AC03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  <w:tr w:rsidR="001D3039" w:rsidRPr="00474E66" w14:paraId="7FC087F0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40DAFDBD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1:10 000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2C451F64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2D21019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  <w:tr w:rsidR="001D3039" w:rsidRPr="00474E66" w14:paraId="33CFF03A" w14:textId="77777777" w:rsidTr="0030390A">
        <w:tc>
          <w:tcPr>
            <w:tcW w:w="1195" w:type="dxa"/>
            <w:shd w:val="clear" w:color="auto" w:fill="F2F2F2" w:themeFill="background1" w:themeFillShade="F2"/>
          </w:tcPr>
          <w:p w14:paraId="182C01F1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1:100 000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6B5348D9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 x 10</w:t>
            </w: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51EA5EA" w14:textId="77777777" w:rsidR="001D3039" w:rsidRPr="00474E66" w:rsidRDefault="001D3039" w:rsidP="00726964">
            <w:pPr>
              <w:pStyle w:val="Style19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474E66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</w:t>
            </w:r>
          </w:p>
        </w:tc>
      </w:tr>
    </w:tbl>
    <w:p w14:paraId="4B3FC267" w14:textId="77777777" w:rsidR="001D3039" w:rsidRPr="00474E66" w:rsidRDefault="001D3039" w:rsidP="00726964">
      <w:pPr>
        <w:pStyle w:val="Style5"/>
        <w:widowControl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11C162" w14:textId="77777777" w:rsidR="001D3039" w:rsidRPr="00474E66" w:rsidRDefault="001D3039" w:rsidP="00726964">
      <w:pPr>
        <w:pStyle w:val="Style5"/>
        <w:widowControl/>
        <w:spacing w:before="67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Výpočet standardní křivky – po detekci cílů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každém 10násobném ředění se vytvoří standardní křivka vynesením hodnoty Ct každého ředění proti logaritmu vzorové koncentrace (kopií/ml). Tato funkce je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dispozici ve většině softwarových balíčků přístrojů pro provádění 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reálném čase.</w:t>
      </w:r>
    </w:p>
    <w:p w14:paraId="0C34AFE3" w14:textId="05F57841" w:rsidR="001D3039" w:rsidRPr="00474E66" w:rsidRDefault="001D3039" w:rsidP="00726964">
      <w:pPr>
        <w:pStyle w:val="Style5"/>
        <w:widowControl/>
        <w:spacing w:before="173" w:line="240" w:lineRule="auto"/>
        <w:ind w:right="178"/>
        <w:jc w:val="both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Kvantifikace koncentrace PCV2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PCV3 ve vzorcích – při použití kvantifikačního softwaru přístroje na</w:t>
      </w:r>
      <w:r w:rsidR="00474E66" w:rsidRPr="00474E66">
        <w:rPr>
          <w:rStyle w:val="FontStyle39"/>
          <w:rFonts w:asciiTheme="minorHAnsi" w:hAnsiTheme="minorHAnsi" w:cstheme="minorHAnsi"/>
          <w:sz w:val="22"/>
          <w:szCs w:val="22"/>
        </w:rPr>
        <w:t>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provádění 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reálném čase bude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k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výpočtu koncentrace DNA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extraktu (kopií PCV2 nebo PCV3/ml) použita standardní křivka. Koncentrace DNA ve vzorku se vypočítá podle tohoto vzorce:</w:t>
      </w:r>
    </w:p>
    <w:p w14:paraId="5C4C3E6D" w14:textId="77777777" w:rsidR="001D3039" w:rsidRPr="00474E66" w:rsidRDefault="001D3039" w:rsidP="00726964">
      <w:pPr>
        <w:pStyle w:val="Style16"/>
        <w:widowControl/>
        <w:spacing w:before="216"/>
        <w:rPr>
          <w:rStyle w:val="FontStyle31"/>
          <w:rFonts w:asciiTheme="minorHAnsi" w:hAnsiTheme="minorHAnsi" w:cstheme="minorHAnsi"/>
          <w:sz w:val="22"/>
          <w:szCs w:val="22"/>
        </w:rPr>
      </w:pPr>
      <w:r w:rsidRPr="00474E66">
        <w:rPr>
          <w:rStyle w:val="FontStyle31"/>
          <w:rFonts w:asciiTheme="minorHAnsi" w:hAnsiTheme="minorHAnsi" w:cstheme="minorHAnsi"/>
          <w:sz w:val="22"/>
          <w:szCs w:val="22"/>
        </w:rPr>
        <w:t>SC = X * (EV * SV)</w:t>
      </w:r>
    </w:p>
    <w:p w14:paraId="7403C6D1" w14:textId="77777777" w:rsidR="001D3039" w:rsidRPr="00474E66" w:rsidRDefault="001D3039" w:rsidP="00726964">
      <w:pPr>
        <w:pStyle w:val="Style14"/>
        <w:widowControl/>
        <w:numPr>
          <w:ilvl w:val="0"/>
          <w:numId w:val="2"/>
        </w:numPr>
        <w:tabs>
          <w:tab w:val="left" w:pos="149"/>
        </w:tabs>
        <w:spacing w:before="72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SC, koncentrace DNA ve vzorku (kopií PCV2 nebo PCV3/ml)</w:t>
      </w:r>
    </w:p>
    <w:p w14:paraId="4FEF3D5B" w14:textId="77777777" w:rsidR="001D3039" w:rsidRPr="00474E66" w:rsidRDefault="001D3039" w:rsidP="00726964">
      <w:pPr>
        <w:pStyle w:val="Style14"/>
        <w:widowControl/>
        <w:numPr>
          <w:ilvl w:val="0"/>
          <w:numId w:val="2"/>
        </w:numPr>
        <w:tabs>
          <w:tab w:val="left" w:pos="149"/>
        </w:tabs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X, koncentrace DNA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extraktu (kopií PCV2 nebo PCV3/ml)</w:t>
      </w:r>
    </w:p>
    <w:p w14:paraId="2811A899" w14:textId="77777777" w:rsidR="001D3039" w:rsidRPr="00474E66" w:rsidRDefault="001D3039" w:rsidP="00726964">
      <w:pPr>
        <w:pStyle w:val="Style14"/>
        <w:widowControl/>
        <w:numPr>
          <w:ilvl w:val="0"/>
          <w:numId w:val="2"/>
        </w:numPr>
        <w:tabs>
          <w:tab w:val="left" w:pos="149"/>
        </w:tabs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EV, eluční objem použitý při extrakci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(µl),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např. 100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>µl</w:t>
      </w:r>
    </w:p>
    <w:p w14:paraId="487DB592" w14:textId="77777777" w:rsidR="001D3039" w:rsidRPr="00474E66" w:rsidRDefault="001D3039" w:rsidP="00726964">
      <w:pPr>
        <w:pStyle w:val="Style14"/>
        <w:widowControl/>
        <w:numPr>
          <w:ilvl w:val="0"/>
          <w:numId w:val="2"/>
        </w:numPr>
        <w:tabs>
          <w:tab w:val="left" w:pos="149"/>
        </w:tabs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SV, objem vzorku použitý při extrakci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 xml:space="preserve">(µl),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např. 200 </w:t>
      </w:r>
      <w:r w:rsidRPr="00474E66">
        <w:rPr>
          <w:rStyle w:val="FontStyle38"/>
          <w:rFonts w:asciiTheme="minorHAnsi" w:hAnsiTheme="minorHAnsi" w:cstheme="minorHAnsi"/>
          <w:smallCaps w:val="0"/>
          <w:sz w:val="22"/>
          <w:szCs w:val="22"/>
        </w:rPr>
        <w:t>µl</w:t>
      </w:r>
    </w:p>
    <w:p w14:paraId="19AB8087" w14:textId="77777777" w:rsidR="001D3039" w:rsidRPr="00474E66" w:rsidRDefault="001D3039" w:rsidP="00726964">
      <w:pPr>
        <w:pStyle w:val="Style5"/>
        <w:widowControl/>
        <w:spacing w:before="16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Pro přesný výpočet konečné koncentrace DNA PCV2 nebo PCV3 ve vzorku je třeba zohlednit jakýkoli další krok týkající se ředění nebo koncentrace, který byl při testování vzorku proveden.</w:t>
      </w:r>
    </w:p>
    <w:p w14:paraId="636E7064" w14:textId="77777777" w:rsidR="001D3039" w:rsidRPr="00474E66" w:rsidRDefault="00AC0D08" w:rsidP="00726964">
      <w:pPr>
        <w:pStyle w:val="Style5"/>
        <w:widowControl/>
        <w:spacing w:before="173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S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výpočtem standardní křivky PCV2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PCV3 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="001D3039" w:rsidRPr="00474E66">
        <w:rPr>
          <w:rStyle w:val="FontStyle39"/>
          <w:rFonts w:asciiTheme="minorHAnsi" w:hAnsiTheme="minorHAnsi" w:cstheme="minorHAnsi"/>
          <w:sz w:val="22"/>
          <w:szCs w:val="22"/>
        </w:rPr>
        <w:t>kvantifikací výsledků PCR testů vám mohou poradit pracovníci technické podpory společnosti IDEXX.</w:t>
      </w:r>
    </w:p>
    <w:p w14:paraId="1EDA92C2" w14:textId="77777777" w:rsidR="001D3039" w:rsidRPr="00474E66" w:rsidRDefault="001D3039" w:rsidP="00726964">
      <w:pPr>
        <w:pStyle w:val="Style5"/>
        <w:widowControl/>
        <w:spacing w:before="17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Syntetická DNA použitá ve standardech PCV2 DNA QS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PCV3 DNA QS obsahuje signaturu QS Tag (unikátní sekvence oligonukleotidů). Přítomnost signatury QS Tag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pracovním prostředí poukazuje na kontaminaci látkami PCV2 DNA QS a/nebo PCV3 DNA QS. Laboratoře, které chtějí monitorovat kontaminaci PCV2 DNA QS a/nebo PCV3 DNA QS, mohou signaturu QS Tag detekovat pomocí směsí RealPCR Quantification Standards Tracker Mix </w:t>
      </w:r>
      <w:r w:rsidRPr="00474E66">
        <w:rPr>
          <w:rStyle w:val="FontStyle27"/>
          <w:rFonts w:asciiTheme="minorHAnsi" w:hAnsiTheme="minorHAnsi" w:cstheme="minorHAnsi"/>
          <w:b w:val="0"/>
          <w:sz w:val="22"/>
          <w:szCs w:val="22"/>
        </w:rPr>
        <w:t>(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99-56740)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RealPCR DNA MMx.</w:t>
      </w:r>
    </w:p>
    <w:p w14:paraId="3FDD80D2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3D089368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1B40B769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62DAC790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2F26B881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1E588B2C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3594E079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25BF6327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7ED13ABF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76C101ED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2A2F71CB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56B864DA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0F9CCF35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780388D9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076FA775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4D9D771C" w14:textId="77777777" w:rsidR="00D670FC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33C02145" w14:textId="6177D7C4" w:rsidR="001D3039" w:rsidRPr="00474E66" w:rsidRDefault="00D670FC" w:rsidP="00726964">
      <w:pPr>
        <w:pStyle w:val="Style16"/>
        <w:widowControl/>
        <w:rPr>
          <w:rStyle w:val="FontStyle31"/>
          <w:rFonts w:asciiTheme="minorHAnsi" w:hAnsiTheme="minorHAnsi" w:cstheme="minorHAnsi"/>
          <w:sz w:val="22"/>
          <w:szCs w:val="22"/>
        </w:rPr>
      </w:pPr>
      <w:r w:rsidRPr="00474E66">
        <w:rPr>
          <w:rStyle w:val="FontStyle31"/>
          <w:rFonts w:asciiTheme="minorHAnsi" w:hAnsiTheme="minorHAnsi" w:cstheme="minorHAnsi"/>
          <w:sz w:val="22"/>
          <w:szCs w:val="22"/>
        </w:rPr>
        <w:lastRenderedPageBreak/>
        <w:t>O</w:t>
      </w:r>
      <w:r w:rsidR="001D3039" w:rsidRPr="00474E66">
        <w:rPr>
          <w:rStyle w:val="FontStyle31"/>
          <w:rFonts w:asciiTheme="minorHAnsi" w:hAnsiTheme="minorHAnsi" w:cstheme="minorHAnsi"/>
          <w:sz w:val="22"/>
          <w:szCs w:val="22"/>
        </w:rPr>
        <w:t>dbornou pomoc získáte zde:</w:t>
      </w:r>
    </w:p>
    <w:p w14:paraId="6CC91481" w14:textId="77777777" w:rsidR="001D3039" w:rsidRPr="00474E66" w:rsidRDefault="001D3039" w:rsidP="00726964">
      <w:pPr>
        <w:pStyle w:val="Style5"/>
        <w:widowControl/>
        <w:spacing w:line="240" w:lineRule="auto"/>
        <w:ind w:right="2918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IDEXX USA Tel: +1 800 548 9997 nebo +1 207 556 4895 IDEXX Europe Tel: +800 727 43399</w:t>
      </w:r>
    </w:p>
    <w:p w14:paraId="79247ACB" w14:textId="06B6343D" w:rsidR="001D3039" w:rsidRPr="00474E66" w:rsidRDefault="001D3039" w:rsidP="00726964">
      <w:pPr>
        <w:pStyle w:val="Style5"/>
        <w:widowControl/>
        <w:spacing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Obraťte se na oblastního manažera nebo distributora IDEXX nebo navštivte naši webovou stránku: </w:t>
      </w:r>
      <w:r w:rsidRPr="00474E66">
        <w:rPr>
          <w:rFonts w:asciiTheme="minorHAnsi" w:hAnsiTheme="minorHAnsi" w:cstheme="minorHAnsi"/>
          <w:sz w:val="22"/>
          <w:szCs w:val="22"/>
        </w:rPr>
        <w:t>idexx.com/contactlpd</w:t>
      </w:r>
    </w:p>
    <w:p w14:paraId="0787A72D" w14:textId="77777777" w:rsidR="001D3039" w:rsidRPr="00474E66" w:rsidRDefault="001D3039" w:rsidP="00726964">
      <w:pPr>
        <w:pStyle w:val="Style5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250C56" w14:textId="77777777" w:rsidR="001D3039" w:rsidRPr="00474E66" w:rsidRDefault="001D3039" w:rsidP="00726964">
      <w:pPr>
        <w:pStyle w:val="Style5"/>
        <w:widowControl/>
        <w:spacing w:before="120" w:line="240" w:lineRule="auto"/>
        <w:jc w:val="both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*IDEXX, RealPCR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Test With Confidence jsou ochranné známky nebo registrované ochranné známky společnosti IDEXX Laboratories, Inc. nebo jejích obchodních poboček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v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USA a/nebo dalších zemích. Všechny další produkty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názvy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loga společností jsou ochrannými známkami svých držitelů.</w:t>
      </w:r>
    </w:p>
    <w:p w14:paraId="7A5738C6" w14:textId="77777777" w:rsidR="001D3039" w:rsidRPr="00474E66" w:rsidRDefault="001D3039" w:rsidP="00726964">
      <w:pPr>
        <w:pStyle w:val="Style5"/>
        <w:widowControl/>
        <w:spacing w:before="173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Barviva, která jsou součástí tohoto produktu, jsou prodávána na základě licence společnosti Biosearch Technologies, Inc.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jsou chráněna patenty USA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mezinárodními patenty, ať už byly vydány nebo je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o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ně zažádáno. Tato licence se vztahuje na veterinární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humánní aplikace, omezené na výzkum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vývoj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a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na diagnostické použití.</w:t>
      </w:r>
    </w:p>
    <w:p w14:paraId="7F29F5BE" w14:textId="07ABC606" w:rsidR="001D3039" w:rsidRPr="00474E66" w:rsidRDefault="001D3039" w:rsidP="00726964">
      <w:pPr>
        <w:pStyle w:val="Style5"/>
        <w:widowControl/>
        <w:spacing w:before="216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Informace </w:t>
      </w:r>
      <w:r w:rsidR="00AC0D08" w:rsidRPr="00474E66">
        <w:rPr>
          <w:rStyle w:val="FontStyle39"/>
          <w:rFonts w:asciiTheme="minorHAnsi" w:hAnsiTheme="minorHAnsi" w:cstheme="minorHAnsi"/>
          <w:sz w:val="22"/>
          <w:szCs w:val="22"/>
        </w:rPr>
        <w:t>o </w:t>
      </w: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 xml:space="preserve">patentu: </w:t>
      </w:r>
      <w:r w:rsidRPr="00474E66">
        <w:rPr>
          <w:rFonts w:asciiTheme="minorHAnsi" w:hAnsiTheme="minorHAnsi" w:cstheme="minorHAnsi"/>
          <w:sz w:val="22"/>
          <w:szCs w:val="22"/>
        </w:rPr>
        <w:t>idexx.com/patents</w:t>
      </w:r>
    </w:p>
    <w:p w14:paraId="07C576EF" w14:textId="77777777" w:rsidR="001D3039" w:rsidRPr="00474E66" w:rsidRDefault="001D3039" w:rsidP="00726964">
      <w:pPr>
        <w:pStyle w:val="Style5"/>
        <w:widowControl/>
        <w:spacing w:before="4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  <w:r w:rsidRPr="00474E66">
        <w:rPr>
          <w:rStyle w:val="FontStyle39"/>
          <w:rFonts w:asciiTheme="minorHAnsi" w:hAnsiTheme="minorHAnsi" w:cstheme="minorHAnsi"/>
          <w:sz w:val="22"/>
          <w:szCs w:val="22"/>
        </w:rPr>
        <w:t>© 2023 IDEXX Laboratories, Inc. Všechna práva vyhrazena.</w:t>
      </w:r>
    </w:p>
    <w:p w14:paraId="1AEA8ECA" w14:textId="77777777" w:rsidR="00C95568" w:rsidRPr="00474E66" w:rsidRDefault="00C95568" w:rsidP="00726964">
      <w:pPr>
        <w:pStyle w:val="Style5"/>
        <w:widowControl/>
        <w:spacing w:before="4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</w:p>
    <w:p w14:paraId="5CD3B2E7" w14:textId="42B003BA" w:rsidR="00C95568" w:rsidRPr="00474E66" w:rsidRDefault="00C95568" w:rsidP="00D743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4E66">
        <w:rPr>
          <w:rFonts w:asciiTheme="minorHAnsi" w:hAnsiTheme="minorHAnsi" w:cstheme="minorHAnsi"/>
          <w:b/>
          <w:color w:val="000000"/>
          <w:sz w:val="22"/>
          <w:szCs w:val="22"/>
        </w:rPr>
        <w:t>Popis symbolů</w:t>
      </w:r>
    </w:p>
    <w:p w14:paraId="758BCFCF" w14:textId="77777777" w:rsidR="00D670FC" w:rsidRPr="00474E66" w:rsidRDefault="00D670FC" w:rsidP="00D743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D743A6" w:rsidRPr="00474E66" w14:paraId="6F3F4EAE" w14:textId="77777777" w:rsidTr="00D670FC">
        <w:tc>
          <w:tcPr>
            <w:tcW w:w="1980" w:type="dxa"/>
          </w:tcPr>
          <w:p w14:paraId="297C3ACA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7215AC96" wp14:editId="448AFE30">
                  <wp:extent cx="445135" cy="314960"/>
                  <wp:effectExtent l="0" t="0" r="0" b="889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DE82E27" w14:textId="4BF3D9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Číslo šarže</w:t>
            </w:r>
          </w:p>
        </w:tc>
      </w:tr>
      <w:tr w:rsidR="00D743A6" w:rsidRPr="00474E66" w14:paraId="028FEF1C" w14:textId="77777777" w:rsidTr="00D670FC">
        <w:tc>
          <w:tcPr>
            <w:tcW w:w="1980" w:type="dxa"/>
          </w:tcPr>
          <w:p w14:paraId="6ABA521C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23464F7B" wp14:editId="5B63E591">
                  <wp:extent cx="522605" cy="42164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8ECE167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Sériové číslo</w:t>
            </w:r>
          </w:p>
        </w:tc>
      </w:tr>
      <w:tr w:rsidR="00D743A6" w:rsidRPr="00474E66" w14:paraId="2D2A333D" w14:textId="77777777" w:rsidTr="00D670FC">
        <w:tc>
          <w:tcPr>
            <w:tcW w:w="1980" w:type="dxa"/>
          </w:tcPr>
          <w:p w14:paraId="66D4AB9C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226ADB3F" wp14:editId="40A4960B">
                  <wp:extent cx="487045" cy="421640"/>
                  <wp:effectExtent l="0" t="0" r="825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7C8607C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Katalogové číslo</w:t>
            </w:r>
          </w:p>
        </w:tc>
      </w:tr>
      <w:tr w:rsidR="00D743A6" w:rsidRPr="00474E66" w14:paraId="2DBB8337" w14:textId="77777777" w:rsidTr="00D670FC">
        <w:tc>
          <w:tcPr>
            <w:tcW w:w="1980" w:type="dxa"/>
          </w:tcPr>
          <w:p w14:paraId="46FC7BDC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0CBC09CF" wp14:editId="72088995">
                  <wp:extent cx="504825" cy="36668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76" cy="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F287273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Diagnostika in vitro</w:t>
            </w:r>
          </w:p>
        </w:tc>
      </w:tr>
      <w:tr w:rsidR="00D743A6" w:rsidRPr="00474E66" w14:paraId="6C13336B" w14:textId="77777777" w:rsidTr="00D670FC">
        <w:tc>
          <w:tcPr>
            <w:tcW w:w="1980" w:type="dxa"/>
          </w:tcPr>
          <w:p w14:paraId="0DA59BDE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03AE8459" wp14:editId="5917F4F7">
                  <wp:extent cx="563880" cy="445135"/>
                  <wp:effectExtent l="0" t="0" r="762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F8A6C05" w14:textId="5C5ED8CD" w:rsidR="00D743A6" w:rsidRPr="00474E66" w:rsidRDefault="00D743A6" w:rsidP="00D670FC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Autorizovaný zástupce v Evropském společenství</w:t>
            </w:r>
          </w:p>
        </w:tc>
      </w:tr>
      <w:tr w:rsidR="00D743A6" w:rsidRPr="00474E66" w14:paraId="43CFC5F6" w14:textId="77777777" w:rsidTr="00D670FC">
        <w:tc>
          <w:tcPr>
            <w:tcW w:w="1980" w:type="dxa"/>
          </w:tcPr>
          <w:p w14:paraId="37A87267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071D8F23" wp14:editId="1408D84E">
                  <wp:extent cx="754380" cy="379730"/>
                  <wp:effectExtent l="0" t="0" r="7620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439ADDC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Pozitivní kontrolní vzorek</w:t>
            </w:r>
          </w:p>
        </w:tc>
      </w:tr>
      <w:tr w:rsidR="00D743A6" w:rsidRPr="00474E66" w14:paraId="7692A303" w14:textId="77777777" w:rsidTr="00D670FC">
        <w:tc>
          <w:tcPr>
            <w:tcW w:w="1980" w:type="dxa"/>
          </w:tcPr>
          <w:p w14:paraId="14EA3D92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325EF0B8" wp14:editId="7F458826">
                  <wp:extent cx="789940" cy="297180"/>
                  <wp:effectExtent l="0" t="0" r="0" b="762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948BD49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Negativní kontrolní vzorek</w:t>
            </w:r>
          </w:p>
        </w:tc>
      </w:tr>
      <w:tr w:rsidR="00D743A6" w:rsidRPr="00474E66" w14:paraId="7CFB2973" w14:textId="77777777" w:rsidTr="00D670FC">
        <w:tc>
          <w:tcPr>
            <w:tcW w:w="1980" w:type="dxa"/>
          </w:tcPr>
          <w:p w14:paraId="72848FEA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29851AAF" wp14:editId="5EEA38BA">
                  <wp:extent cx="445135" cy="581660"/>
                  <wp:effectExtent l="0" t="0" r="0" b="889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6291FE84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</w:p>
          <w:p w14:paraId="15DDE732" w14:textId="77777777" w:rsidR="00D743A6" w:rsidRPr="00474E66" w:rsidRDefault="00D743A6" w:rsidP="00D8629A">
            <w:pPr>
              <w:rPr>
                <w:rFonts w:hAnsiTheme="minorHAnsi" w:cstheme="minorHAnsi"/>
                <w:b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Použijte do</w:t>
            </w:r>
          </w:p>
        </w:tc>
      </w:tr>
      <w:tr w:rsidR="00D743A6" w:rsidRPr="00474E66" w14:paraId="5412F294" w14:textId="77777777" w:rsidTr="00D670FC">
        <w:tc>
          <w:tcPr>
            <w:tcW w:w="1980" w:type="dxa"/>
          </w:tcPr>
          <w:p w14:paraId="4A721B23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05812B77" wp14:editId="476D1F9D">
                  <wp:extent cx="487045" cy="487045"/>
                  <wp:effectExtent l="0" t="0" r="8255" b="825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687D905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</w:p>
          <w:p w14:paraId="749D5D58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Datum výroby</w:t>
            </w:r>
          </w:p>
        </w:tc>
      </w:tr>
      <w:tr w:rsidR="00D743A6" w:rsidRPr="00474E66" w14:paraId="7D9A7717" w14:textId="77777777" w:rsidTr="00D670FC">
        <w:tc>
          <w:tcPr>
            <w:tcW w:w="1980" w:type="dxa"/>
          </w:tcPr>
          <w:p w14:paraId="75F0EA1C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4062AA65" wp14:editId="242FAECC">
                  <wp:extent cx="487045" cy="611505"/>
                  <wp:effectExtent l="0" t="0" r="825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65225EA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</w:p>
          <w:p w14:paraId="088551A9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Výrobce</w:t>
            </w:r>
          </w:p>
        </w:tc>
      </w:tr>
      <w:tr w:rsidR="00D743A6" w:rsidRPr="00474E66" w14:paraId="2EB63784" w14:textId="77777777" w:rsidTr="00D670FC">
        <w:tc>
          <w:tcPr>
            <w:tcW w:w="1980" w:type="dxa"/>
          </w:tcPr>
          <w:p w14:paraId="29D79E20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drawing>
                <wp:inline distT="0" distB="0" distL="0" distR="0" wp14:anchorId="5451943C" wp14:editId="58B0B09D">
                  <wp:extent cx="445135" cy="647065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FD9F356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</w:p>
          <w:p w14:paraId="77590F8B" w14:textId="7D027A3B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Teplotní limity</w:t>
            </w:r>
          </w:p>
        </w:tc>
      </w:tr>
      <w:tr w:rsidR="00D743A6" w:rsidRPr="00474E66" w14:paraId="1D747556" w14:textId="77777777" w:rsidTr="00D670FC">
        <w:tc>
          <w:tcPr>
            <w:tcW w:w="1980" w:type="dxa"/>
          </w:tcPr>
          <w:p w14:paraId="1F7C8BB6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0D7469AE" wp14:editId="4606E83D">
                  <wp:extent cx="599440" cy="647065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80886E8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</w:p>
          <w:p w14:paraId="4A2C3830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color w:val="000000"/>
                <w:sz w:val="20"/>
                <w:szCs w:val="20"/>
              </w:rPr>
              <w:t>Čtěte návod na použití</w:t>
            </w:r>
          </w:p>
        </w:tc>
      </w:tr>
      <w:tr w:rsidR="00D743A6" w:rsidRPr="00474E66" w14:paraId="195F24DB" w14:textId="77777777" w:rsidTr="00D670FC">
        <w:trPr>
          <w:trHeight w:val="80"/>
        </w:trPr>
        <w:tc>
          <w:tcPr>
            <w:tcW w:w="1980" w:type="dxa"/>
          </w:tcPr>
          <w:p w14:paraId="17C62D4D" w14:textId="77777777" w:rsidR="00D743A6" w:rsidRPr="00474E66" w:rsidRDefault="00D743A6" w:rsidP="00D8629A">
            <w:pPr>
              <w:rPr>
                <w:rFonts w:hAnsiTheme="minorHAnsi" w:cstheme="minorHAnsi"/>
                <w:color w:val="000000"/>
                <w:sz w:val="22"/>
                <w:szCs w:val="22"/>
              </w:rPr>
            </w:pPr>
            <w:r w:rsidRPr="00474E66">
              <w:rPr>
                <w:rFonts w:hAnsiTheme="minorHAnsi" w:cstheme="minorHAnsi"/>
                <w:b/>
                <w:bCs/>
                <w:color w:val="000000"/>
                <w:sz w:val="22"/>
                <w:szCs w:val="22"/>
              </w:rPr>
              <w:drawing>
                <wp:inline distT="0" distB="0" distL="0" distR="0" wp14:anchorId="12085690" wp14:editId="64ED8317">
                  <wp:extent cx="332740" cy="302895"/>
                  <wp:effectExtent l="0" t="0" r="0" b="190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8C49A45" w14:textId="1CFE7FBF" w:rsidR="00D743A6" w:rsidRPr="00474E66" w:rsidRDefault="00D743A6" w:rsidP="00D8629A">
            <w:pPr>
              <w:rPr>
                <w:rFonts w:hAnsiTheme="minorHAnsi" w:cstheme="minorHAnsi"/>
                <w:color w:val="000000"/>
                <w:sz w:val="20"/>
                <w:szCs w:val="20"/>
              </w:rPr>
            </w:pPr>
            <w:r w:rsidRPr="00474E66">
              <w:rPr>
                <w:rFonts w:hAnsiTheme="minorHAnsi" w:cstheme="minorHAnsi"/>
                <w:bCs/>
                <w:color w:val="000000"/>
                <w:sz w:val="20"/>
                <w:szCs w:val="20"/>
              </w:rPr>
              <w:t>Důležitá změna v pokynech pro uživatele</w:t>
            </w:r>
          </w:p>
        </w:tc>
      </w:tr>
    </w:tbl>
    <w:p w14:paraId="1CC9BADE" w14:textId="77777777" w:rsidR="00C95568" w:rsidRPr="00474E66" w:rsidRDefault="00C95568" w:rsidP="00726964">
      <w:pPr>
        <w:pStyle w:val="Style5"/>
        <w:widowControl/>
        <w:spacing w:before="48" w:line="240" w:lineRule="auto"/>
        <w:rPr>
          <w:rStyle w:val="FontStyle39"/>
          <w:rFonts w:asciiTheme="minorHAnsi" w:hAnsiTheme="minorHAnsi" w:cstheme="minorHAnsi"/>
          <w:sz w:val="22"/>
          <w:szCs w:val="22"/>
        </w:rPr>
      </w:pPr>
    </w:p>
    <w:p w14:paraId="30790D1F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6693778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4BE4D8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E527244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8970D87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DAF50B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33221E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0711CF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393BFED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352A98" w14:textId="77777777" w:rsidR="00D670FC" w:rsidRPr="00474E66" w:rsidRDefault="00D670FC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289A35D" w14:textId="3636D279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IDEXX Laboratories, Inc.</w:t>
      </w:r>
    </w:p>
    <w:p w14:paraId="754CC774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One IDEXX Drive</w:t>
      </w:r>
    </w:p>
    <w:p w14:paraId="1D8C9C21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Westbrook, Maine 04092</w:t>
      </w:r>
    </w:p>
    <w:p w14:paraId="364E707C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USA</w:t>
      </w:r>
    </w:p>
    <w:p w14:paraId="7A3E1E5C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1F9D0B" w14:textId="101A7B0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Výrobce</w:t>
      </w:r>
      <w:r w:rsidR="00494576" w:rsidRPr="00474E66">
        <w:rPr>
          <w:rFonts w:asciiTheme="minorHAnsi" w:hAnsiTheme="minorHAnsi" w:cstheme="minorHAnsi"/>
          <w:sz w:val="22"/>
          <w:szCs w:val="22"/>
        </w:rPr>
        <w:t xml:space="preserve"> a držitel rozhodnutí o schválení:</w:t>
      </w:r>
    </w:p>
    <w:p w14:paraId="23D87EF2" w14:textId="7D78084C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IDEXX Montpellier SAS</w:t>
      </w:r>
    </w:p>
    <w:p w14:paraId="438ADC7C" w14:textId="201E5D4A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326 rue de la Galéra</w:t>
      </w:r>
    </w:p>
    <w:p w14:paraId="41396154" w14:textId="47CEB595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34090 Montpellier</w:t>
      </w:r>
    </w:p>
    <w:p w14:paraId="5157BD04" w14:textId="39B9EA01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Francie</w:t>
      </w:r>
    </w:p>
    <w:p w14:paraId="2DFB12B4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094B7A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Zástupce pro EU</w:t>
      </w:r>
    </w:p>
    <w:p w14:paraId="43A130C1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IDEXX B.V.</w:t>
      </w:r>
    </w:p>
    <w:p w14:paraId="19D8471D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P.O. Box 1334</w:t>
      </w:r>
    </w:p>
    <w:p w14:paraId="192CE5B3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2130 EK Hoofddorp</w:t>
      </w:r>
    </w:p>
    <w:p w14:paraId="6A74C669" w14:textId="77777777" w:rsidR="00C95568" w:rsidRPr="00474E66" w:rsidRDefault="00C95568" w:rsidP="00C95568">
      <w:pPr>
        <w:jc w:val="right"/>
        <w:rPr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Nizozemsko</w:t>
      </w:r>
    </w:p>
    <w:p w14:paraId="1CECA7CD" w14:textId="77777777" w:rsidR="00C95568" w:rsidRPr="00474E66" w:rsidRDefault="00C95568" w:rsidP="00C95568">
      <w:pPr>
        <w:spacing w:line="360" w:lineRule="auto"/>
        <w:jc w:val="right"/>
        <w:rPr>
          <w:rStyle w:val="FontStyle19"/>
          <w:rFonts w:asciiTheme="minorHAnsi" w:hAnsiTheme="minorHAnsi" w:cstheme="minorHAnsi"/>
          <w:sz w:val="22"/>
          <w:szCs w:val="22"/>
        </w:rPr>
      </w:pPr>
      <w:r w:rsidRPr="00474E66">
        <w:rPr>
          <w:rFonts w:asciiTheme="minorHAnsi" w:hAnsiTheme="minorHAnsi" w:cstheme="minorHAnsi"/>
          <w:sz w:val="22"/>
          <w:szCs w:val="22"/>
        </w:rPr>
        <w:t>Idexx.com</w:t>
      </w:r>
    </w:p>
    <w:p w14:paraId="000608BB" w14:textId="77777777" w:rsidR="00C95568" w:rsidRPr="00474E66" w:rsidRDefault="00C95568" w:rsidP="00C95568">
      <w:pPr>
        <w:pStyle w:val="Style5"/>
        <w:widowControl/>
        <w:spacing w:before="48" w:line="240" w:lineRule="auto"/>
        <w:jc w:val="right"/>
        <w:rPr>
          <w:rStyle w:val="FontStyle39"/>
          <w:rFonts w:asciiTheme="minorHAnsi" w:hAnsiTheme="minorHAnsi" w:cstheme="minorHAnsi"/>
          <w:sz w:val="22"/>
          <w:szCs w:val="22"/>
        </w:rPr>
      </w:pPr>
    </w:p>
    <w:sectPr w:rsidR="00C95568" w:rsidRPr="00474E66" w:rsidSect="00D743A6">
      <w:pgSz w:w="11905" w:h="16837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4003" w14:textId="77777777" w:rsidR="00B37610" w:rsidRDefault="00B37610">
      <w:r>
        <w:separator/>
      </w:r>
    </w:p>
  </w:endnote>
  <w:endnote w:type="continuationSeparator" w:id="0">
    <w:p w14:paraId="05B4C1E5" w14:textId="77777777" w:rsidR="00B37610" w:rsidRDefault="00B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7506D" w14:textId="77777777" w:rsidR="00B37610" w:rsidRDefault="00B37610">
      <w:r>
        <w:separator/>
      </w:r>
    </w:p>
  </w:footnote>
  <w:footnote w:type="continuationSeparator" w:id="0">
    <w:p w14:paraId="69DAA191" w14:textId="77777777" w:rsidR="00B37610" w:rsidRDefault="00B3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21E2" w14:textId="7DBA215C" w:rsidR="00D743A6" w:rsidRPr="00D743A6" w:rsidRDefault="00D743A6" w:rsidP="00FF24C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D743A6">
      <w:rPr>
        <w:rFonts w:asciiTheme="minorHAnsi" w:hAnsiTheme="minorHAnsi" w:cstheme="minorHAnsi"/>
        <w:bCs/>
        <w:sz w:val="22"/>
        <w:szCs w:val="22"/>
      </w:rPr>
      <w:t xml:space="preserve">Text </w:t>
    </w:r>
    <w:r w:rsidR="00B125DD">
      <w:rPr>
        <w:rFonts w:asciiTheme="minorHAnsi" w:hAnsiTheme="minorHAnsi" w:cstheme="minorHAnsi"/>
        <w:bCs/>
        <w:sz w:val="22"/>
        <w:szCs w:val="22"/>
      </w:rPr>
      <w:t>návodu k použití</w:t>
    </w:r>
    <w:r w:rsidRPr="00D743A6">
      <w:rPr>
        <w:rFonts w:asciiTheme="minorHAnsi" w:hAnsiTheme="minorHAnsi" w:cstheme="minorHAnsi"/>
        <w:bCs/>
        <w:sz w:val="22"/>
        <w:szCs w:val="22"/>
      </w:rPr>
      <w:t> součást dokumentace schválené rozhodnutím sp.</w:t>
    </w:r>
    <w:r w:rsidR="00474E66">
      <w:rPr>
        <w:rFonts w:asciiTheme="minorHAnsi" w:hAnsiTheme="minorHAnsi" w:cstheme="minorHAnsi"/>
        <w:bCs/>
        <w:sz w:val="22"/>
        <w:szCs w:val="22"/>
      </w:rPr>
      <w:t> </w:t>
    </w:r>
    <w:r w:rsidRPr="00D743A6">
      <w:rPr>
        <w:rFonts w:asciiTheme="minorHAnsi" w:hAnsiTheme="minorHAnsi" w:cstheme="minorHAnsi"/>
        <w:bCs/>
        <w:sz w:val="22"/>
        <w:szCs w:val="22"/>
      </w:rPr>
      <w:t>zn.</w:t>
    </w:r>
    <w:r w:rsidR="00474E6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A228BAB33A82404BA62CE90375D43BA9"/>
        </w:placeholder>
        <w:text/>
      </w:sdtPr>
      <w:sdtEndPr/>
      <w:sdtContent>
        <w:r w:rsidR="001771F8" w:rsidRPr="001771F8">
          <w:rPr>
            <w:rFonts w:asciiTheme="minorHAnsi" w:hAnsiTheme="minorHAnsi" w:cstheme="minorHAnsi"/>
            <w:bCs/>
            <w:sz w:val="22"/>
            <w:szCs w:val="22"/>
          </w:rPr>
          <w:t>USKVBL/11451/2023/POD</w:t>
        </w:r>
        <w:r w:rsidR="001771F8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D743A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A228BAB33A82404BA62CE90375D43BA9"/>
        </w:placeholder>
        <w:text/>
      </w:sdtPr>
      <w:sdtEndPr/>
      <w:sdtContent>
        <w:r w:rsidR="00FF24CF">
          <w:rPr>
            <w:rFonts w:asciiTheme="minorHAnsi" w:hAnsiTheme="minorHAnsi" w:cstheme="minorHAnsi"/>
            <w:bCs/>
            <w:sz w:val="22"/>
            <w:szCs w:val="22"/>
          </w:rPr>
          <w:t>U</w:t>
        </w:r>
        <w:r w:rsidR="001771F8" w:rsidRPr="001771F8">
          <w:rPr>
            <w:rFonts w:asciiTheme="minorHAnsi" w:hAnsiTheme="minorHAnsi" w:cstheme="minorHAnsi"/>
            <w:bCs/>
            <w:sz w:val="22"/>
            <w:szCs w:val="22"/>
          </w:rPr>
          <w:t>SKVBL/2902/2024/REG-Gro</w:t>
        </w:r>
      </w:sdtContent>
    </w:sdt>
    <w:r w:rsidRPr="00D743A6">
      <w:rPr>
        <w:rFonts w:asciiTheme="minorHAnsi" w:hAnsiTheme="minorHAnsi" w:cstheme="minorHAnsi"/>
        <w:bCs/>
        <w:sz w:val="22"/>
        <w:szCs w:val="22"/>
      </w:rPr>
      <w:t xml:space="preserve"> ze dne</w:t>
    </w:r>
    <w:r w:rsidR="00DA6345" w:rsidRPr="00DA634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7FFC05187DEB48A1BE21109D2F705ADA"/>
        </w:placeholder>
        <w:date w:fullDate="2024-02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A6345">
          <w:rPr>
            <w:rFonts w:asciiTheme="minorHAnsi" w:hAnsiTheme="minorHAnsi" w:cstheme="minorHAnsi"/>
            <w:bCs/>
            <w:sz w:val="22"/>
            <w:szCs w:val="22"/>
          </w:rPr>
          <w:t>29.02.2024</w:t>
        </w:r>
      </w:sdtContent>
    </w:sdt>
    <w:r w:rsidRPr="00D743A6">
      <w:rPr>
        <w:rFonts w:asciiTheme="minorHAnsi" w:hAnsiTheme="minorHAnsi" w:cstheme="minorHAnsi"/>
        <w:bCs/>
        <w:sz w:val="22"/>
        <w:szCs w:val="22"/>
      </w:rPr>
      <w:t xml:space="preserve"> 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07C8D163EB9B4A35956D2E2E4AD57D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771F8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743A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94A5D76B16F64EF08DA5A275B33AB87B"/>
        </w:placeholder>
        <w:text/>
      </w:sdtPr>
      <w:sdtEndPr/>
      <w:sdtContent>
        <w:r w:rsidR="00A713E3">
          <w:rPr>
            <w:rFonts w:asciiTheme="minorHAnsi" w:hAnsiTheme="minorHAnsi" w:cstheme="minorHAnsi"/>
            <w:sz w:val="22"/>
            <w:szCs w:val="22"/>
          </w:rPr>
          <w:t>Test RealPCR</w:t>
        </w:r>
        <w:r w:rsidR="001771F8" w:rsidRPr="001771F8">
          <w:rPr>
            <w:rFonts w:asciiTheme="minorHAnsi" w:hAnsiTheme="minorHAnsi" w:cstheme="minorHAnsi"/>
            <w:sz w:val="22"/>
            <w:szCs w:val="22"/>
          </w:rPr>
          <w:t xml:space="preserve"> PCV2/PCV3 Multiplex DNA</w:t>
        </w:r>
      </w:sdtContent>
    </w:sdt>
  </w:p>
  <w:p w14:paraId="37F106D6" w14:textId="77777777" w:rsidR="00D743A6" w:rsidRDefault="00D743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700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64"/>
    <w:rsid w:val="0002398C"/>
    <w:rsid w:val="00087912"/>
    <w:rsid w:val="000A3A8A"/>
    <w:rsid w:val="00172097"/>
    <w:rsid w:val="001771F8"/>
    <w:rsid w:val="001849D6"/>
    <w:rsid w:val="0019229A"/>
    <w:rsid w:val="001D3039"/>
    <w:rsid w:val="00271D5F"/>
    <w:rsid w:val="0029439A"/>
    <w:rsid w:val="002C4C50"/>
    <w:rsid w:val="0030390A"/>
    <w:rsid w:val="00305B2C"/>
    <w:rsid w:val="00432904"/>
    <w:rsid w:val="00451A3B"/>
    <w:rsid w:val="00474E66"/>
    <w:rsid w:val="00494576"/>
    <w:rsid w:val="00612392"/>
    <w:rsid w:val="00672D28"/>
    <w:rsid w:val="00702DA3"/>
    <w:rsid w:val="00726964"/>
    <w:rsid w:val="00727FFA"/>
    <w:rsid w:val="00741417"/>
    <w:rsid w:val="007B00E0"/>
    <w:rsid w:val="00812CA6"/>
    <w:rsid w:val="008B3069"/>
    <w:rsid w:val="009422E8"/>
    <w:rsid w:val="0094648E"/>
    <w:rsid w:val="009E05F5"/>
    <w:rsid w:val="00A1553C"/>
    <w:rsid w:val="00A713E3"/>
    <w:rsid w:val="00AC0D08"/>
    <w:rsid w:val="00B125DD"/>
    <w:rsid w:val="00B1392F"/>
    <w:rsid w:val="00B37610"/>
    <w:rsid w:val="00BB75C8"/>
    <w:rsid w:val="00BC7911"/>
    <w:rsid w:val="00C76F35"/>
    <w:rsid w:val="00C95568"/>
    <w:rsid w:val="00CB7481"/>
    <w:rsid w:val="00CC0C7E"/>
    <w:rsid w:val="00D670FC"/>
    <w:rsid w:val="00D743A6"/>
    <w:rsid w:val="00DA6345"/>
    <w:rsid w:val="00E3670E"/>
    <w:rsid w:val="00E7040E"/>
    <w:rsid w:val="00E96112"/>
    <w:rsid w:val="00ED1517"/>
    <w:rsid w:val="00F33EC8"/>
    <w:rsid w:val="00FD29CC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1562D"/>
  <w14:defaultImageDpi w14:val="0"/>
  <w15:docId w15:val="{7B6C3554-D70D-483C-947A-3C22C7F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1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158" w:lineRule="exact"/>
      <w:ind w:firstLine="187"/>
    </w:pPr>
  </w:style>
  <w:style w:type="paragraph" w:customStyle="1" w:styleId="Style9">
    <w:name w:val="Style9"/>
    <w:basedOn w:val="Normln"/>
    <w:uiPriority w:val="99"/>
    <w:pPr>
      <w:spacing w:line="158" w:lineRule="exact"/>
      <w:jc w:val="center"/>
    </w:pPr>
  </w:style>
  <w:style w:type="paragraph" w:customStyle="1" w:styleId="Style10">
    <w:name w:val="Style10"/>
    <w:basedOn w:val="Normln"/>
    <w:uiPriority w:val="99"/>
    <w:pPr>
      <w:spacing w:line="200" w:lineRule="exact"/>
    </w:pPr>
  </w:style>
  <w:style w:type="paragraph" w:customStyle="1" w:styleId="Style11">
    <w:name w:val="Style11"/>
    <w:basedOn w:val="Normln"/>
    <w:uiPriority w:val="99"/>
    <w:pPr>
      <w:spacing w:line="202" w:lineRule="exact"/>
    </w:pPr>
  </w:style>
  <w:style w:type="paragraph" w:customStyle="1" w:styleId="Style12">
    <w:name w:val="Style12"/>
    <w:basedOn w:val="Normln"/>
    <w:uiPriority w:val="99"/>
    <w:pPr>
      <w:spacing w:line="193" w:lineRule="exact"/>
      <w:ind w:hanging="154"/>
    </w:pPr>
  </w:style>
  <w:style w:type="paragraph" w:customStyle="1" w:styleId="Style13">
    <w:name w:val="Style13"/>
    <w:basedOn w:val="Normln"/>
    <w:uiPriority w:val="99"/>
    <w:pPr>
      <w:spacing w:line="170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  <w:pPr>
      <w:spacing w:line="816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168" w:lineRule="exact"/>
      <w:jc w:val="center"/>
    </w:pPr>
  </w:style>
  <w:style w:type="paragraph" w:customStyle="1" w:styleId="Style20">
    <w:name w:val="Style20"/>
    <w:basedOn w:val="Normln"/>
    <w:uiPriority w:val="99"/>
    <w:pPr>
      <w:spacing w:line="168" w:lineRule="exact"/>
      <w:ind w:hanging="149"/>
    </w:pPr>
  </w:style>
  <w:style w:type="paragraph" w:customStyle="1" w:styleId="Style21">
    <w:name w:val="Style21"/>
    <w:basedOn w:val="Normln"/>
    <w:uiPriority w:val="99"/>
    <w:pPr>
      <w:spacing w:line="170" w:lineRule="exact"/>
    </w:pPr>
  </w:style>
  <w:style w:type="paragraph" w:customStyle="1" w:styleId="Style22">
    <w:name w:val="Style22"/>
    <w:basedOn w:val="Normln"/>
    <w:uiPriority w:val="99"/>
    <w:pPr>
      <w:spacing w:line="365" w:lineRule="exact"/>
    </w:pPr>
  </w:style>
  <w:style w:type="paragraph" w:customStyle="1" w:styleId="Style23">
    <w:name w:val="Style23"/>
    <w:basedOn w:val="Normln"/>
    <w:uiPriority w:val="99"/>
    <w:pPr>
      <w:spacing w:line="226" w:lineRule="exact"/>
      <w:ind w:hanging="86"/>
    </w:pPr>
  </w:style>
  <w:style w:type="paragraph" w:customStyle="1" w:styleId="Style24">
    <w:name w:val="Style24"/>
    <w:basedOn w:val="Normln"/>
    <w:uiPriority w:val="99"/>
    <w:pPr>
      <w:spacing w:line="210" w:lineRule="exact"/>
      <w:jc w:val="both"/>
    </w:pPr>
  </w:style>
  <w:style w:type="paragraph" w:customStyle="1" w:styleId="Style25">
    <w:name w:val="Style25"/>
    <w:basedOn w:val="Normln"/>
    <w:uiPriority w:val="99"/>
  </w:style>
  <w:style w:type="character" w:customStyle="1" w:styleId="FontStyle27">
    <w:name w:val="Font Style27"/>
    <w:basedOn w:val="Standardnpsmoodstavce"/>
    <w:uiPriority w:val="99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8">
    <w:name w:val="Font Style28"/>
    <w:basedOn w:val="Standardnpsmoodstavce"/>
    <w:uiPriority w:val="9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29">
    <w:name w:val="Font Style29"/>
    <w:basedOn w:val="Standardnpsmoodstavce"/>
    <w:uiPriority w:val="99"/>
    <w:rPr>
      <w:rFonts w:ascii="Arial Narrow" w:hAnsi="Arial Narrow" w:cs="Arial Narrow"/>
      <w:i/>
      <w:iCs/>
      <w:color w:val="000000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FontStyle31">
    <w:name w:val="Font Style31"/>
    <w:basedOn w:val="Standardnpsmoodstavce"/>
    <w:uiPriority w:val="99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 Narrow" w:hAnsi="Arial Narrow" w:cs="Arial Narrow"/>
      <w:smallCaps/>
      <w:color w:val="000000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Arial Narrow" w:hAnsi="Arial Narrow" w:cs="Arial Narrow"/>
      <w:b/>
      <w:bCs/>
      <w:smallCaps/>
      <w:color w:val="000000"/>
      <w:sz w:val="8"/>
      <w:szCs w:val="8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b/>
      <w:bCs/>
      <w:color w:val="000000"/>
      <w:spacing w:val="10"/>
      <w:sz w:val="8"/>
      <w:szCs w:val="8"/>
    </w:rPr>
  </w:style>
  <w:style w:type="character" w:customStyle="1" w:styleId="FontStyle36">
    <w:name w:val="Font Style36"/>
    <w:basedOn w:val="Standardnpsmoodstavce"/>
    <w:uiPriority w:val="9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37">
    <w:name w:val="Font Style37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customStyle="1" w:styleId="FontStyle38">
    <w:name w:val="Font Style38"/>
    <w:basedOn w:val="Standardnpsmoodstavce"/>
    <w:uiPriority w:val="99"/>
    <w:rPr>
      <w:rFonts w:ascii="Arial Narrow" w:hAnsi="Arial Narrow" w:cs="Arial Narrow"/>
      <w:smallCaps/>
      <w:color w:val="000000"/>
      <w:sz w:val="14"/>
      <w:szCs w:val="14"/>
    </w:rPr>
  </w:style>
  <w:style w:type="character" w:customStyle="1" w:styleId="FontStyle39">
    <w:name w:val="Font Style39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FontStyle19">
    <w:name w:val="Font Style19"/>
    <w:basedOn w:val="Standardnpsmoodstavce"/>
    <w:uiPriority w:val="99"/>
    <w:rsid w:val="00C95568"/>
    <w:rPr>
      <w:rFonts w:ascii="Arial Narrow" w:hAnsi="Arial Narrow" w:cs="Arial Narrow"/>
      <w:b/>
      <w:b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3A6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743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3A6"/>
    <w:rPr>
      <w:rFonts w:hAnsi="Arial Narrow"/>
      <w:sz w:val="24"/>
      <w:szCs w:val="24"/>
    </w:rPr>
  </w:style>
  <w:style w:type="character" w:styleId="Zstupntext">
    <w:name w:val="Placeholder Text"/>
    <w:rsid w:val="00D743A6"/>
    <w:rPr>
      <w:color w:val="808080"/>
    </w:rPr>
  </w:style>
  <w:style w:type="paragraph" w:styleId="Bezmezer">
    <w:name w:val="No Spacing"/>
    <w:uiPriority w:val="1"/>
    <w:qFormat/>
    <w:rsid w:val="00D743A6"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table" w:styleId="Mkatabulky">
    <w:name w:val="Table Grid"/>
    <w:basedOn w:val="Normlntabulka"/>
    <w:uiPriority w:val="59"/>
    <w:rsid w:val="00D743A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4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94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5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576"/>
    <w:rPr>
      <w:rFonts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576"/>
    <w:rPr>
      <w:rFonts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8BAB33A82404BA62CE90375D43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13D75-2D3C-4466-A4EF-4C4F5E5E2B09}"/>
      </w:docPartPr>
      <w:docPartBody>
        <w:p w:rsidR="00E0101A" w:rsidRDefault="00D33F6A" w:rsidP="00D33F6A">
          <w:pPr>
            <w:pStyle w:val="A228BAB33A82404BA62CE90375D43BA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C8D163EB9B4A35956D2E2E4AD57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23E3C-77B9-4EFC-A45A-943F209E046F}"/>
      </w:docPartPr>
      <w:docPartBody>
        <w:p w:rsidR="00E0101A" w:rsidRDefault="00D33F6A" w:rsidP="00D33F6A">
          <w:pPr>
            <w:pStyle w:val="07C8D163EB9B4A35956D2E2E4AD57D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4A5D76B16F64EF08DA5A275B33AB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8666-A7E6-4F49-95C1-21A23AD50B5D}"/>
      </w:docPartPr>
      <w:docPartBody>
        <w:p w:rsidR="00E0101A" w:rsidRDefault="00D33F6A" w:rsidP="00D33F6A">
          <w:pPr>
            <w:pStyle w:val="94A5D76B16F64EF08DA5A275B33AB8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FC05187DEB48A1BE21109D2F705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F5E3E-868F-4841-B349-035CD8AD9BD8}"/>
      </w:docPartPr>
      <w:docPartBody>
        <w:p w:rsidR="000F3A80" w:rsidRDefault="003F0C25" w:rsidP="003F0C25">
          <w:pPr>
            <w:pStyle w:val="7FFC05187DEB48A1BE21109D2F705ADA"/>
          </w:pPr>
          <w:r w:rsidRPr="00AD42B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6A"/>
    <w:rsid w:val="000B326C"/>
    <w:rsid w:val="000F3A80"/>
    <w:rsid w:val="003F0C25"/>
    <w:rsid w:val="0045032D"/>
    <w:rsid w:val="005942D5"/>
    <w:rsid w:val="007F5F6C"/>
    <w:rsid w:val="009A5384"/>
    <w:rsid w:val="009B2C65"/>
    <w:rsid w:val="00A1228B"/>
    <w:rsid w:val="00CC1FAA"/>
    <w:rsid w:val="00D33F6A"/>
    <w:rsid w:val="00DC506F"/>
    <w:rsid w:val="00E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0C25"/>
    <w:rPr>
      <w:color w:val="808080"/>
    </w:rPr>
  </w:style>
  <w:style w:type="paragraph" w:customStyle="1" w:styleId="A228BAB33A82404BA62CE90375D43BA9">
    <w:name w:val="A228BAB33A82404BA62CE90375D43BA9"/>
    <w:rsid w:val="00D33F6A"/>
  </w:style>
  <w:style w:type="paragraph" w:customStyle="1" w:styleId="88C870749548414883589F603C163C65">
    <w:name w:val="88C870749548414883589F603C163C65"/>
    <w:rsid w:val="00D33F6A"/>
  </w:style>
  <w:style w:type="paragraph" w:customStyle="1" w:styleId="07C8D163EB9B4A35956D2E2E4AD57D88">
    <w:name w:val="07C8D163EB9B4A35956D2E2E4AD57D88"/>
    <w:rsid w:val="00D33F6A"/>
  </w:style>
  <w:style w:type="paragraph" w:customStyle="1" w:styleId="94A5D76B16F64EF08DA5A275B33AB87B">
    <w:name w:val="94A5D76B16F64EF08DA5A275B33AB87B"/>
    <w:rsid w:val="00D33F6A"/>
  </w:style>
  <w:style w:type="paragraph" w:customStyle="1" w:styleId="7FFC05187DEB48A1BE21109D2F705ADA">
    <w:name w:val="7FFC05187DEB48A1BE21109D2F705ADA"/>
    <w:rsid w:val="003F0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2D70-B2CC-4B23-90A0-C3787187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29</cp:revision>
  <cp:lastPrinted>2024-03-05T18:03:00Z</cp:lastPrinted>
  <dcterms:created xsi:type="dcterms:W3CDTF">2023-08-22T08:36:00Z</dcterms:created>
  <dcterms:modified xsi:type="dcterms:W3CDTF">2024-03-05T18:03:00Z</dcterms:modified>
</cp:coreProperties>
</file>